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Noto Serif CJK SC" w:hAnsi="Noto Serif CJK SC" w:eastAsia="Noto Serif CJK SC"/>
          <w:b/>
          <w:color w:val="1F4E79"/>
          <w:sz w:val="44"/>
        </w:rPr>
        <w:br/>
        <w:br/>
        <w:t>Oracle Evidence 条件下的</w:t>
        <w:br/>
        <w:t>Evidence-Use / Reasoning Failure</w:t>
        <w:br/>
        <w:t>研究综述</w:t>
      </w:r>
    </w:p>
    <w:p>
      <w:pPr>
        <w:jc w:val="center"/>
      </w:pPr>
      <w:r>
        <w:rPr>
          <w:rFonts w:ascii="Noto Serif CJK SC" w:hAnsi="Noto Serif CJK SC" w:eastAsia="Noto Serif CJK SC"/>
          <w:color w:val="505050"/>
          <w:sz w:val="24"/>
        </w:rPr>
        <w:t>面向 memory retrieval 到 oracle evidence 后推理失败修复的相关工作定位</w:t>
      </w:r>
    </w:p>
    <w:p>
      <w:pPr>
        <w:jc w:val="center"/>
      </w:pPr>
      <w:r>
        <w:rPr>
          <w:rFonts w:ascii="Noto Serif CJK SC" w:hAnsi="Noto Serif CJK SC" w:eastAsia="Noto Serif CJK SC"/>
          <w:color w:val="5A5A5A"/>
          <w:sz w:val="20"/>
        </w:rPr>
        <w:br/>
        <w:t>检索与整理日期：2026-06-30</w:t>
        <w:br/>
        <w:t>文献范围：2025–2026 年 RAG evidence utilization、reasoning alignment、failure-state detection 相关工作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本文聚焦一个窄化后的 RAG / memory-augmented reasoning 子问题：当 retrieval 或 memory evidence 已经足够，甚至 oracle evidence 已经给定时，模型仍可能因为证据利用、视图绑定、推理轨迹对齐或内部 evidence flow 失败而产生错误答案。该问题不同于传统 retrieval recall 问题，也不同于一般 hallucination mitigation；其关键变量不是“有没有证据”，而是“证据是否被模型在正确的推理状态中使用”。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现有工作已经形成了较清晰的分层图谱：诊断层证明 evidence availability 与 evidence utilization 必须分离；桥接层尝试把检索证据转化为更适合 generator 使用的中间表示；对齐层把错误定义为 reasoning trajectory 与 evidence constraints 的错位；机理层从模型内部证据流解释失败；控制层开始使用 hidden-state 或其他运行时信号触发修复动作。综合这些工作，当前仍未充分解决的问题是：在不知道答案、无人工复杂度标签、无外部 answer supervision 的条件下，系统能否根据自身运行时 evidence-use state 判断推理是否进入 fragile regime，并触发有针对性的修复。</w:t>
      </w:r>
    </w:p>
    <w:p>
      <w:pPr>
        <w:pStyle w:val="Heading1"/>
      </w:pPr>
      <w:r>
        <w:t>1. 子问题边界与核心概念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本文所讨论的子问题可以形式化为 post-retrieval evidence-use failure：给定问题 q、可用证据集合 E，以及模型生成过程中的中间状态 s_t，尽管 E 包含足以支持答案的证据，模型仍可能输出错误答案 a 或生成与证据约束不一致的推理轨迹 τ。这里的失败不应归因于 retriever 未找到证据，而应归因于 evidence-to-reasoning 转换失败。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为避免泛化到普通 RAG，本文排除以下研究主线：单纯提升 dense retriever 或 reranker 的 recall、泛化的 query rewriting、一般 hallucination survey、只讨论上下文忠实度而不涉及 evidence-use failure 的 alignment 工作、以及主要处理多模态 evidence grounding 的外围工作。保留的核心文献必须满足至少一个条件：显式设置 oracle / sufficient evidence 条件；定义 retrieval-generation / reasoning misalignment；提供 evidence utilization 诊断指标；分析证据在模型内部的流动或绑定；或检测 failure state 并触发修复动作。</w:t>
      </w:r>
    </w:p>
    <w:p>
      <w:pPr>
        <w:pStyle w:val="Heading1"/>
      </w:pPr>
      <w:r>
        <w:t>2. 文献图谱：六篇核心工作与补充进展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按研究断面划分，当前子问题的解决现状可概括为表 1 与表 2。六篇核心工作覆盖了诊断、经验证据、证据桥接、推理对齐、内部机理和失败状态路由；补充进展主要提供更细粒度的 facet-level 诊断、intervention-based evidence utility 评价、动态证据同步和 faithful reasoning trace。</w:t>
      </w:r>
    </w:p>
    <w:p>
      <w:r>
        <w:br w:type="page"/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表 1：核心文献定位矩阵。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层级</w:t>
            </w:r>
          </w:p>
        </w:tc>
        <w:tc>
          <w:tcPr>
            <w:tcW w:type="dxa" w:w="2436"/>
            <w:shd w:fill="D9EAF7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代表文献</w:t>
            </w:r>
          </w:p>
        </w:tc>
        <w:tc>
          <w:tcPr>
            <w:tcW w:type="dxa" w:w="2436"/>
            <w:shd w:fill="D9EAF7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核心贡献</w:t>
            </w:r>
          </w:p>
        </w:tc>
        <w:tc>
          <w:tcPr>
            <w:tcW w:type="dxa" w:w="2436"/>
            <w:shd w:fill="D9EAF7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对子问题的定位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诊断协议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Diagnosing Evidence Utilization [1]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四条件 evidence-availability protocol；区分 no evidence、full context、retrieved evidence、oracle-evidence reference。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证明 accuracy / recall / citation overlap 不能代表证据利用。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经验证据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Can Small LMs Use What They Retrieve? [2]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oracle retrieval 条件下测试小模型是否能利用包含答案的 passage。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直接证明 retrieval success 不等于 utilization success。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证据桥接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Verbal-R3 [3]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Verbal Annotation 显式表达 query-context logical connection；提出 CUE。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把 evidence presentation 作为 reasoning 增强入口。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推理对齐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AlignRAG [4]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定义 Reasoning Misalignment；用 Critic Language Model 做 test-time critique-driven alignment。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最直接的方法型竞争工作。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内部机理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Why RAG Fails [5]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用 attribution graph 分析 retrieved evidence 如何流入生成过程。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解释 failure 的内部证据流结构。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失败状态控制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Skill-RAG [6]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hidden-state prober 检测 failure state；skill router 选择修复动作。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提供 runtime failure detection + routing 的形式参考。</w:t>
            </w:r>
          </w:p>
        </w:tc>
      </w:tr>
    </w:tbl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表 2：补充进展与边界相关工作。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AF2DD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层级</w:t>
            </w:r>
          </w:p>
        </w:tc>
        <w:tc>
          <w:tcPr>
            <w:tcW w:type="dxa" w:w="2436"/>
            <w:shd w:fill="EAF2DD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代表文献</w:t>
            </w:r>
          </w:p>
        </w:tc>
        <w:tc>
          <w:tcPr>
            <w:tcW w:type="dxa" w:w="2436"/>
            <w:shd w:fill="EAF2DD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核心贡献</w:t>
            </w:r>
          </w:p>
        </w:tc>
        <w:tc>
          <w:tcPr>
            <w:tcW w:type="dxa" w:w="2436"/>
            <w:shd w:fill="EAF2DD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对子问题的定位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细粒度诊断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Facet-Level Tracing [7]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按 atomic facet 构造 Facet × Chunk matrix。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将 evidence-use failure 从 answer-level 降到 facet-level。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证据效用评估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CUE-R [8]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REMOVE / REPLACE / DUPLICATE 证据扰动；测 per-evidence utility。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给 evidence item 级别的 operational utility。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动态证据同步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When Iterative RAG Beats Ideal Evidence [9]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比较 Gold Context 与 Iterative RAG。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说明静态 oracle evidence 仍可能不安全。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忠实推理轨迹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VERITAS [10]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用 process-based faithfulness rewards 优化 agentic search reasoning。</w:t>
            </w:r>
          </w:p>
        </w:tc>
        <w:tc>
          <w:tcPr>
            <w:tcW w:type="dxa" w:w="2436"/>
            <w:vAlign w:val="top"/>
          </w:tcPr>
          <w:p>
            <w:pPr>
              <w:spacing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补充 trace faithfulness 维度。</w:t>
            </w:r>
          </w:p>
        </w:tc>
      </w:tr>
    </w:tbl>
    <w:p>
      <w:pPr>
        <w:pStyle w:val="Heading1"/>
      </w:pPr>
      <w:r>
        <w:t>3. 诊断层：Evidence Availability 与 Evidence Utilization 的分离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这一层工作的共同目标是把“有证据可用”和“模型实际使用证据”分离。传统 RAG 评价常把最终答案准确率、检索召回率或 citation overlap 当作系统质量指标，但这些指标无法确定答案是否由上下文证据产生。模型可能依靠参数记忆答对，也可能拿到正确 passage 仍答错，还可能引用了文档却没有把证据转成答案。</w:t>
      </w:r>
    </w:p>
    <w:p>
      <w:pPr>
        <w:pStyle w:val="Heading2"/>
      </w:pPr>
      <w:r>
        <w:t>3.1 Four-Condition Diagnostic Protocol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A Four-Condition Diagnostic Protocol for Evidence Utilization 提出 no evidence、full context、retrieved evidence、oracle-evidence reference 四种 matched evidence condition，用固定样本、提示、评分字段、检索设置和有效性检查来分离不同瓶颈 [1]。其核心价值不是产生一个 leaderboard 分数，而是提供诊断坐标系：no-evidence condition 测参数知识或猜测能力；oracle-evidence reference 测在理想证据下的可恢复性；full context condition 暴露长上下文利用问题；retrieved evidence condition 暴露真实检索链中的覆盖和利用问题。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对你的子问题而言，这篇文献提供了最干净的问题定义：如果 oracle evidence reference condition 下仍失败，那么 failure 已不能归因于 retriever，而应进入 evidence-use / answer-conversion failure 的讨论。</w:t>
      </w:r>
    </w:p>
    <w:p>
      <w:pPr>
        <w:pStyle w:val="Heading2"/>
      </w:pPr>
      <w:r>
        <w:t>3.2 Oracle Retrieval 下的小模型利用瓶颈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Can Small Language Models Use What They Retrieve? 使用 oracle retrieval 条件，即 retrieved passage 保证包含答案，并结合 parametric knowledge split 区分模型已经知道的问题与必须依赖外部知识的问题 [2]。该工作报告，7B 及以下模型在需要外部知识的问题上，即使得到 oracle retrieval，仍可能在 85% 到 100% 的情形中未能抽取正确答案；同时，加入上下文还会破坏部分模型原本能够回答的问题。这说明低参数规模模型面临的瓶颈往往不是 retrieval quality，而是 context utilization 和 distractor sensitivity。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这篇的意义是把“oracle evidence available but not used”变成可复现实验现象。对于 memory retrieval 到 oracle evidence 后的推理修复研究，它提供了经验证据：即使证据已被系统取回，后续推理层仍需要独立建模。</w:t>
      </w:r>
    </w:p>
    <w:p>
      <w:pPr>
        <w:pStyle w:val="Heading2"/>
      </w:pPr>
      <w:r>
        <w:t>3.3 Facet-Level 与 Per-Evidence Utility 评价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Facet-Level Tracing of Evidence Uncertainty and Hallucination in RAG 将问题拆成 atomic reasoning facets，通过 Facet × Chunk matrix 评估每个 facet 的 evidence sufficiency 与 grounding，并比较 Strict RAG、Soft RAG 和 LLM-only 三种模式 [7]。它把 retrieval-generation misalignment 定义为相关证据已被 retrieved，但 generation 阶段未正确整合。CUE-R 则通过 REMOVE、REPLACE、DUPLICATE 等 intervention 操作测量单个 evidence item 对 correctness、grounding、confidence error 和 trace divergence 的 operational utility [8]。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这两类工作把诊断粒度继续下沉：Four-condition protocol 控制 evidence availability；facet-level tracing 控制 reasoning facet；CUE-R 控制 evidence item。它们共同说明，answer-level accuracy 远不足以描述证据使用过程。</w:t>
      </w:r>
    </w:p>
    <w:p>
      <w:pPr>
        <w:pStyle w:val="Heading1"/>
      </w:pPr>
      <w:r>
        <w:t>4. 桥接层：从 Raw Evidence 到 Reasoning-Usable Evidence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第二层工作认为，直接把 raw retrieved texts 注入 LLM context 会造成 suboptimal integration。证据虽然存在，但模型未必知道哪些片段与问题相关、如何组合多条证据、哪些内容应被排除。这里的解决路径不是再提升 retrieval recall，而是在 retrieval 与 reasoning 之间增加 evidence adaptation 层。</w:t>
      </w:r>
    </w:p>
    <w:p>
      <w:pPr>
        <w:pStyle w:val="Heading2"/>
      </w:pPr>
      <w:r>
        <w:t>4.1 Verbal-R3：Verbal Annotation 作为 Query-Context Bridge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Verbal-R3: Verbal Reranker as the Missing Bridge between Retrieval and Reasoning 明确指出，传统 RAG 的 raw context injection 往往不能让 LLM 有效整合检索结果；其核心机制是 Verbal Annotation，即用 analytic narrative 显式表达 search query 与 retrieved context 之间的逻辑连接 [3]。Verbal Reranker 不只输出 relevance score，还给出对文档的证据性说明，指出哪些信息直接支持问题、哪些信息只是背景或噪声。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Verbal-R3 还提出 CUE = P(Answer Correct | Retrieval Accurate)，从而把评价目标从“是否检索正确”转为“在检索正确时是否答对”。实验结果显示，Verbal Annotation 对 CUE 的提升大于对 retrieval accuracy 的提升，说明其主要收益来自 evidence utilization 而非 retrieval recall [3]。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它与你的研究方向高度相邻。差别在于，Verbal-R3 主要改造 evidence presentation，使证据变成更适合 generator 使用的 verbal scaffold；你的方向可进一步聚焦在 evidence 已经 oracle / sufficient 的条件下，模型是否能检测当前 reasoning state 已不安全，并触发更局部的修复。</w:t>
      </w:r>
    </w:p>
    <w:p>
      <w:pPr>
        <w:pStyle w:val="Heading1"/>
      </w:pPr>
      <w:r>
        <w:t>5. 对齐层：Reasoning Trajectory 与 Evidence Constraints 的错位</w:t>
      </w:r>
    </w:p>
    <w:p>
      <w:pPr>
        <w:pStyle w:val="Heading2"/>
      </w:pPr>
      <w:r>
        <w:t>5.1 AlignRAG：Reasoning Misalignment 的命名与修复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AlignRAG 是该子问题中最直接的方法型同期工作之一。它将 RAG 重新定义为 retrieval-aware reasoning，并提出 Reasoning Misalignment：模型的 reasoning trajectory 与 retrieved evidence 所施加的 evidential constraints 不一致 [4]。这一命名非常关键，因为它把错误归因从“没有检索到”转移到“检索证据与推理轨迹没有对齐”。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方法上，AlignRAG 构造 context-rich training corpora 和 contrastive critiques，训练 Critic Language Model，并在 test time 通过 Critique-Driven Alignment 迭代修正推理轨迹 [4]。NeurIPS proceedings 版本也明确强调标准 RAG pipeline 常无法保证模型推理与检索证据一致，因此需要 test-time critique and optimization [4]。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对你的研究而言，AlignRAG 是必须正面区分的对象。它已经覆盖“有证据但推理错位”的方法论入口。可区分空间在于：AlignRAG 依赖专门训练的 critic 和 critique-driven correction；你的框架若强调无答案标签、无外部 critic、基于系统自身 runtime evidence-use state 的 fragile regime detection，则可以形成更窄也更可控的定位。</w:t>
      </w:r>
    </w:p>
    <w:p>
      <w:pPr>
        <w:pStyle w:val="Heading1"/>
      </w:pPr>
      <w:r>
        <w:t>6. 机理层：内部 Evidence Flow 的结构性失败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外部行为上的 evidence-use failure 可以进一步被解释为模型内部证据流的结构问题。Why Retrieval-Augmented Generation Fails: A Graph Perspective 用 circuit tracing 构建 attribution graphs，追踪 retrieved context、intermediate activations 与 generated tokens 之间的信息流 [5]。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该工作发现，正确预测通常具有更深的 reasoning paths、更分布式的 evidence flow 和更结构化的 local connectivity；失败预测则呈现 shallower、fragmented、overly concentrated evidence flow [5]。它还基于 attribution-graph topology 特征进行 error detection，并通过 targeted intervention 强化 question-constrained evidence grounding。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这篇文献的作用在于提供机理支撑：oracle evidence failure 不是单纯 prompt 没写好，也不是抽象的“模型没理解”，而可能是证据在模型内部路由、绑定、传播和聚合时发生结构性退化。若你的方法不做 mechanistic interpretability，也可以借鉴其变量设计，把内部证据流失败转译为外部可观测的 runtime risk signal。</w:t>
      </w:r>
    </w:p>
    <w:p>
      <w:pPr>
        <w:pStyle w:val="Heading1"/>
      </w:pPr>
      <w:r>
        <w:t>7. 控制层：Failure-State Detection 与 Repair Routing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如果诊断层回答“是否失败”，桥接层回答“如何让证据更可用”，对齐层回答“如何修正推理轨迹”，那么控制层的问题是：系统能否在运行时识别失败状态，并选择合适动作。</w:t>
      </w:r>
    </w:p>
    <w:p>
      <w:pPr>
        <w:pStyle w:val="Heading2"/>
      </w:pPr>
      <w:r>
        <w:t>7.1 Skill-RAG：Hidden-State Probing 与 Skill Routing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Skill-RAG 提出 failure-state-aware RAG 框架，用 lightweight hidden-state prober 检测 retrieval 是否 stalled，并在检测到 failure state 后由 skill router 选择 query rewriting、question decomposition、evidence focusing 或 exit skill [6]。论文认为，许多 persistent retrieval failures 并非完全缺少相关证据，而是 query 与 evidence space 之间存在 alignment gap [6]。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它与你的思路形式接近：都有“检测失败状态 -&gt; 触发修复动作”的结构。但 Skill-RAG 的 action space 仍偏 retrieval-side correction：重写查询、分解问题、聚焦证据或退出。你的子问题若限定为 oracle memory evidence 已经存在，则 failure 更靠近 evidence binding、view construction 与 reasoning use；因此 Skill-RAG 应作为 runtime failure detection and routing 的相邻工作，而不是完全同类。</w:t>
      </w:r>
    </w:p>
    <w:p>
      <w:pPr>
        <w:pStyle w:val="Heading1"/>
      </w:pPr>
      <w:r>
        <w:t>8. 边界相关：动态证据同步与忠实推理轨迹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When Iterative RAG Beats Ideal Evidence 提供了一个重要边界结论：在科学多跳问答中，分阶段的 iterative retrieval-reasoning 有时能超过一次性给定 full oracle evidence 的 Gold Context 条件 [9]。这说明 oracle evidence 静态注入本身不保证推理安全，证据与推理状态的 staged synchronization、hypothesis refinement 和 evidence-aware stopping 可能更加关键。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VERITAS / Beyond Correctness: Rewarding Faithful Reasoning in RAG 则关注 reasoning trace 的忠实性。它指出，基于 outcome reward 的 agentic RAG 可能提升最终答案，但忽略中间推理步骤与检索证据之间的忠实关系；因此它将 information-think、think-answer、think-search 等 faithfulness metrics 作为 process-based rewards 纳入训练 [10]。如果你的方法需要 evidence-binding trace 或 process-level repair signal，这类工作可作为补充；若重点是 runtime risk bound 与硬控制，它不必进入主干。</w:t>
      </w:r>
    </w:p>
    <w:p>
      <w:pPr>
        <w:pStyle w:val="Heading1"/>
      </w:pPr>
      <w:r>
        <w:t>9. 当前解决现状与未解决缺口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综合上述文献，该子问题已经从“RAG 为什么还会幻觉”推进到更清晰的技术分解：首先，诊断工作证明 evidence availability 与 evidence utilization 必须分开评价；其次，bridge 工作证明证据呈现方式会显著影响 context utilization；再次，alignment 工作把错误定位为 reasoning trajectory 与 evidence constraints 的错位；同时，mechanistic work 显示失败可表现为内部 evidence flow 变浅、碎片化和过度集中；最后，failure-state work 证明运行时状态可以用于触发不同修复技能。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然而，现有解决方案仍存在几个空白。第一，许多诊断协议是离线评价工具，无法直接成为在线控制策略。第二，Verbal-R3 类方法主要改善 evidence presentation，但不能保证模型在后续推理中始终维持安全状态。第三，AlignRAG 依赖单独训练的 critic 和显式 critique，系统成本与训练依赖较高。第四，Why RAG Fails 依赖 attribution graph / circuit tracing，解释力强但部署成本较重。第五，Skill-RAG 的 failure actions 主要面向 query-evidence acquisition，而不是 oracle evidence 已给定后的 reasoning-state repair。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因此，一个仍然清晰存在的研究位置是：在 sufficient / oracle memory evidence 已给定时，不依赖答案标签、不依赖人工复杂度标注、不完全依赖外部 critic，根据模型自身的运行时证据使用状态判断推理是否进入 fragile regime，并触发 targeted repair。这一位置可以被称为 oracle-evidence-conditioned reasoning safety control。</w:t>
      </w:r>
    </w:p>
    <w:p>
      <w:pPr>
        <w:pStyle w:val="Heading1"/>
      </w:pPr>
      <w:r>
        <w:t>10. 对拟研究工作的定位建议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建议将拟研究工作定位为 memory retrieval 到 oracle evidence 后的 reasoning failure detection and repair。该定位需要强调三个边界：第一，它不解决 retrieval recall，而是在 evidence sufficient / oracle 的条件下研究 post-retrieval failure；第二，它不只是 evidence rewriting，而是判断 reasoning state 是否已经不能安全使用 evidence；第三，它不把最终答案标签作为触发条件，而是寻找运行时可观测信号。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与核心文献的关系可以这样组织：Diagnosing Evidence Utilization 和 Can Small LMs Use What They Retrieve 证明问题存在；Verbal-R3 说明证据到推理之间需要显式桥接；AlignRAG 说明 evidence constraints 与 reasoning trajectory 可以错位且需要修复；Why RAG Fails 说明错位可能源于内部 evidence flow 结构失败；Skill-RAG 说明 failure-state detection 与 routing 是可行的系统形态。拟研究工作的新增价值在于，将这些观察压缩成一个可操作的 runtime control 问题：什么时候当前推理仍有理论或经验安全保证，什么时候应触发硬控制。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在实验设计上，建议至少设置 oracle evidence / sufficient evidence 条件，以切断 retrieval recall 的解释路径；同时报告 answer accuracy、evidence utilization metric、failure detection precision/recall、repair success rate、unnecessary intervention rate，以及按 failure type 分组的增益。这样可以避免 reviewer 认为方法只是新一轮 retrieval tuning 或 prompt engineering。</w:t>
      </w:r>
    </w:p>
    <w:p>
      <w:pPr>
        <w:pStyle w:val="Heading1"/>
      </w:pPr>
      <w:r>
        <w:t>11. Related Work 写作建议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若用于 AAAI 2027 论文，Related Work 不宜写成 “RAG -&gt; reranking -&gt; agentic RAG” 的宽综述。更合适的结构是三段：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第一段，Evidence utilization diagnostics。引用 [1]、[2]、[7]、[8]，说明已有评价开始区分 retrieval success 与 utilization success，并从 condition、facet、evidence item 三个粒度刻画证据使用。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第二段，Bridging and aligning retrieved evidence with reasoning。引用 [3]、[4]，说明 Verbal-R3 通过 Verbal Annotation 构造 query-context bridge，AlignRAG 通过 critic-driven alignment 修正 reasoning misalignment。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第三段，Failure mechanism and runtime control。引用 [5]、[6]，说明内部 evidence flow 和 hidden-state failure detection 都表明 post-retrieval failure 具有可诊断结构。最后引出自己的定位：在 oracle memory evidence 条件下，用运行时 evidence-use signal 触发 targeted repair。</w:t>
      </w:r>
    </w:p>
    <w:p>
      <w:pPr>
        <w:pStyle w:val="Heading1"/>
      </w:pPr>
      <w:r>
        <w:t>12. 结论</w:t>
      </w:r>
    </w:p>
    <w:p>
      <w:pPr>
        <w:spacing w:line="283" w:lineRule="auto" w:after="100"/>
        <w:ind w:firstLine="420"/>
      </w:pPr>
      <w:r>
        <w:rPr>
          <w:rFonts w:ascii="Noto Serif CJK SC" w:hAnsi="Noto Serif CJK SC" w:eastAsia="Noto Serif CJK SC"/>
        </w:rPr>
        <w:t>现有文献已经足以支撑一个清晰的子问题：retrieved / memory / oracle evidence 的可用性并不保证 LLM 能正确使用证据完成推理。该子问题的研究正在从离线诊断、证据桥接、推理对齐、内部机理分析走向运行时控制。当前最有潜力的空白，是把 evidence-use failure 转化为可触发、可干预、可验证的控制问题：系统在不知道答案的情况下，能否判断自身是否失去安全推理保证，并主动修复。</w:t>
      </w:r>
    </w:p>
    <w:p>
      <w:pPr>
        <w:pStyle w:val="Heading1"/>
      </w:pPr>
      <w:r>
        <w:t>参考文献与链接</w:t>
      </w:r>
    </w:p>
    <w:p>
      <w:pPr>
        <w:pStyle w:val="Reference"/>
        <w:spacing w:line="252" w:lineRule="auto"/>
        <w:ind w:hanging="369" w:left="369"/>
      </w:pPr>
      <w:r>
        <w:rPr>
          <w:rFonts w:ascii="Noto Serif CJK SC" w:hAnsi="Noto Serif CJK SC" w:eastAsia="Noto Serif CJK SC"/>
        </w:rPr>
        <w:t xml:space="preserve">[1] Haizhou Xia. A Four-Condition Diagnostic Protocol for Evidence Utilization in Long-Context and Retrieval-Augmented Language Models. arXiv:2606.06758, 2026. </w:t>
      </w:r>
      <w:hyperlink r:id="rId11">
        <w:r>
          <w:rPr>
            <w:color w:val="0563C1"/>
            <w:u w:val="single"/>
            <w:rFonts w:ascii="Noto Serif" w:hAnsi="Noto Serif" w:eastAsia="Noto Serif CJK SC"/>
          </w:rPr>
          <w:t>https://arxiv.org/abs/2606.06758</w:t>
        </w:r>
      </w:hyperlink>
    </w:p>
    <w:p>
      <w:pPr>
        <w:pStyle w:val="Reference"/>
        <w:spacing w:line="252" w:lineRule="auto"/>
        <w:ind w:hanging="369" w:left="369"/>
      </w:pPr>
      <w:r>
        <w:rPr>
          <w:rFonts w:ascii="Noto Serif CJK SC" w:hAnsi="Noto Serif CJK SC" w:eastAsia="Noto Serif CJK SC"/>
        </w:rPr>
        <w:t xml:space="preserve">[2] Sanchit Pandey. Can Small Language Models Use What They Retrieve? An Empirical Study of Retrieval Utilization Across Model Scale. arXiv:2603.11513, 2026. </w:t>
      </w:r>
      <w:hyperlink r:id="rId12">
        <w:r>
          <w:rPr>
            <w:color w:val="0563C1"/>
            <w:u w:val="single"/>
            <w:rFonts w:ascii="Noto Serif" w:hAnsi="Noto Serif" w:eastAsia="Noto Serif CJK SC"/>
          </w:rPr>
          <w:t>https://arxiv.org/abs/2603.11513</w:t>
        </w:r>
      </w:hyperlink>
    </w:p>
    <w:p>
      <w:pPr>
        <w:pStyle w:val="Reference"/>
        <w:spacing w:line="252" w:lineRule="auto"/>
        <w:ind w:hanging="369" w:left="369"/>
      </w:pPr>
      <w:r>
        <w:rPr>
          <w:rFonts w:ascii="Noto Serif CJK SC" w:hAnsi="Noto Serif CJK SC" w:eastAsia="Noto Serif CJK SC"/>
        </w:rPr>
        <w:t xml:space="preserve">[3] Sangkwon Park, Donghun Kang, Jisoo Mok, and Sungroh Yoon. Verbal-R3: Verbal Reranker as the Missing Bridge between Retrieval and Reasoning. ACL 2026 / arXiv:2605.01399, 2026. </w:t>
      </w:r>
      <w:hyperlink r:id="rId13">
        <w:r>
          <w:rPr>
            <w:color w:val="0563C1"/>
            <w:u w:val="single"/>
            <w:rFonts w:ascii="Noto Serif" w:hAnsi="Noto Serif" w:eastAsia="Noto Serif CJK SC"/>
          </w:rPr>
          <w:t>https://aclanthology.org/2026.acl-long.1712/</w:t>
        </w:r>
      </w:hyperlink>
    </w:p>
    <w:p>
      <w:pPr>
        <w:pStyle w:val="Reference"/>
        <w:spacing w:line="252" w:lineRule="auto"/>
        <w:ind w:hanging="369" w:left="369"/>
      </w:pPr>
      <w:r>
        <w:rPr>
          <w:rFonts w:ascii="Noto Serif CJK SC" w:hAnsi="Noto Serif CJK SC" w:eastAsia="Noto Serif CJK SC"/>
        </w:rPr>
        <w:t xml:space="preserve">[4] Jiaqi Wei, Hao Zhou, Xiang Zhang, Di Zhang, Zijie Qiu, Wei Wei, Jinzhe Li, Wanli Ouyang, and Siqi Sun. AlignRAG: An Adaptable Framework for Resolving Misalignments in Retrieval-Aware Reasoning of RAG. NeurIPS 2025 / arXiv:2504.14858. </w:t>
      </w:r>
      <w:hyperlink r:id="rId14">
        <w:r>
          <w:rPr>
            <w:color w:val="0563C1"/>
            <w:u w:val="single"/>
            <w:rFonts w:ascii="Noto Serif" w:hAnsi="Noto Serif" w:eastAsia="Noto Serif CJK SC"/>
          </w:rPr>
          <w:t>https://proceedings.neurips.cc/paper_files/paper/2025/hash/1f09e1ee5035a4c3fe38a5681cae5815-Abstract-Conference.html</w:t>
        </w:r>
      </w:hyperlink>
    </w:p>
    <w:p>
      <w:pPr>
        <w:pStyle w:val="Reference"/>
        <w:spacing w:line="252" w:lineRule="auto"/>
        <w:ind w:hanging="369" w:left="369"/>
      </w:pPr>
      <w:r>
        <w:rPr>
          <w:rFonts w:ascii="Noto Serif CJK SC" w:hAnsi="Noto Serif CJK SC" w:eastAsia="Noto Serif CJK SC"/>
        </w:rPr>
        <w:t xml:space="preserve">[5] Kai Guo, Xinnan Dai, Zhibo Zhang, Nuohan Lin, Shenglai Zeng, Jie Ren, Haoyu Han, and Jiliang Tang. Why Retrieval-Augmented Generation Fails: A Graph Perspective. arXiv:2605.14192, 2026. </w:t>
      </w:r>
      <w:hyperlink r:id="rId15">
        <w:r>
          <w:rPr>
            <w:color w:val="0563C1"/>
            <w:u w:val="single"/>
            <w:rFonts w:ascii="Noto Serif" w:hAnsi="Noto Serif" w:eastAsia="Noto Serif CJK SC"/>
          </w:rPr>
          <w:t>https://arxiv.org/abs/2605.14192</w:t>
        </w:r>
      </w:hyperlink>
    </w:p>
    <w:p>
      <w:pPr>
        <w:pStyle w:val="Reference"/>
        <w:spacing w:line="252" w:lineRule="auto"/>
        <w:ind w:hanging="369" w:left="369"/>
      </w:pPr>
      <w:r>
        <w:rPr>
          <w:rFonts w:ascii="Noto Serif CJK SC" w:hAnsi="Noto Serif CJK SC" w:eastAsia="Noto Serif CJK SC"/>
        </w:rPr>
        <w:t xml:space="preserve">[6] Kai Wei, Raymond Li, Xi Zhu, Zhaoqian Xue, Jiaojiao Han, Jingcheng Niu, and Fan Yang. Skill-RAG: Failure-State-Aware Retrieval Augmentation via Hidden-State Probing and Skill Routing. arXiv:2604.15771, 2026. </w:t>
      </w:r>
      <w:hyperlink r:id="rId16">
        <w:r>
          <w:rPr>
            <w:color w:val="0563C1"/>
            <w:u w:val="single"/>
            <w:rFonts w:ascii="Noto Serif" w:hAnsi="Noto Serif" w:eastAsia="Noto Serif CJK SC"/>
          </w:rPr>
          <w:t>https://arxiv.org/abs/2604.15771</w:t>
        </w:r>
      </w:hyperlink>
    </w:p>
    <w:p>
      <w:pPr>
        <w:pStyle w:val="Reference"/>
        <w:spacing w:line="252" w:lineRule="auto"/>
        <w:ind w:hanging="369" w:left="369"/>
      </w:pPr>
      <w:r>
        <w:rPr>
          <w:rFonts w:ascii="Noto Serif CJK SC" w:hAnsi="Noto Serif CJK SC" w:eastAsia="Noto Serif CJK SC"/>
        </w:rPr>
        <w:t xml:space="preserve">[7] Passant Elchafei, Monorama Swain, Shahed Masoudian, and Markus Schedl. Facet-Level Tracing of Evidence Uncertainty and Hallucination in RAG. arXiv:2604.09174, 2026. </w:t>
      </w:r>
      <w:hyperlink r:id="rId17">
        <w:r>
          <w:rPr>
            <w:color w:val="0563C1"/>
            <w:u w:val="single"/>
            <w:rFonts w:ascii="Noto Serif" w:hAnsi="Noto Serif" w:eastAsia="Noto Serif CJK SC"/>
          </w:rPr>
          <w:t>https://arxiv.org/abs/2604.09174</w:t>
        </w:r>
      </w:hyperlink>
    </w:p>
    <w:p>
      <w:pPr>
        <w:pStyle w:val="Reference"/>
        <w:spacing w:line="252" w:lineRule="auto"/>
        <w:ind w:hanging="369" w:left="369"/>
      </w:pPr>
      <w:r>
        <w:rPr>
          <w:rFonts w:ascii="Noto Serif CJK SC" w:hAnsi="Noto Serif CJK SC" w:eastAsia="Noto Serif CJK SC"/>
        </w:rPr>
        <w:t xml:space="preserve">[8] Siddharth Jain and Venkat Narayan Vedam. CUE-R: Beyond the Final Answer in Retrieval-Augmented Generation. arXiv:2604.05467, 2026. </w:t>
      </w:r>
      <w:hyperlink r:id="rId18">
        <w:r>
          <w:rPr>
            <w:color w:val="0563C1"/>
            <w:u w:val="single"/>
            <w:rFonts w:ascii="Noto Serif" w:hAnsi="Noto Serif" w:eastAsia="Noto Serif CJK SC"/>
          </w:rPr>
          <w:t>https://arxiv.org/abs/2604.05467</w:t>
        </w:r>
      </w:hyperlink>
    </w:p>
    <w:p>
      <w:pPr>
        <w:pStyle w:val="Reference"/>
        <w:spacing w:line="252" w:lineRule="auto"/>
        <w:ind w:hanging="369" w:left="369"/>
      </w:pPr>
      <w:r>
        <w:rPr>
          <w:rFonts w:ascii="Noto Serif CJK SC" w:hAnsi="Noto Serif CJK SC" w:eastAsia="Noto Serif CJK SC"/>
        </w:rPr>
        <w:t xml:space="preserve">[9] Mahdi Astaraki, Mohammad Arshi Saloot, Ali Shiraee Kasmaee, Hamidreza Mahyar, and Soheila Samiee. When Iterative RAG Beats Ideal Evidence: A Diagnostic Study in Scientific Multi-hop Question Answering. arXiv:2601.19827, 2026. </w:t>
      </w:r>
      <w:hyperlink r:id="rId19">
        <w:r>
          <w:rPr>
            <w:color w:val="0563C1"/>
            <w:u w:val="single"/>
            <w:rFonts w:ascii="Noto Serif" w:hAnsi="Noto Serif" w:eastAsia="Noto Serif CJK SC"/>
          </w:rPr>
          <w:t>https://arxiv.org/abs/2601.19827</w:t>
        </w:r>
      </w:hyperlink>
    </w:p>
    <w:p>
      <w:pPr>
        <w:pStyle w:val="Reference"/>
        <w:spacing w:line="252" w:lineRule="auto"/>
        <w:ind w:hanging="369" w:left="369"/>
      </w:pPr>
      <w:r>
        <w:rPr>
          <w:rFonts w:ascii="Noto Serif CJK SC" w:hAnsi="Noto Serif CJK SC" w:eastAsia="Noto Serif CJK SC"/>
        </w:rPr>
        <w:t xml:space="preserve">[10] Zhichao Xu, Zongyu Wu, Yun Zhou, Aosong Feng, Kang Zhou, Sangmin Woo, Kiran Ramnath, Yijun Tian, Xuan Qi, Weikang Qiu, Lin Lee Cheong, and Haibo Ding. Beyond Correctness: Rewarding Faithful Reasoning in Retrieval-Augmented Generation. arXiv:2510.13272, 2025/2026. </w:t>
      </w:r>
      <w:hyperlink r:id="rId20">
        <w:r>
          <w:rPr>
            <w:color w:val="0563C1"/>
            <w:u w:val="single"/>
            <w:rFonts w:ascii="Noto Serif" w:hAnsi="Noto Serif" w:eastAsia="Noto Serif CJK SC"/>
          </w:rPr>
          <w:t>https://arxiv.org/abs/2510.13272</w:t>
        </w:r>
      </w:hyperlink>
    </w:p>
    <w:p>
      <w:pPr>
        <w:pStyle w:val="Reference"/>
      </w:pPr>
      <w:r>
        <w:rPr>
          <w:rFonts w:ascii="Noto Serif CJK SC" w:hAnsi="Noto Serif CJK SC" w:eastAsia="Noto Serif CJK SC"/>
          <w:i/>
        </w:rPr>
        <w:t>注：上述 2026 年文献中部分为 arXiv 预印本或近期会议/ACL Anthology 条目；用于 related work 时建议在正式投稿前再次核对版本号、发表状态和题名。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color w:val="646464"/>
        <w:sz w:val="17"/>
      </w:rPr>
      <w:t>Generated research brief | 2026-06-30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erif CJK SC" w:hAnsi="Noto Serif CJK SC" w:eastAsia="Noto Serif CJK SC"/>
        <w:color w:val="646464"/>
        <w:sz w:val="17"/>
      </w:rPr>
      <w:t>研究综述：Oracle Evidence 条件下的 Evidence-Use / Reasoning Failure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40"/>
    </w:pPr>
    <w:rPr>
      <w:rFonts w:ascii="Noto Serif CJK SC" w:hAnsi="Noto Serif CJK SC" w:eastAsia="Noto Serif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606.06758" TargetMode="External"/><Relationship Id="rId12" Type="http://schemas.openxmlformats.org/officeDocument/2006/relationships/hyperlink" Target="https://arxiv.org/abs/2603.11513" TargetMode="External"/><Relationship Id="rId13" Type="http://schemas.openxmlformats.org/officeDocument/2006/relationships/hyperlink" Target="https://aclanthology.org/2026.acl-long.1712/" TargetMode="External"/><Relationship Id="rId14" Type="http://schemas.openxmlformats.org/officeDocument/2006/relationships/hyperlink" Target="https://proceedings.neurips.cc/paper_files/paper/2025/hash/1f09e1ee5035a4c3fe38a5681cae5815-Abstract-Conference.html" TargetMode="External"/><Relationship Id="rId15" Type="http://schemas.openxmlformats.org/officeDocument/2006/relationships/hyperlink" Target="https://arxiv.org/abs/2605.14192" TargetMode="External"/><Relationship Id="rId16" Type="http://schemas.openxmlformats.org/officeDocument/2006/relationships/hyperlink" Target="https://arxiv.org/abs/2604.15771" TargetMode="External"/><Relationship Id="rId17" Type="http://schemas.openxmlformats.org/officeDocument/2006/relationships/hyperlink" Target="https://arxiv.org/abs/2604.09174" TargetMode="External"/><Relationship Id="rId18" Type="http://schemas.openxmlformats.org/officeDocument/2006/relationships/hyperlink" Target="https://arxiv.org/abs/2604.05467" TargetMode="External"/><Relationship Id="rId19" Type="http://schemas.openxmlformats.org/officeDocument/2006/relationships/hyperlink" Target="https://arxiv.org/abs/2601.19827" TargetMode="External"/><Relationship Id="rId20" Type="http://schemas.openxmlformats.org/officeDocument/2006/relationships/hyperlink" Target="https://arxiv.org/abs/2510.132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Oracle Evidence 条件下的 Evidence-Use / Reasoning Failure 研究综述</dc:title>
  <dc:subject>RAG evidence utilization and reasoning failure review</dc:subject>
  <dc:creator>OpenAI</dc:creator>
  <cp:keywords/>
  <dc:description>Generated for research planning; verify references before submission.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