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浙江全日制vs非全日制专升本 全面对比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浙江省专升本主要分为</w:t>
      </w:r>
      <w:r>
        <w:rPr>
          <w:rFonts w:eastAsia="等线" w:ascii="Arial" w:cs="Arial" w:hAnsi="Arial"/>
          <w:b w:val="true"/>
          <w:sz w:val="22"/>
        </w:rPr>
        <w:t>全日制普通专升本</w:t>
      </w:r>
      <w:r>
        <w:rPr>
          <w:rFonts w:eastAsia="等线" w:ascii="Arial" w:cs="Arial" w:hAnsi="Arial"/>
          <w:sz w:val="22"/>
        </w:rPr>
        <w:t>（统招专升本）和</w:t>
      </w:r>
      <w:r>
        <w:rPr>
          <w:rFonts w:eastAsia="等线" w:ascii="Arial" w:cs="Arial" w:hAnsi="Arial"/>
          <w:b w:val="true"/>
          <w:sz w:val="22"/>
        </w:rPr>
        <w:t>非全日制成人专升本</w:t>
      </w:r>
      <w:r>
        <w:rPr>
          <w:rFonts w:eastAsia="等线" w:ascii="Arial" w:cs="Arial" w:hAnsi="Arial"/>
          <w:sz w:val="22"/>
        </w:rPr>
        <w:t>两大类，两者在报考资格、学习方式、学历含金量、社会认可度等方面存在本质差异。以下是基于 2026 年最新政策的完整对比：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一、基本定义与核心定位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全日制普通专升本（统招专升本）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官方名称</w:t>
      </w:r>
      <w:r>
        <w:rPr>
          <w:rFonts w:eastAsia="等线" w:ascii="Arial" w:cs="Arial" w:hAnsi="Arial"/>
          <w:sz w:val="22"/>
        </w:rPr>
        <w:t>：浙江省普通高校专升本考试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：专科生获取</w:t>
      </w:r>
      <w:r>
        <w:rPr>
          <w:rFonts w:eastAsia="等线" w:ascii="Arial" w:cs="Arial" w:hAnsi="Arial"/>
          <w:b w:val="true"/>
          <w:sz w:val="22"/>
        </w:rPr>
        <w:t>全日制普通本科学历</w:t>
      </w:r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b w:val="true"/>
          <w:sz w:val="22"/>
        </w:rPr>
        <w:t>唯一官方途径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机会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一生仅一次</w:t>
      </w:r>
      <w:r>
        <w:rPr>
          <w:rFonts w:eastAsia="等线" w:ascii="Arial" w:cs="Arial" w:hAnsi="Arial"/>
          <w:sz w:val="22"/>
        </w:rPr>
        <w:t>，仅限浙江省内全日制专科</w:t>
      </w:r>
      <w:r>
        <w:rPr>
          <w:rFonts w:eastAsia="等线" w:ascii="Arial" w:cs="Arial" w:hAnsi="Arial"/>
          <w:b w:val="true"/>
          <w:sz w:val="22"/>
        </w:rPr>
        <w:t>应届毕业生</w:t>
      </w:r>
      <w:r>
        <w:rPr>
          <w:rFonts w:eastAsia="等线" w:ascii="Arial" w:cs="Arial" w:hAnsi="Arial"/>
          <w:sz w:val="22"/>
        </w:rPr>
        <w:t>报考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性质</w:t>
      </w:r>
      <w:r>
        <w:rPr>
          <w:rFonts w:eastAsia="等线" w:ascii="Arial" w:cs="Arial" w:hAnsi="Arial"/>
          <w:sz w:val="22"/>
        </w:rPr>
        <w:t>：属于普通高等教育，与高考统招本科同等待遇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非全日制成人专升本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：面向社会在职人员的学历提升方式，属于</w:t>
      </w:r>
      <w:r>
        <w:rPr>
          <w:rFonts w:eastAsia="等线" w:ascii="Arial" w:cs="Arial" w:hAnsi="Arial"/>
          <w:b w:val="true"/>
          <w:sz w:val="22"/>
        </w:rPr>
        <w:t>成人高等教育</w:t>
      </w:r>
      <w:r>
        <w:rPr>
          <w:rFonts w:eastAsia="等线" w:ascii="Arial" w:cs="Arial" w:hAnsi="Arial"/>
          <w:sz w:val="22"/>
        </w:rPr>
        <w:t>范畴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机会</w:t>
      </w:r>
      <w:r>
        <w:rPr>
          <w:rFonts w:eastAsia="等线" w:ascii="Arial" w:cs="Arial" w:hAnsi="Arial"/>
          <w:sz w:val="22"/>
        </w:rPr>
        <w:t>：无次数限制，年满 18 周岁即可报考，毕业多年也能考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主要形式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高等教育自学考试（自考）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成人高等学校招生全国统一考试（成考）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国家开放大学（原电大）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现代远程教育（已逐步整合，目前主要通过国开开展）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二、核心维度详细对比表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全日制普通专升本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非全日制成人专升本（自考 / 成考 / 国开）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报考资格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仅限浙江省内全日制普通高校</w:t>
            </w:r>
            <w:r>
              <w:rPr>
                <w:rFonts w:eastAsia="等线" w:ascii="Arial" w:cs="Arial" w:hAnsi="Arial"/>
                <w:b w:val="true"/>
                <w:sz w:val="22"/>
              </w:rPr>
              <w:t>专科应届毕业生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外省户籍在浙读专科可报，浙江户籍在外省读专科不可报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年满 18 周岁即可</w:t>
              <w:br/>
              <w:t>专科及以上学历（学信网可查）</w:t>
              <w:br/>
            </w:r>
            <w:r>
              <w:rPr>
                <w:rFonts w:eastAsia="等线" w:ascii="Arial" w:cs="Arial" w:hAnsi="Arial"/>
                <w:sz w:val="22"/>
              </w:rPr>
              <w:t>无地域、户籍、年龄限制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考试时间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 3 月报名，4 月考试，5 月录取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自考：每年 4 月、10 月考试</w:t>
              <w:br/>
              <w:t>成考：每年 10 月考试</w:t>
              <w:br/>
            </w:r>
            <w:r>
              <w:rPr>
                <w:rFonts w:eastAsia="等线" w:ascii="Arial" w:cs="Arial" w:hAnsi="Arial"/>
                <w:sz w:val="22"/>
              </w:rPr>
              <w:t>国开：每年 3 月、9 月注册入学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考试难度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  <w:br/>
              <w:t>全省统一命题，竞争激烈</w:t>
              <w:br/>
            </w:r>
            <w:r>
              <w:rPr>
                <w:rFonts w:eastAsia="等线" w:ascii="Arial" w:cs="Arial" w:hAnsi="Arial"/>
                <w:sz w:val="22"/>
              </w:rPr>
              <w:t>2026 年整体录取率约 55%，公办本科录取率约 25%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自考：★★★★☆</w:t>
              <w:br/>
              <w:t>成考：★★☆☆☆</w:t>
              <w:br/>
            </w:r>
            <w:r>
              <w:rPr>
                <w:rFonts w:eastAsia="等线" w:ascii="Arial" w:cs="Arial" w:hAnsi="Arial"/>
                <w:sz w:val="22"/>
              </w:rPr>
              <w:t>国开：★☆☆☆☆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学习形式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全日制在校学习</w:t>
            </w:r>
            <w:r>
              <w:rPr>
                <w:rFonts w:eastAsia="等线" w:ascii="Arial" w:cs="Arial" w:hAnsi="Arial"/>
                <w:sz w:val="22"/>
              </w:rPr>
              <w:t>2 年（医学类 3 年）</w:t>
              <w:br/>
            </w:r>
            <w:r>
              <w:rPr>
                <w:rFonts w:eastAsia="等线" w:ascii="Arial" w:cs="Arial" w:hAnsi="Arial"/>
                <w:sz w:val="22"/>
              </w:rPr>
              <w:t>与高考统招本科生同班上课，共享学校资源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自考：自学为主，可报辅导班</w:t>
              <w:br/>
              <w:t>成考：业余 / 函授为主，周末或寒暑假上课</w:t>
              <w:br/>
            </w:r>
            <w:r>
              <w:rPr>
                <w:rFonts w:eastAsia="等线" w:ascii="Arial" w:cs="Arial" w:hAnsi="Arial"/>
                <w:sz w:val="22"/>
              </w:rPr>
              <w:t>国开：线上学习为主，无需到校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年（医学类 3 年）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自考：无固定学制，最快 1.5 年考完</w:t>
              <w:br/>
              <w:t>成考：2.5 年</w:t>
              <w:br/>
            </w:r>
            <w:r>
              <w:rPr>
                <w:rFonts w:eastAsia="等线" w:ascii="Arial" w:cs="Arial" w:hAnsi="Arial"/>
                <w:sz w:val="22"/>
              </w:rPr>
              <w:t>国开：2.5 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公办本科：4800-6000 元 / 年</w:t>
              <w:br/>
            </w:r>
            <w:r>
              <w:rPr>
                <w:rFonts w:eastAsia="等线" w:ascii="Arial" w:cs="Arial" w:hAnsi="Arial"/>
                <w:sz w:val="22"/>
              </w:rPr>
              <w:t>民办本科：18000-25000 元 / 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自考：报名费 + 教材费约 1000-3000 元</w:t>
              <w:br/>
              <w:t>成考：2000-3000 元 / 年</w:t>
              <w:br/>
            </w:r>
            <w:r>
              <w:rPr>
                <w:rFonts w:eastAsia="等线" w:ascii="Arial" w:cs="Arial" w:hAnsi="Arial"/>
                <w:sz w:val="22"/>
              </w:rPr>
              <w:t>国开：2500-3500 元 / 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学历性质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普通高等教育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成人高等教育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第一学历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专科</w:t>
            </w:r>
            <w:r>
              <w:rPr>
                <w:rFonts w:eastAsia="等线" w:ascii="Arial" w:cs="Arial" w:hAnsi="Arial"/>
                <w:sz w:val="22"/>
              </w:rPr>
              <w:t>（最高学历为本科）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毕业证标注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普通高等学校毕业证书</w:t>
              <w:br/>
            </w:r>
            <w:r>
              <w:rPr>
                <w:rFonts w:eastAsia="等线" w:ascii="Arial" w:cs="Arial" w:hAnsi="Arial"/>
                <w:sz w:val="22"/>
              </w:rPr>
              <w:t>标注 "专科起点本科学习"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成人高等教育毕业证书</w:t>
              <w:br/>
            </w:r>
            <w:r>
              <w:rPr>
                <w:rFonts w:eastAsia="等线" w:ascii="Arial" w:cs="Arial" w:hAnsi="Arial"/>
                <w:sz w:val="22"/>
              </w:rPr>
              <w:t>标注 "成人高等教育 / 自学考试 / 国家开放大学"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学位证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与统招本科完全相同，无特殊标注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成人高等教育学士学位证书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学信网查询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学历类型：普通高等教育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学历类型：成人高等教育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整体含金量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自考：★★★☆☆</w:t>
              <w:br/>
              <w:t>成考：★★☆☆☆</w:t>
              <w:br/>
            </w:r>
            <w:r>
              <w:rPr>
                <w:rFonts w:eastAsia="等线" w:ascii="Arial" w:cs="Arial" w:hAnsi="Arial"/>
                <w:sz w:val="22"/>
              </w:rPr>
              <w:t>国开：★☆☆☆☆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企业就业认可度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与高考统招本科</w:t>
            </w:r>
            <w:r>
              <w:rPr>
                <w:rFonts w:eastAsia="等线" w:ascii="Arial" w:cs="Arial" w:hAnsi="Arial"/>
                <w:b w:val="true"/>
                <w:sz w:val="22"/>
              </w:rPr>
              <w:t>完全相同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所有企业均认可，无任何歧视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大型国企、央企、外企认可度较低</w:t>
              <w:br/>
              <w:t>中小企业部分认可</w:t>
              <w:br/>
            </w:r>
            <w:r>
              <w:rPr>
                <w:rFonts w:eastAsia="等线" w:ascii="Arial" w:cs="Arial" w:hAnsi="Arial"/>
                <w:sz w:val="22"/>
              </w:rPr>
              <w:t>主要用于内部晋升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考公 / 考编认可度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完全认可，可报考所有要求 "本科及以上" 的岗位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大部分岗位认可（除明确要求 "全日制本科" 的岗位）</w:t>
              <w:br/>
            </w:r>
            <w:r>
              <w:rPr>
                <w:rFonts w:eastAsia="等线" w:ascii="Arial" w:cs="Arial" w:hAnsi="Arial"/>
                <w:sz w:val="22"/>
              </w:rPr>
              <w:t>部分地区事业单位限制较多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考研认可度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完全认可，可直接报考所有院校和专业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认可，但部分 985/211 院校在复试时可能存在隐性歧视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落户政策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享受全日制本科落户政策</w:t>
              <w:br/>
            </w:r>
            <w:r>
              <w:rPr>
                <w:rFonts w:eastAsia="等线" w:ascii="Arial" w:cs="Arial" w:hAnsi="Arial"/>
                <w:sz w:val="22"/>
              </w:rPr>
              <w:t>杭州、宁波等城市可直接落户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部分城市可落户，但不能享受全日制本科的人才补贴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适合人群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在校专科应届毕业生</w:t>
              <w:br/>
              <w:t>想获得全日制本科学历</w:t>
              <w:br/>
            </w:r>
            <w:r>
              <w:rPr>
                <w:rFonts w:eastAsia="等线" w:ascii="Arial" w:cs="Arial" w:hAnsi="Arial"/>
                <w:sz w:val="22"/>
              </w:rPr>
              <w:t>未来计划考研、考公、进国企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已经毕业参加工作的在职人员</w:t>
              <w:br/>
              <w:t>想提升学历用于评职称、考资格证</w:t>
              <w:br/>
            </w:r>
            <w:r>
              <w:rPr>
                <w:rFonts w:eastAsia="等线" w:ascii="Arial" w:cs="Arial" w:hAnsi="Arial"/>
                <w:sz w:val="22"/>
              </w:rPr>
              <w:t>无法全日制在校学习的人群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三、近 6 年浙江专升本各类别录取分数线汇总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2020-2026 年浙江专升本省控线一览表（满分 300 分）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招考类别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2020 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2021 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 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 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 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 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年（预测）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文史类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222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法学类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198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226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艺术类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理工类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182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经管类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156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农学类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214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医学类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分数线说明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以上为浙江省教育考试院公布的各类别</w:t>
      </w:r>
      <w:r>
        <w:rPr>
          <w:rFonts w:eastAsia="等线" w:ascii="Arial" w:cs="Arial" w:hAnsi="Arial"/>
          <w:b w:val="true"/>
          <w:sz w:val="22"/>
        </w:rPr>
        <w:t>最低录取控制分数线</w:t>
      </w:r>
      <w:r>
        <w:rPr>
          <w:rFonts w:eastAsia="等线" w:ascii="Arial" w:cs="Arial" w:hAnsi="Arial"/>
          <w:sz w:val="22"/>
        </w:rPr>
        <w:t>（省控线），是考生被录取的最低分数要求，实际录取分数通常高于省控线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 年分数线为基于历年数据、招生计划及报考人数的预测值，最终以浙江省教育考试院官方发布为准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近年整体趋势：多数类别呈波动上涨态势，其中农学类 2026 年预测涨幅最大（+77 分），经管类和理工类小幅下降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热门专业（如计算机科学与技术、会计学、临床医学等）的实际录取分数通常比省控线高 50-80 分，公办院校录取分数普遍高于民办和职业本科院校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四、关键差异深度解析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学历含金量与第一学历的本质区别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全日制专升本</w:t>
      </w:r>
      <w:r>
        <w:rPr>
          <w:rFonts w:eastAsia="等线" w:ascii="Arial" w:cs="Arial" w:hAnsi="Arial"/>
          <w:sz w:val="22"/>
        </w:rPr>
        <w:t>：毕业后第一学历为本科，这是与非全日制最核心的区别。在招聘、考公、落户等场景中，"第一学历" 往往是重要的筛选标准。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非全日制专升本</w:t>
      </w:r>
      <w:r>
        <w:rPr>
          <w:rFonts w:eastAsia="等线" w:ascii="Arial" w:cs="Arial" w:hAnsi="Arial"/>
          <w:sz w:val="22"/>
        </w:rPr>
        <w:t>：第一学历永远是专科，本科只是最高学历。很多企业在招聘时会明确要求 "全日制本科及以上学历"，非全日制学历会被直接排除。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考试难度与竞争程度</w:t>
      </w:r>
      <w:bookmarkEnd w:id="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全日制专升本</w:t>
      </w:r>
      <w:r>
        <w:rPr>
          <w:rFonts w:eastAsia="等线" w:ascii="Arial" w:cs="Arial" w:hAnsi="Arial"/>
          <w:sz w:val="22"/>
        </w:rPr>
        <w:t>：全省统一考试，择优录取。近年来报考人数持续增加，2026 年报考人数突破 8 万人，公办本科竞争尤为激烈，热门专业录取分数线超过 270 分（满分 300 分）。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非全日制专升本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自考：没有入学考试，但需要通过 10-15 门课程考试，全部合格才能毕业，难度最大。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成考：有入学考试，但难度很低，录取率超过 90%。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国开：免试入学，只要修满学分即可毕业，难度最低。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学习体验与资源获取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全日制专升本</w:t>
      </w:r>
      <w:r>
        <w:rPr>
          <w:rFonts w:eastAsia="等线" w:ascii="Arial" w:cs="Arial" w:hAnsi="Arial"/>
          <w:sz w:val="22"/>
        </w:rPr>
        <w:t>：学生完全融入本科院校的学习生活，享受图书馆、实验室、师资、校园活动等所有资源，能够系统地学习专业知识，同时积累优质的人脉资源。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非全日制专升本</w:t>
      </w:r>
      <w:r>
        <w:rPr>
          <w:rFonts w:eastAsia="等线" w:ascii="Arial" w:cs="Arial" w:hAnsi="Arial"/>
          <w:sz w:val="22"/>
        </w:rPr>
        <w:t>：以自学和线上学习为主，几乎不参与学校的校园生活，学习体验和资源获取与全日制有天壤之别。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五、常见误区澄清</w:t>
      </w:r>
      <w:bookmarkEnd w:id="1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误区</w:t>
      </w:r>
      <w:r>
        <w:rPr>
          <w:rFonts w:eastAsia="等线" w:ascii="Arial" w:cs="Arial" w:hAnsi="Arial"/>
          <w:sz w:val="22"/>
        </w:rPr>
        <w:t>：非全日制学历国家不承认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澄清</w:t>
      </w:r>
      <w:r>
        <w:rPr>
          <w:rFonts w:eastAsia="等线" w:ascii="Arial" w:cs="Arial" w:hAnsi="Arial"/>
          <w:sz w:val="22"/>
        </w:rPr>
        <w:t>：非全日制学历是国家承认的正规学历，学信网可查，在法律上与全日制学历具有同等效力。但在实际社会认可度上存在较大差异。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误区</w:t>
      </w:r>
      <w:r>
        <w:rPr>
          <w:rFonts w:eastAsia="等线" w:ascii="Arial" w:cs="Arial" w:hAnsi="Arial"/>
          <w:sz w:val="22"/>
        </w:rPr>
        <w:t>：专升本都是第一学历本科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澄清</w:t>
      </w:r>
      <w:r>
        <w:rPr>
          <w:rFonts w:eastAsia="等线" w:ascii="Arial" w:cs="Arial" w:hAnsi="Arial"/>
          <w:sz w:val="22"/>
        </w:rPr>
        <w:t>：只有全日制普通专升本的第一学历是本科，所有非全日制专升本的第一学历都是专科。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误区</w:t>
      </w:r>
      <w:r>
        <w:rPr>
          <w:rFonts w:eastAsia="等线" w:ascii="Arial" w:cs="Arial" w:hAnsi="Arial"/>
          <w:sz w:val="22"/>
        </w:rPr>
        <w:t>：非全日制学历不能考公考研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澄清</w:t>
      </w:r>
      <w:r>
        <w:rPr>
          <w:rFonts w:eastAsia="等线" w:ascii="Arial" w:cs="Arial" w:hAnsi="Arial"/>
          <w:sz w:val="22"/>
        </w:rPr>
        <w:t>：非全日制学历可以报考大部分公务员和研究生考试，但不能报考明确要求 "全日制本科" 的岗位。部分 985/211 院校在研究生复试时可能会对非全日制考生有更高的要求。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六、选择建议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优先选择全日制专升本的情况</w:t>
      </w:r>
      <w:bookmarkEnd w:id="13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</w:t>
      </w:r>
      <w:r>
        <w:rPr>
          <w:rFonts w:eastAsia="等线" w:ascii="Arial" w:cs="Arial" w:hAnsi="Arial"/>
          <w:b w:val="true"/>
          <w:sz w:val="22"/>
        </w:rPr>
        <w:t>在校专科应届毕业生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你希望获得</w:t>
      </w:r>
      <w:r>
        <w:rPr>
          <w:rFonts w:eastAsia="等线" w:ascii="Arial" w:cs="Arial" w:hAnsi="Arial"/>
          <w:b w:val="true"/>
          <w:sz w:val="22"/>
        </w:rPr>
        <w:t>全日制本科学历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你未来计划</w:t>
      </w:r>
      <w:r>
        <w:rPr>
          <w:rFonts w:eastAsia="等线" w:ascii="Arial" w:cs="Arial" w:hAnsi="Arial"/>
          <w:b w:val="true"/>
          <w:sz w:val="22"/>
        </w:rPr>
        <w:t>考研、考公、考编、进国企或央企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你能够承受 2 年的全日制学习时间和费用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只能选择非全日制专升本的情况</w:t>
      </w:r>
      <w:bookmarkEnd w:id="14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你已经</w:t>
      </w:r>
      <w:r>
        <w:rPr>
          <w:rFonts w:eastAsia="等线" w:ascii="Arial" w:cs="Arial" w:hAnsi="Arial"/>
          <w:b w:val="true"/>
          <w:sz w:val="22"/>
        </w:rPr>
        <w:t>专科毕业多年</w:t>
      </w:r>
      <w:r>
        <w:rPr>
          <w:rFonts w:eastAsia="等线" w:ascii="Arial" w:cs="Arial" w:hAnsi="Arial"/>
          <w:sz w:val="22"/>
        </w:rPr>
        <w:t>，无法再报考全日制专升本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你已经参加工作，无法全日制在校学习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你提升学历的主要目的是</w:t>
      </w:r>
      <w:r>
        <w:rPr>
          <w:rFonts w:eastAsia="等线" w:ascii="Arial" w:cs="Arial" w:hAnsi="Arial"/>
          <w:b w:val="true"/>
          <w:sz w:val="22"/>
        </w:rPr>
        <w:t>评职称、考资格证、内部晋升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你对学历的含金量要求不高，只需要一个国家承认的本科文凭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非全日制形式选择建议</w:t>
      </w:r>
      <w:bookmarkEnd w:id="15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如果你学习能力强、时间充足，选择</w:t>
      </w:r>
      <w:r>
        <w:rPr>
          <w:rFonts w:eastAsia="等线" w:ascii="Arial" w:cs="Arial" w:hAnsi="Arial"/>
          <w:b w:val="true"/>
          <w:sz w:val="22"/>
        </w:rPr>
        <w:t>自考</w:t>
      </w:r>
      <w:r>
        <w:rPr>
          <w:rFonts w:eastAsia="等线" w:ascii="Arial" w:cs="Arial" w:hAnsi="Arial"/>
          <w:sz w:val="22"/>
        </w:rPr>
        <w:t>，含金量最高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如果你想轻松稳妥地拿到学历，选择</w:t>
      </w:r>
      <w:r>
        <w:rPr>
          <w:rFonts w:eastAsia="等线" w:ascii="Arial" w:cs="Arial" w:hAnsi="Arial"/>
          <w:b w:val="true"/>
          <w:sz w:val="22"/>
        </w:rPr>
        <w:t>成考</w:t>
      </w:r>
      <w:r>
        <w:rPr>
          <w:rFonts w:eastAsia="等线" w:ascii="Arial" w:cs="Arial" w:hAnsi="Arial"/>
          <w:sz w:val="22"/>
        </w:rPr>
        <w:t>，难度适中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如果你基础较差、时间紧张，选择</w:t>
      </w:r>
      <w:r>
        <w:rPr>
          <w:rFonts w:eastAsia="等线" w:ascii="Arial" w:cs="Arial" w:hAnsi="Arial"/>
          <w:b w:val="true"/>
          <w:sz w:val="22"/>
        </w:rPr>
        <w:t>国家开放大学</w:t>
      </w:r>
      <w:r>
        <w:rPr>
          <w:rFonts w:eastAsia="等线" w:ascii="Arial" w:cs="Arial" w:hAnsi="Arial"/>
          <w:sz w:val="22"/>
        </w:rPr>
        <w:t>，最容易毕业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8536">
    <w:lvl>
      <w:numFmt w:val="bullet"/>
      <w:suff w:val="tab"/>
      <w:lvlText w:val="•"/>
      <w:rPr>
        <w:color w:val="3370ff"/>
      </w:rPr>
    </w:lvl>
  </w:abstractNum>
  <w:abstractNum w:abstractNumId="358537">
    <w:lvl>
      <w:numFmt w:val="bullet"/>
      <w:suff w:val="tab"/>
      <w:lvlText w:val="•"/>
      <w:rPr>
        <w:color w:val="3370ff"/>
      </w:rPr>
    </w:lvl>
  </w:abstractNum>
  <w:abstractNum w:abstractNumId="358538">
    <w:lvl>
      <w:numFmt w:val="bullet"/>
      <w:suff w:val="tab"/>
      <w:lvlText w:val="•"/>
      <w:rPr>
        <w:color w:val="3370ff"/>
      </w:rPr>
    </w:lvl>
  </w:abstractNum>
  <w:abstractNum w:abstractNumId="358539">
    <w:lvl>
      <w:numFmt w:val="bullet"/>
      <w:suff w:val="tab"/>
      <w:lvlText w:val="•"/>
      <w:rPr>
        <w:color w:val="3370ff"/>
      </w:rPr>
    </w:lvl>
  </w:abstractNum>
  <w:abstractNum w:abstractNumId="358540">
    <w:lvl>
      <w:numFmt w:val="bullet"/>
      <w:suff w:val="tab"/>
      <w:lvlText w:val="•"/>
      <w:rPr>
        <w:color w:val="3370ff"/>
      </w:rPr>
    </w:lvl>
  </w:abstractNum>
  <w:abstractNum w:abstractNumId="358541">
    <w:lvl>
      <w:numFmt w:val="bullet"/>
      <w:suff w:val="tab"/>
      <w:lvlText w:val="•"/>
      <w:rPr>
        <w:color w:val="3370ff"/>
      </w:rPr>
    </w:lvl>
  </w:abstractNum>
  <w:abstractNum w:abstractNumId="358542">
    <w:lvl>
      <w:numFmt w:val="bullet"/>
      <w:suff w:val="tab"/>
      <w:lvlText w:val="•"/>
      <w:rPr>
        <w:color w:val="3370ff"/>
      </w:rPr>
    </w:lvl>
  </w:abstractNum>
  <w:abstractNum w:abstractNumId="358543">
    <w:lvl>
      <w:numFmt w:val="bullet"/>
      <w:suff w:val="tab"/>
      <w:lvlText w:val="￮"/>
      <w:rPr>
        <w:color w:val="3370ff"/>
      </w:rPr>
    </w:lvl>
  </w:abstractNum>
  <w:abstractNum w:abstractNumId="358544">
    <w:lvl>
      <w:numFmt w:val="bullet"/>
      <w:suff w:val="tab"/>
      <w:lvlText w:val="￮"/>
      <w:rPr>
        <w:color w:val="3370ff"/>
      </w:rPr>
    </w:lvl>
  </w:abstractNum>
  <w:abstractNum w:abstractNumId="358545">
    <w:lvl>
      <w:numFmt w:val="bullet"/>
      <w:suff w:val="tab"/>
      <w:lvlText w:val="￮"/>
      <w:rPr>
        <w:color w:val="3370ff"/>
      </w:rPr>
    </w:lvl>
  </w:abstractNum>
  <w:abstractNum w:abstractNumId="358546">
    <w:lvl>
      <w:numFmt w:val="bullet"/>
      <w:suff w:val="tab"/>
      <w:lvlText w:val="￮"/>
      <w:rPr>
        <w:color w:val="3370ff"/>
      </w:rPr>
    </w:lvl>
  </w:abstractNum>
  <w:abstractNum w:abstractNumId="358547">
    <w:lvl>
      <w:start w:val="1"/>
      <w:numFmt w:val="decimal"/>
      <w:suff w:val="tab"/>
      <w:lvlText w:val="%1."/>
      <w:rPr>
        <w:color w:val="3370ff"/>
      </w:rPr>
    </w:lvl>
  </w:abstractNum>
  <w:abstractNum w:abstractNumId="358548">
    <w:lvl>
      <w:start w:val="2"/>
      <w:numFmt w:val="decimal"/>
      <w:suff w:val="tab"/>
      <w:lvlText w:val="%1."/>
      <w:rPr>
        <w:color w:val="3370ff"/>
      </w:rPr>
    </w:lvl>
  </w:abstractNum>
  <w:abstractNum w:abstractNumId="358549">
    <w:lvl>
      <w:start w:val="3"/>
      <w:numFmt w:val="decimal"/>
      <w:suff w:val="tab"/>
      <w:lvlText w:val="%1."/>
      <w:rPr>
        <w:color w:val="3370ff"/>
      </w:rPr>
    </w:lvl>
  </w:abstractNum>
  <w:abstractNum w:abstractNumId="358550">
    <w:lvl>
      <w:start w:val="4"/>
      <w:numFmt w:val="decimal"/>
      <w:suff w:val="tab"/>
      <w:lvlText w:val="%1."/>
      <w:rPr>
        <w:color w:val="3370ff"/>
      </w:rPr>
    </w:lvl>
  </w:abstractNum>
  <w:abstractNum w:abstractNumId="358551">
    <w:lvl>
      <w:numFmt w:val="bullet"/>
      <w:suff w:val="tab"/>
      <w:lvlText w:val="•"/>
      <w:rPr>
        <w:color w:val="3370ff"/>
      </w:rPr>
    </w:lvl>
  </w:abstractNum>
  <w:abstractNum w:abstractNumId="358552">
    <w:lvl>
      <w:numFmt w:val="bullet"/>
      <w:suff w:val="tab"/>
      <w:lvlText w:val="•"/>
      <w:rPr>
        <w:color w:val="3370ff"/>
      </w:rPr>
    </w:lvl>
  </w:abstractNum>
  <w:abstractNum w:abstractNumId="358553">
    <w:lvl>
      <w:numFmt w:val="bullet"/>
      <w:suff w:val="tab"/>
      <w:lvlText w:val="•"/>
      <w:rPr>
        <w:color w:val="3370ff"/>
      </w:rPr>
    </w:lvl>
  </w:abstractNum>
  <w:abstractNum w:abstractNumId="358554">
    <w:lvl>
      <w:numFmt w:val="bullet"/>
      <w:suff w:val="tab"/>
      <w:lvlText w:val="•"/>
      <w:rPr>
        <w:color w:val="3370ff"/>
      </w:rPr>
    </w:lvl>
  </w:abstractNum>
  <w:abstractNum w:abstractNumId="358555">
    <w:lvl>
      <w:numFmt w:val="bullet"/>
      <w:suff w:val="tab"/>
      <w:lvlText w:val="￮"/>
      <w:rPr>
        <w:color w:val="3370ff"/>
      </w:rPr>
    </w:lvl>
  </w:abstractNum>
  <w:abstractNum w:abstractNumId="358556">
    <w:lvl>
      <w:numFmt w:val="bullet"/>
      <w:suff w:val="tab"/>
      <w:lvlText w:val="￮"/>
      <w:rPr>
        <w:color w:val="3370ff"/>
      </w:rPr>
    </w:lvl>
  </w:abstractNum>
  <w:abstractNum w:abstractNumId="358557">
    <w:lvl>
      <w:numFmt w:val="bullet"/>
      <w:suff w:val="tab"/>
      <w:lvlText w:val="￮"/>
      <w:rPr>
        <w:color w:val="3370ff"/>
      </w:rPr>
    </w:lvl>
  </w:abstractNum>
  <w:abstractNum w:abstractNumId="358558">
    <w:lvl>
      <w:numFmt w:val="bullet"/>
      <w:suff w:val="tab"/>
      <w:lvlText w:val="•"/>
      <w:rPr>
        <w:color w:val="3370ff"/>
      </w:rPr>
    </w:lvl>
  </w:abstractNum>
  <w:abstractNum w:abstractNumId="358559">
    <w:lvl>
      <w:numFmt w:val="bullet"/>
      <w:suff w:val="tab"/>
      <w:lvlText w:val="•"/>
      <w:rPr>
        <w:color w:val="3370ff"/>
      </w:rPr>
    </w:lvl>
  </w:abstractNum>
  <w:abstractNum w:abstractNumId="358560">
    <w:lvl>
      <w:start w:val="1"/>
      <w:numFmt w:val="decimal"/>
      <w:suff w:val="tab"/>
      <w:lvlText w:val="%1."/>
      <w:rPr>
        <w:color w:val="3370ff"/>
      </w:rPr>
    </w:lvl>
  </w:abstractNum>
  <w:abstractNum w:abstractNumId="358561">
    <w:lvl>
      <w:numFmt w:val="bullet"/>
      <w:suff w:val="tab"/>
      <w:lvlText w:val="￮"/>
      <w:rPr>
        <w:color w:val="3370ff"/>
      </w:rPr>
    </w:lvl>
  </w:abstractNum>
  <w:abstractNum w:abstractNumId="358562">
    <w:lvl>
      <w:start w:val="2"/>
      <w:numFmt w:val="decimal"/>
      <w:suff w:val="tab"/>
      <w:lvlText w:val="%1."/>
      <w:rPr>
        <w:color w:val="3370ff"/>
      </w:rPr>
    </w:lvl>
  </w:abstractNum>
  <w:abstractNum w:abstractNumId="358563">
    <w:lvl>
      <w:numFmt w:val="bullet"/>
      <w:suff w:val="tab"/>
      <w:lvlText w:val="￮"/>
      <w:rPr>
        <w:color w:val="3370ff"/>
      </w:rPr>
    </w:lvl>
  </w:abstractNum>
  <w:abstractNum w:abstractNumId="358564">
    <w:lvl>
      <w:start w:val="3"/>
      <w:numFmt w:val="decimal"/>
      <w:suff w:val="tab"/>
      <w:lvlText w:val="%1."/>
      <w:rPr>
        <w:color w:val="3370ff"/>
      </w:rPr>
    </w:lvl>
  </w:abstractNum>
  <w:abstractNum w:abstractNumId="358565">
    <w:lvl>
      <w:numFmt w:val="bullet"/>
      <w:suff w:val="tab"/>
      <w:lvlText w:val="￮"/>
      <w:rPr>
        <w:color w:val="3370ff"/>
      </w:rPr>
    </w:lvl>
  </w:abstractNum>
  <w:abstractNum w:abstractNumId="358566">
    <w:lvl>
      <w:numFmt w:val="bullet"/>
      <w:suff w:val="tab"/>
      <w:lvlText w:val="•"/>
      <w:rPr>
        <w:color w:val="3370ff"/>
      </w:rPr>
    </w:lvl>
  </w:abstractNum>
  <w:abstractNum w:abstractNumId="358567">
    <w:lvl>
      <w:numFmt w:val="bullet"/>
      <w:suff w:val="tab"/>
      <w:lvlText w:val="•"/>
      <w:rPr>
        <w:color w:val="3370ff"/>
      </w:rPr>
    </w:lvl>
  </w:abstractNum>
  <w:abstractNum w:abstractNumId="358568">
    <w:lvl>
      <w:numFmt w:val="bullet"/>
      <w:suff w:val="tab"/>
      <w:lvlText w:val="•"/>
      <w:rPr>
        <w:color w:val="3370ff"/>
      </w:rPr>
    </w:lvl>
  </w:abstractNum>
  <w:abstractNum w:abstractNumId="358569">
    <w:lvl>
      <w:numFmt w:val="bullet"/>
      <w:suff w:val="tab"/>
      <w:lvlText w:val="•"/>
      <w:rPr>
        <w:color w:val="3370ff"/>
      </w:rPr>
    </w:lvl>
  </w:abstractNum>
  <w:abstractNum w:abstractNumId="358570">
    <w:lvl>
      <w:numFmt w:val="bullet"/>
      <w:suff w:val="tab"/>
      <w:lvlText w:val="•"/>
      <w:rPr>
        <w:color w:val="3370ff"/>
      </w:rPr>
    </w:lvl>
  </w:abstractNum>
  <w:abstractNum w:abstractNumId="358571">
    <w:lvl>
      <w:numFmt w:val="bullet"/>
      <w:suff w:val="tab"/>
      <w:lvlText w:val="•"/>
      <w:rPr>
        <w:color w:val="3370ff"/>
      </w:rPr>
    </w:lvl>
  </w:abstractNum>
  <w:abstractNum w:abstractNumId="358572">
    <w:lvl>
      <w:numFmt w:val="bullet"/>
      <w:suff w:val="tab"/>
      <w:lvlText w:val="•"/>
      <w:rPr>
        <w:color w:val="3370ff"/>
      </w:rPr>
    </w:lvl>
  </w:abstractNum>
  <w:abstractNum w:abstractNumId="358573">
    <w:lvl>
      <w:numFmt w:val="bullet"/>
      <w:suff w:val="tab"/>
      <w:lvlText w:val="•"/>
      <w:rPr>
        <w:color w:val="3370ff"/>
      </w:rPr>
    </w:lvl>
  </w:abstractNum>
  <w:abstractNum w:abstractNumId="358574">
    <w:lvl>
      <w:numFmt w:val="bullet"/>
      <w:suff w:val="tab"/>
      <w:lvlText w:val="•"/>
      <w:rPr>
        <w:color w:val="3370ff"/>
      </w:rPr>
    </w:lvl>
  </w:abstractNum>
  <w:abstractNum w:abstractNumId="358575">
    <w:lvl>
      <w:numFmt w:val="bullet"/>
      <w:suff w:val="tab"/>
      <w:lvlText w:val="•"/>
      <w:rPr>
        <w:color w:val="3370ff"/>
      </w:rPr>
    </w:lvl>
  </w:abstractNum>
  <w:abstractNum w:abstractNumId="358576">
    <w:lvl>
      <w:numFmt w:val="bullet"/>
      <w:suff w:val="tab"/>
      <w:lvlText w:val="•"/>
      <w:rPr>
        <w:color w:val="3370ff"/>
      </w:rPr>
    </w:lvl>
  </w:abstractNum>
  <w:num w:numId="1">
    <w:abstractNumId w:val="358536"/>
  </w:num>
  <w:num w:numId="2">
    <w:abstractNumId w:val="358537"/>
  </w:num>
  <w:num w:numId="3">
    <w:abstractNumId w:val="358538"/>
  </w:num>
  <w:num w:numId="4">
    <w:abstractNumId w:val="358539"/>
  </w:num>
  <w:num w:numId="5">
    <w:abstractNumId w:val="358540"/>
  </w:num>
  <w:num w:numId="6">
    <w:abstractNumId w:val="358541"/>
  </w:num>
  <w:num w:numId="7">
    <w:abstractNumId w:val="358542"/>
  </w:num>
  <w:num w:numId="8">
    <w:abstractNumId w:val="358543"/>
  </w:num>
  <w:num w:numId="9">
    <w:abstractNumId w:val="358544"/>
  </w:num>
  <w:num w:numId="10">
    <w:abstractNumId w:val="358545"/>
  </w:num>
  <w:num w:numId="11">
    <w:abstractNumId w:val="358546"/>
  </w:num>
  <w:num w:numId="12">
    <w:abstractNumId w:val="358547"/>
  </w:num>
  <w:num w:numId="13">
    <w:abstractNumId w:val="358548"/>
  </w:num>
  <w:num w:numId="14">
    <w:abstractNumId w:val="358549"/>
  </w:num>
  <w:num w:numId="15">
    <w:abstractNumId w:val="358550"/>
  </w:num>
  <w:num w:numId="16">
    <w:abstractNumId w:val="358551"/>
  </w:num>
  <w:num w:numId="17">
    <w:abstractNumId w:val="358552"/>
  </w:num>
  <w:num w:numId="18">
    <w:abstractNumId w:val="358553"/>
  </w:num>
  <w:num w:numId="19">
    <w:abstractNumId w:val="358554"/>
  </w:num>
  <w:num w:numId="20">
    <w:abstractNumId w:val="358555"/>
  </w:num>
  <w:num w:numId="21">
    <w:abstractNumId w:val="358556"/>
  </w:num>
  <w:num w:numId="22">
    <w:abstractNumId w:val="358557"/>
  </w:num>
  <w:num w:numId="23">
    <w:abstractNumId w:val="358558"/>
  </w:num>
  <w:num w:numId="24">
    <w:abstractNumId w:val="358559"/>
  </w:num>
  <w:num w:numId="25">
    <w:abstractNumId w:val="358560"/>
  </w:num>
  <w:num w:numId="26">
    <w:abstractNumId w:val="358561"/>
  </w:num>
  <w:num w:numId="27">
    <w:abstractNumId w:val="358562"/>
  </w:num>
  <w:num w:numId="28">
    <w:abstractNumId w:val="358563"/>
  </w:num>
  <w:num w:numId="29">
    <w:abstractNumId w:val="358564"/>
  </w:num>
  <w:num w:numId="30">
    <w:abstractNumId w:val="358565"/>
  </w:num>
  <w:num w:numId="31">
    <w:abstractNumId w:val="358566"/>
  </w:num>
  <w:num w:numId="32">
    <w:abstractNumId w:val="358567"/>
  </w:num>
  <w:num w:numId="33">
    <w:abstractNumId w:val="358568"/>
  </w:num>
  <w:num w:numId="34">
    <w:abstractNumId w:val="358569"/>
  </w:num>
  <w:num w:numId="35">
    <w:abstractNumId w:val="358570"/>
  </w:num>
  <w:num w:numId="36">
    <w:abstractNumId w:val="358571"/>
  </w:num>
  <w:num w:numId="37">
    <w:abstractNumId w:val="358572"/>
  </w:num>
  <w:num w:numId="38">
    <w:abstractNumId w:val="358573"/>
  </w:num>
  <w:num w:numId="39">
    <w:abstractNumId w:val="358574"/>
  </w:num>
  <w:num w:numId="40">
    <w:abstractNumId w:val="358575"/>
  </w:num>
  <w:num w:numId="41">
    <w:abstractNumId w:val="3585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2026-06-02T17:07:49Z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{"Label":"1","ContentProducer":"001191110102MACQD9K64010000","ProduceID":"7646845852107262963","ReservedCode1":"","ContentPropagator":"","PropagateID":"","ReservedCode2":""}</vt:lpwstr>
  </property>
</Properties>
</file>