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37D6B">
      <w:pPr>
        <w:jc w:val="center"/>
        <w:rPr>
          <w:rFonts w:ascii="黑体" w:hAnsi="黑体" w:eastAsia="黑体"/>
          <w:b/>
          <w:bCs/>
          <w:sz w:val="36"/>
          <w:szCs w:val="40"/>
        </w:rPr>
      </w:pPr>
      <w:r>
        <w:rPr>
          <w:rFonts w:hint="eastAsia" w:ascii="黑体" w:hAnsi="黑体" w:eastAsia="黑体"/>
          <w:b/>
          <w:bCs/>
          <w:sz w:val="36"/>
          <w:szCs w:val="40"/>
        </w:rPr>
        <w:t>评论自动回复系统测试计划</w:t>
      </w:r>
    </w:p>
    <w:p w14:paraId="20D5AF1A">
      <w:pPr>
        <w:jc w:val="center"/>
        <w:rPr>
          <w:rFonts w:ascii="黑体" w:hAnsi="黑体" w:eastAsia="黑体"/>
          <w:b/>
          <w:bCs/>
          <w:sz w:val="36"/>
          <w:szCs w:val="40"/>
        </w:rPr>
      </w:pPr>
    </w:p>
    <w:p w14:paraId="7C1855C0">
      <w:pPr>
        <w:rPr>
          <w:rFonts w:ascii="宋体" w:hAnsi="宋体" w:eastAsia="宋体"/>
          <w:b/>
          <w:bCs/>
          <w:sz w:val="31"/>
          <w:szCs w:val="32"/>
        </w:rPr>
      </w:pPr>
      <w:r>
        <w:rPr>
          <w:rFonts w:hint="eastAsia" w:ascii="宋体" w:hAnsi="宋体" w:eastAsia="宋体"/>
          <w:b/>
          <w:bCs/>
          <w:sz w:val="31"/>
          <w:szCs w:val="32"/>
        </w:rPr>
        <w:t>一、测试计划与流程</w:t>
      </w:r>
    </w:p>
    <w:p w14:paraId="3B0E0E97">
      <w:pPr>
        <w:rPr>
          <w:rFonts w:ascii="宋体" w:hAnsi="宋体" w:eastAsia="宋体"/>
          <w:sz w:val="24"/>
          <w:szCs w:val="24"/>
        </w:rPr>
      </w:pPr>
      <w:r>
        <w:rPr>
          <w:rFonts w:hint="eastAsia" w:ascii="宋体" w:hAnsi="宋体" w:eastAsia="宋体"/>
          <w:sz w:val="24"/>
          <w:szCs w:val="24"/>
        </w:rPr>
        <w:t>测试目标：评论自动</w:t>
      </w:r>
      <w:r>
        <w:rPr>
          <w:rFonts w:hint="eastAsia" w:ascii="宋体" w:hAnsi="宋体" w:eastAsia="宋体"/>
          <w:sz w:val="24"/>
          <w:szCs w:val="24"/>
          <w:lang w:val="en-US" w:eastAsia="zh-CN"/>
        </w:rPr>
        <w:t>回复</w:t>
      </w:r>
      <w:r>
        <w:rPr>
          <w:rFonts w:hint="eastAsia" w:ascii="宋体" w:hAnsi="宋体" w:eastAsia="宋体"/>
          <w:sz w:val="24"/>
          <w:szCs w:val="24"/>
        </w:rPr>
        <w:t>系统（以下简称系统）在不同大语言模型下的综合表现</w:t>
      </w:r>
    </w:p>
    <w:p w14:paraId="7446A60A">
      <w:pPr>
        <w:rPr>
          <w:rFonts w:ascii="宋体" w:hAnsi="宋体" w:eastAsia="宋体"/>
          <w:sz w:val="24"/>
          <w:szCs w:val="24"/>
        </w:rPr>
      </w:pPr>
      <w:r>
        <w:rPr>
          <w:rFonts w:hint="eastAsia" w:ascii="宋体" w:hAnsi="宋体" w:eastAsia="宋体"/>
          <w:sz w:val="24"/>
          <w:szCs w:val="24"/>
        </w:rPr>
        <w:t>测试指标：共6项</w:t>
      </w:r>
    </w:p>
    <w:p w14:paraId="0C614C0C">
      <w:pPr>
        <w:pStyle w:val="6"/>
        <w:numPr>
          <w:ilvl w:val="0"/>
          <w:numId w:val="1"/>
        </w:numPr>
        <w:ind w:firstLineChars="0"/>
        <w:rPr>
          <w:rFonts w:ascii="宋体" w:hAnsi="宋体" w:eastAsia="宋体"/>
          <w:sz w:val="24"/>
          <w:szCs w:val="24"/>
        </w:rPr>
      </w:pPr>
      <w:r>
        <w:rPr>
          <w:rFonts w:hint="eastAsia" w:ascii="宋体" w:hAnsi="宋体" w:eastAsia="宋体"/>
          <w:sz w:val="24"/>
          <w:szCs w:val="24"/>
        </w:rPr>
        <w:t>回复文本属性：文本对于中国的情感倾向（正面/负面/中性）、文本质量（有论证的长评</w:t>
      </w:r>
      <w:r>
        <w:rPr>
          <w:rFonts w:ascii="宋体" w:hAnsi="宋体" w:eastAsia="宋体"/>
          <w:sz w:val="24"/>
          <w:szCs w:val="24"/>
        </w:rPr>
        <w:t>/</w:t>
      </w:r>
      <w:r>
        <w:rPr>
          <w:rFonts w:hint="eastAsia" w:ascii="宋体" w:hAnsi="宋体" w:eastAsia="宋体"/>
          <w:sz w:val="24"/>
          <w:szCs w:val="24"/>
        </w:rPr>
        <w:t>无明显论证的短评）、文本语言（中/英）</w:t>
      </w:r>
    </w:p>
    <w:p w14:paraId="0A3C0BF9">
      <w:pPr>
        <w:pStyle w:val="6"/>
        <w:numPr>
          <w:ilvl w:val="0"/>
          <w:numId w:val="1"/>
        </w:numPr>
        <w:ind w:firstLineChars="0"/>
        <w:rPr>
          <w:rFonts w:ascii="宋体" w:hAnsi="宋体" w:eastAsia="宋体"/>
          <w:sz w:val="24"/>
          <w:szCs w:val="24"/>
        </w:rPr>
      </w:pPr>
      <w:r>
        <w:rPr>
          <w:rFonts w:hint="eastAsia" w:ascii="宋体" w:hAnsi="宋体" w:eastAsia="宋体"/>
          <w:sz w:val="24"/>
          <w:szCs w:val="24"/>
        </w:rPr>
        <w:t>系统性能属性：论点结合表现（结合论点/不结合论点）、国家结合表现（结合发文者国家/不结合发文者国</w:t>
      </w:r>
      <w:bookmarkStart w:id="0" w:name="_GoBack"/>
      <w:bookmarkEnd w:id="0"/>
      <w:r>
        <w:rPr>
          <w:rFonts w:hint="eastAsia" w:ascii="宋体" w:hAnsi="宋体" w:eastAsia="宋体"/>
          <w:sz w:val="24"/>
          <w:szCs w:val="24"/>
        </w:rPr>
        <w:t>家）、回复长度表现（大于5</w:t>
      </w:r>
      <w:r>
        <w:rPr>
          <w:rFonts w:ascii="宋体" w:hAnsi="宋体" w:eastAsia="宋体"/>
          <w:sz w:val="24"/>
          <w:szCs w:val="24"/>
        </w:rPr>
        <w:t>0</w:t>
      </w:r>
      <w:r>
        <w:rPr>
          <w:rFonts w:hint="eastAsia" w:ascii="宋体" w:hAnsi="宋体" w:eastAsia="宋体"/>
          <w:sz w:val="24"/>
          <w:szCs w:val="24"/>
        </w:rPr>
        <w:t>词/小于5</w:t>
      </w:r>
      <w:r>
        <w:rPr>
          <w:rFonts w:ascii="宋体" w:hAnsi="宋体" w:eastAsia="宋体"/>
          <w:sz w:val="24"/>
          <w:szCs w:val="24"/>
        </w:rPr>
        <w:t>0</w:t>
      </w:r>
      <w:r>
        <w:rPr>
          <w:rFonts w:hint="eastAsia" w:ascii="宋体" w:hAnsi="宋体" w:eastAsia="宋体"/>
          <w:sz w:val="24"/>
          <w:szCs w:val="24"/>
        </w:rPr>
        <w:t>词）</w:t>
      </w:r>
    </w:p>
    <w:p w14:paraId="31574AD7">
      <w:pPr>
        <w:pStyle w:val="6"/>
        <w:numPr>
          <w:ilvl w:val="0"/>
          <w:numId w:val="1"/>
        </w:numPr>
        <w:ind w:firstLineChars="0"/>
        <w:rPr>
          <w:rFonts w:ascii="宋体" w:hAnsi="宋体" w:eastAsia="宋体"/>
          <w:color w:val="808080" w:themeColor="background1" w:themeShade="80"/>
          <w:sz w:val="24"/>
          <w:szCs w:val="24"/>
        </w:rPr>
      </w:pPr>
      <w:r>
        <w:rPr>
          <w:rFonts w:hint="eastAsia" w:ascii="宋体" w:hAnsi="宋体" w:eastAsia="宋体"/>
          <w:color w:val="808080" w:themeColor="background1" w:themeShade="80"/>
          <w:sz w:val="24"/>
          <w:szCs w:val="24"/>
        </w:rPr>
        <w:t>默认指标：身份-</w:t>
      </w:r>
      <w:r>
        <w:rPr>
          <w:rFonts w:ascii="宋体" w:hAnsi="宋体" w:eastAsia="宋体"/>
          <w:color w:val="808080" w:themeColor="background1" w:themeShade="80"/>
          <w:sz w:val="24"/>
          <w:szCs w:val="24"/>
        </w:rPr>
        <w:t>political commentator</w:t>
      </w:r>
      <w:r>
        <w:rPr>
          <w:rFonts w:hint="eastAsia" w:ascii="宋体" w:hAnsi="宋体" w:eastAsia="宋体"/>
          <w:color w:val="808080" w:themeColor="background1" w:themeShade="80"/>
          <w:sz w:val="24"/>
          <w:szCs w:val="24"/>
        </w:rPr>
        <w:t>；语调-负面评论（</w:t>
      </w:r>
      <w:r>
        <w:rPr>
          <w:rFonts w:ascii="宋体" w:hAnsi="宋体" w:eastAsia="宋体"/>
          <w:color w:val="808080" w:themeColor="background1" w:themeShade="80"/>
          <w:sz w:val="24"/>
          <w:szCs w:val="24"/>
        </w:rPr>
        <w:t>sarcastic</w:t>
      </w:r>
      <w:r>
        <w:rPr>
          <w:rFonts w:hint="eastAsia" w:ascii="宋体" w:hAnsi="宋体" w:eastAsia="宋体"/>
          <w:color w:val="808080" w:themeColor="background1" w:themeShade="80"/>
          <w:sz w:val="24"/>
          <w:szCs w:val="24"/>
        </w:rPr>
        <w:t>）、正面/中性评论（h</w:t>
      </w:r>
      <w:r>
        <w:rPr>
          <w:rFonts w:ascii="宋体" w:hAnsi="宋体" w:eastAsia="宋体"/>
          <w:color w:val="808080" w:themeColor="background1" w:themeShade="80"/>
          <w:sz w:val="24"/>
          <w:szCs w:val="24"/>
        </w:rPr>
        <w:t>umourous</w:t>
      </w:r>
      <w:r>
        <w:rPr>
          <w:rFonts w:hint="eastAsia" w:ascii="宋体" w:hAnsi="宋体" w:eastAsia="宋体"/>
          <w:color w:val="808080" w:themeColor="background1" w:themeShade="80"/>
          <w:sz w:val="24"/>
          <w:szCs w:val="24"/>
        </w:rPr>
        <w:t>）</w:t>
      </w:r>
    </w:p>
    <w:p w14:paraId="721DFE73">
      <w:pPr>
        <w:rPr>
          <w:rFonts w:ascii="宋体" w:hAnsi="宋体" w:eastAsia="宋体"/>
          <w:sz w:val="24"/>
          <w:szCs w:val="24"/>
        </w:rPr>
      </w:pPr>
      <w:r>
        <w:rPr>
          <w:rFonts w:hint="eastAsia" w:ascii="宋体" w:hAnsi="宋体" w:eastAsia="宋体"/>
          <w:sz w:val="24"/>
          <w:szCs w:val="24"/>
        </w:rPr>
        <w:t>测试文本：摘选U</w:t>
      </w:r>
      <w:r>
        <w:rPr>
          <w:rFonts w:ascii="宋体" w:hAnsi="宋体" w:eastAsia="宋体"/>
          <w:sz w:val="24"/>
          <w:szCs w:val="24"/>
        </w:rPr>
        <w:t>yghur</w:t>
      </w:r>
      <w:r>
        <w:rPr>
          <w:rFonts w:hint="eastAsia" w:ascii="宋体" w:hAnsi="宋体" w:eastAsia="宋体"/>
          <w:sz w:val="24"/>
          <w:szCs w:val="24"/>
        </w:rPr>
        <w:t>话题内，对中国正面/负面/中性的中文和英文评论各</w:t>
      </w:r>
      <w:r>
        <w:rPr>
          <w:rFonts w:ascii="宋体" w:hAnsi="宋体" w:eastAsia="宋体"/>
          <w:sz w:val="24"/>
          <w:szCs w:val="24"/>
        </w:rPr>
        <w:t>3</w:t>
      </w:r>
      <w:r>
        <w:rPr>
          <w:rFonts w:hint="eastAsia" w:ascii="宋体" w:hAnsi="宋体" w:eastAsia="宋体"/>
          <w:sz w:val="24"/>
          <w:szCs w:val="24"/>
        </w:rPr>
        <w:t>条。每种倾向的评论按照评论质量高低各选3条。</w:t>
      </w:r>
    </w:p>
    <w:p w14:paraId="60F9341C">
      <w:pPr>
        <w:rPr>
          <w:rFonts w:ascii="宋体" w:hAnsi="宋体" w:eastAsia="宋体"/>
          <w:sz w:val="24"/>
          <w:szCs w:val="24"/>
        </w:rPr>
      </w:pPr>
      <w:r>
        <w:rPr>
          <w:rFonts w:hint="eastAsia" w:ascii="宋体" w:hAnsi="宋体" w:eastAsia="宋体"/>
          <w:sz w:val="24"/>
          <w:szCs w:val="24"/>
        </w:rPr>
        <w:t>测试流程：将6项测试指标递归组合，一共9</w:t>
      </w:r>
      <w:r>
        <w:rPr>
          <w:rFonts w:ascii="宋体" w:hAnsi="宋体" w:eastAsia="宋体"/>
          <w:sz w:val="24"/>
          <w:szCs w:val="24"/>
        </w:rPr>
        <w:t>6</w:t>
      </w:r>
      <w:r>
        <w:rPr>
          <w:rFonts w:hint="eastAsia" w:ascii="宋体" w:hAnsi="宋体" w:eastAsia="宋体"/>
          <w:sz w:val="24"/>
          <w:szCs w:val="24"/>
        </w:rPr>
        <w:t>种组合情况。每种组合情况使用3条不同文本，以z</w:t>
      </w:r>
      <w:r>
        <w:rPr>
          <w:rFonts w:ascii="宋体" w:hAnsi="宋体" w:eastAsia="宋体"/>
          <w:sz w:val="24"/>
          <w:szCs w:val="24"/>
        </w:rPr>
        <w:t>ero-shot</w:t>
      </w:r>
      <w:r>
        <w:rPr>
          <w:rFonts w:hint="eastAsia" w:ascii="宋体" w:hAnsi="宋体" w:eastAsia="宋体"/>
          <w:sz w:val="24"/>
          <w:szCs w:val="24"/>
        </w:rPr>
        <w:t>形式分别提交给</w:t>
      </w:r>
      <w:r>
        <w:rPr>
          <w:rFonts w:ascii="宋体" w:hAnsi="宋体" w:eastAsia="宋体"/>
          <w:sz w:val="24"/>
          <w:szCs w:val="24"/>
        </w:rPr>
        <w:t>GPT</w:t>
      </w:r>
      <w:r>
        <w:rPr>
          <w:rFonts w:hint="eastAsia" w:ascii="宋体" w:hAnsi="宋体" w:eastAsia="宋体"/>
          <w:sz w:val="24"/>
          <w:szCs w:val="24"/>
        </w:rPr>
        <w:t>、G</w:t>
      </w:r>
      <w:r>
        <w:rPr>
          <w:rFonts w:ascii="宋体" w:hAnsi="宋体" w:eastAsia="宋体"/>
          <w:sz w:val="24"/>
          <w:szCs w:val="24"/>
        </w:rPr>
        <w:t>LM</w:t>
      </w:r>
      <w:r>
        <w:rPr>
          <w:rFonts w:hint="eastAsia" w:ascii="宋体" w:hAnsi="宋体" w:eastAsia="宋体"/>
          <w:sz w:val="24"/>
          <w:szCs w:val="24"/>
        </w:rPr>
        <w:t>、科大讯飞3个大模型3次并生成结果，最后由打分员进行打分。</w:t>
      </w:r>
    </w:p>
    <w:p w14:paraId="54E305F5">
      <w:pPr>
        <w:rPr>
          <w:rFonts w:ascii="宋体" w:hAnsi="宋体" w:eastAsia="宋体"/>
          <w:sz w:val="24"/>
          <w:szCs w:val="24"/>
        </w:rPr>
      </w:pPr>
      <w:r>
        <w:rPr>
          <w:rFonts w:ascii="宋体" w:hAnsi="宋体" w:eastAsia="宋体"/>
          <w:sz w:val="24"/>
          <w:szCs w:val="24"/>
        </w:rPr>
        <w:tab/>
      </w:r>
    </w:p>
    <w:p w14:paraId="3DE2BAB9">
      <w:pPr>
        <w:rPr>
          <w:rFonts w:ascii="宋体" w:hAnsi="宋体" w:eastAsia="宋体"/>
          <w:sz w:val="24"/>
          <w:szCs w:val="24"/>
        </w:rPr>
      </w:pPr>
      <w:r>
        <w:rPr>
          <w:rFonts w:hint="eastAsia" w:ascii="宋体" w:hAnsi="宋体" w:eastAsia="宋体"/>
          <w:sz w:val="24"/>
          <w:szCs w:val="24"/>
        </w:rPr>
        <w:t>具体文本搭配情况见附件1</w:t>
      </w:r>
    </w:p>
    <w:p w14:paraId="7A117AB0"/>
    <w:p w14:paraId="1259F8F0">
      <w:pPr>
        <w:rPr>
          <w:rFonts w:ascii="宋体" w:hAnsi="宋体" w:eastAsia="宋体"/>
          <w:b/>
          <w:bCs/>
          <w:sz w:val="31"/>
          <w:szCs w:val="32"/>
        </w:rPr>
      </w:pPr>
      <w:r>
        <w:rPr>
          <w:rFonts w:hint="eastAsia" w:ascii="宋体" w:hAnsi="宋体" w:eastAsia="宋体"/>
          <w:b/>
          <w:bCs/>
          <w:sz w:val="31"/>
          <w:szCs w:val="32"/>
        </w:rPr>
        <w:t>二、生成文本评价体系</w:t>
      </w:r>
    </w:p>
    <w:p w14:paraId="4483C94C">
      <w:pPr>
        <w:rPr>
          <w:rFonts w:ascii="宋体" w:hAnsi="宋体" w:eastAsia="宋体"/>
          <w:b/>
          <w:bCs/>
          <w:sz w:val="28"/>
          <w:szCs w:val="28"/>
        </w:rPr>
      </w:pPr>
      <w:r>
        <w:rPr>
          <w:rFonts w:hint="eastAsia" w:ascii="宋体" w:hAnsi="宋体" w:eastAsia="宋体"/>
          <w:b/>
          <w:bCs/>
          <w:sz w:val="28"/>
          <w:szCs w:val="28"/>
        </w:rPr>
        <w:t>1</w:t>
      </w:r>
      <w:r>
        <w:rPr>
          <w:rFonts w:ascii="宋体" w:hAnsi="宋体" w:eastAsia="宋体"/>
          <w:b/>
          <w:bCs/>
          <w:sz w:val="28"/>
          <w:szCs w:val="28"/>
        </w:rPr>
        <w:t>.</w:t>
      </w:r>
      <w:r>
        <w:rPr>
          <w:rFonts w:hint="eastAsia" w:ascii="宋体" w:hAnsi="宋体" w:eastAsia="宋体"/>
          <w:b/>
          <w:bCs/>
          <w:sz w:val="28"/>
          <w:szCs w:val="28"/>
        </w:rPr>
        <w:t>打分指标：</w:t>
      </w:r>
    </w:p>
    <w:tbl>
      <w:tblPr>
        <w:tblStyle w:val="2"/>
        <w:tblW w:w="6915" w:type="dxa"/>
        <w:jc w:val="center"/>
        <w:tblLayout w:type="autofit"/>
        <w:tblCellMar>
          <w:top w:w="0" w:type="dxa"/>
          <w:left w:w="108" w:type="dxa"/>
          <w:bottom w:w="0" w:type="dxa"/>
          <w:right w:w="108" w:type="dxa"/>
        </w:tblCellMar>
      </w:tblPr>
      <w:tblGrid>
        <w:gridCol w:w="3045"/>
        <w:gridCol w:w="3870"/>
      </w:tblGrid>
      <w:tr w14:paraId="01FCEC25">
        <w:tblPrEx>
          <w:tblCellMar>
            <w:top w:w="0" w:type="dxa"/>
            <w:left w:w="108" w:type="dxa"/>
            <w:bottom w:w="0" w:type="dxa"/>
            <w:right w:w="108" w:type="dxa"/>
          </w:tblCellMar>
        </w:tblPrEx>
        <w:trPr>
          <w:trHeight w:val="400" w:hRule="atLeast"/>
          <w:jc w:val="center"/>
        </w:trPr>
        <w:tc>
          <w:tcPr>
            <w:tcW w:w="3045" w:type="dxa"/>
            <w:tcBorders>
              <w:top w:val="nil"/>
              <w:left w:val="nil"/>
              <w:bottom w:val="nil"/>
              <w:right w:val="nil"/>
            </w:tcBorders>
            <w:shd w:val="clear" w:color="auto" w:fill="auto"/>
            <w:noWrap/>
            <w:vAlign w:val="center"/>
          </w:tcPr>
          <w:p w14:paraId="684FF4BA">
            <w:pPr>
              <w:widowControl/>
              <w:jc w:val="center"/>
              <w:textAlignment w:val="center"/>
              <w:rPr>
                <w:rFonts w:ascii="宋体" w:hAnsi="宋体" w:eastAsia="宋体" w:cs="宋体"/>
                <w:color w:val="000000"/>
                <w:sz w:val="22"/>
              </w:rPr>
            </w:pPr>
            <w:r>
              <w:rPr>
                <w:rFonts w:hint="eastAsia" w:ascii="宋体" w:hAnsi="宋体" w:eastAsia="宋体" w:cs="宋体"/>
                <w:color w:val="000000"/>
                <w:kern w:val="0"/>
                <w:sz w:val="22"/>
                <w:lang w:bidi="ar"/>
              </w:rPr>
              <w:t>指标</w:t>
            </w:r>
          </w:p>
        </w:tc>
        <w:tc>
          <w:tcPr>
            <w:tcW w:w="3870" w:type="dxa"/>
            <w:tcBorders>
              <w:top w:val="nil"/>
              <w:left w:val="nil"/>
              <w:bottom w:val="nil"/>
              <w:right w:val="nil"/>
            </w:tcBorders>
            <w:shd w:val="clear" w:color="auto" w:fill="auto"/>
            <w:noWrap/>
            <w:vAlign w:val="center"/>
          </w:tcPr>
          <w:p w14:paraId="5E6C7622">
            <w:pPr>
              <w:widowControl/>
              <w:jc w:val="center"/>
              <w:textAlignment w:val="center"/>
              <w:rPr>
                <w:rFonts w:ascii="宋体" w:hAnsi="宋体" w:eastAsia="宋体" w:cs="宋体"/>
                <w:color w:val="000000"/>
                <w:sz w:val="22"/>
              </w:rPr>
            </w:pPr>
            <w:r>
              <w:rPr>
                <w:rFonts w:hint="eastAsia" w:ascii="宋体" w:hAnsi="宋体" w:eastAsia="宋体" w:cs="宋体"/>
                <w:color w:val="000000"/>
                <w:kern w:val="0"/>
                <w:sz w:val="22"/>
                <w:lang w:bidi="ar"/>
              </w:rPr>
              <w:t>得分（1-5，1最差5最好）</w:t>
            </w:r>
          </w:p>
        </w:tc>
      </w:tr>
      <w:tr w14:paraId="15578732">
        <w:tblPrEx>
          <w:tblCellMar>
            <w:top w:w="0" w:type="dxa"/>
            <w:left w:w="108" w:type="dxa"/>
            <w:bottom w:w="0" w:type="dxa"/>
            <w:right w:w="108" w:type="dxa"/>
          </w:tblCellMar>
        </w:tblPrEx>
        <w:trPr>
          <w:trHeight w:val="400" w:hRule="atLeast"/>
          <w:jc w:val="center"/>
        </w:trPr>
        <w:tc>
          <w:tcPr>
            <w:tcW w:w="0" w:type="auto"/>
            <w:tcBorders>
              <w:top w:val="nil"/>
              <w:left w:val="nil"/>
              <w:bottom w:val="nil"/>
              <w:right w:val="nil"/>
            </w:tcBorders>
            <w:shd w:val="clear" w:color="auto" w:fill="auto"/>
            <w:noWrap/>
            <w:vAlign w:val="center"/>
          </w:tcPr>
          <w:p w14:paraId="5EFBE93C">
            <w:pPr>
              <w:widowControl/>
              <w:jc w:val="center"/>
              <w:textAlignment w:val="center"/>
              <w:rPr>
                <w:rFonts w:ascii="宋体" w:hAnsi="宋体" w:eastAsia="宋体" w:cs="宋体"/>
                <w:color w:val="000000"/>
                <w:sz w:val="22"/>
                <w:highlight w:val="yellow"/>
              </w:rPr>
            </w:pPr>
            <w:r>
              <w:rPr>
                <w:rFonts w:hint="eastAsia" w:ascii="宋体" w:hAnsi="宋体" w:eastAsia="宋体" w:cs="宋体"/>
                <w:color w:val="000000"/>
                <w:kern w:val="0"/>
                <w:sz w:val="22"/>
                <w:highlight w:val="yellow"/>
                <w:lang w:bidi="ar"/>
              </w:rPr>
              <w:t>主题一致性</w:t>
            </w:r>
          </w:p>
        </w:tc>
        <w:tc>
          <w:tcPr>
            <w:tcW w:w="0" w:type="auto"/>
            <w:tcBorders>
              <w:top w:val="nil"/>
              <w:left w:val="nil"/>
              <w:bottom w:val="nil"/>
              <w:right w:val="nil"/>
            </w:tcBorders>
            <w:shd w:val="clear" w:color="auto" w:fill="auto"/>
            <w:noWrap/>
            <w:vAlign w:val="center"/>
          </w:tcPr>
          <w:p w14:paraId="012F7992">
            <w:pPr>
              <w:rPr>
                <w:rFonts w:ascii="宋体" w:hAnsi="宋体" w:eastAsia="宋体" w:cs="宋体"/>
                <w:color w:val="000000"/>
                <w:sz w:val="22"/>
              </w:rPr>
            </w:pPr>
          </w:p>
        </w:tc>
      </w:tr>
      <w:tr w14:paraId="47999101">
        <w:tblPrEx>
          <w:tblCellMar>
            <w:top w:w="0" w:type="dxa"/>
            <w:left w:w="108" w:type="dxa"/>
            <w:bottom w:w="0" w:type="dxa"/>
            <w:right w:w="108" w:type="dxa"/>
          </w:tblCellMar>
        </w:tblPrEx>
        <w:trPr>
          <w:trHeight w:val="400" w:hRule="atLeast"/>
          <w:jc w:val="center"/>
        </w:trPr>
        <w:tc>
          <w:tcPr>
            <w:tcW w:w="0" w:type="auto"/>
            <w:tcBorders>
              <w:top w:val="nil"/>
              <w:left w:val="nil"/>
              <w:bottom w:val="nil"/>
              <w:right w:val="nil"/>
            </w:tcBorders>
            <w:shd w:val="clear" w:color="auto" w:fill="auto"/>
            <w:noWrap/>
            <w:vAlign w:val="center"/>
          </w:tcPr>
          <w:p w14:paraId="59EA42A2">
            <w:pPr>
              <w:widowControl/>
              <w:jc w:val="center"/>
              <w:textAlignment w:val="center"/>
              <w:rPr>
                <w:rFonts w:ascii="宋体" w:hAnsi="宋体" w:eastAsia="宋体" w:cs="宋体"/>
                <w:color w:val="000000"/>
                <w:sz w:val="22"/>
                <w:highlight w:val="yellow"/>
              </w:rPr>
            </w:pPr>
            <w:r>
              <w:rPr>
                <w:rFonts w:hint="eastAsia" w:ascii="宋体" w:hAnsi="宋体" w:eastAsia="宋体" w:cs="宋体"/>
                <w:color w:val="000000"/>
                <w:kern w:val="0"/>
                <w:sz w:val="22"/>
                <w:highlight w:val="yellow"/>
                <w:lang w:bidi="ar"/>
              </w:rPr>
              <w:t>上下文连贯性</w:t>
            </w:r>
          </w:p>
        </w:tc>
        <w:tc>
          <w:tcPr>
            <w:tcW w:w="0" w:type="auto"/>
            <w:tcBorders>
              <w:top w:val="nil"/>
              <w:left w:val="nil"/>
              <w:bottom w:val="nil"/>
              <w:right w:val="nil"/>
            </w:tcBorders>
            <w:shd w:val="clear" w:color="auto" w:fill="auto"/>
            <w:noWrap/>
            <w:vAlign w:val="center"/>
          </w:tcPr>
          <w:p w14:paraId="0B0B3269">
            <w:pPr>
              <w:rPr>
                <w:rFonts w:ascii="宋体" w:hAnsi="宋体" w:eastAsia="宋体" w:cs="宋体"/>
                <w:color w:val="000000"/>
                <w:sz w:val="22"/>
              </w:rPr>
            </w:pPr>
          </w:p>
        </w:tc>
      </w:tr>
      <w:tr w14:paraId="52F66C63">
        <w:tblPrEx>
          <w:tblCellMar>
            <w:top w:w="0" w:type="dxa"/>
            <w:left w:w="108" w:type="dxa"/>
            <w:bottom w:w="0" w:type="dxa"/>
            <w:right w:w="108" w:type="dxa"/>
          </w:tblCellMar>
        </w:tblPrEx>
        <w:trPr>
          <w:trHeight w:val="400" w:hRule="atLeast"/>
          <w:jc w:val="center"/>
        </w:trPr>
        <w:tc>
          <w:tcPr>
            <w:tcW w:w="0" w:type="auto"/>
            <w:tcBorders>
              <w:top w:val="nil"/>
              <w:left w:val="nil"/>
              <w:bottom w:val="nil"/>
              <w:right w:val="nil"/>
            </w:tcBorders>
            <w:shd w:val="clear" w:color="auto" w:fill="auto"/>
            <w:noWrap/>
            <w:vAlign w:val="center"/>
          </w:tcPr>
          <w:p w14:paraId="695CA94E">
            <w:pPr>
              <w:widowControl/>
              <w:jc w:val="center"/>
              <w:textAlignment w:val="center"/>
              <w:rPr>
                <w:rFonts w:ascii="宋体" w:hAnsi="宋体" w:eastAsia="宋体" w:cs="宋体"/>
                <w:color w:val="000000"/>
                <w:sz w:val="22"/>
                <w:highlight w:val="yellow"/>
              </w:rPr>
            </w:pPr>
            <w:r>
              <w:rPr>
                <w:rFonts w:hint="eastAsia" w:ascii="宋体" w:hAnsi="宋体" w:eastAsia="宋体" w:cs="宋体"/>
                <w:color w:val="000000"/>
                <w:kern w:val="0"/>
                <w:sz w:val="22"/>
                <w:highlight w:val="yellow"/>
                <w:lang w:bidi="ar"/>
              </w:rPr>
              <w:t>语言流畅性</w:t>
            </w:r>
          </w:p>
        </w:tc>
        <w:tc>
          <w:tcPr>
            <w:tcW w:w="0" w:type="auto"/>
            <w:tcBorders>
              <w:top w:val="nil"/>
              <w:left w:val="nil"/>
              <w:bottom w:val="nil"/>
              <w:right w:val="nil"/>
            </w:tcBorders>
            <w:shd w:val="clear" w:color="auto" w:fill="auto"/>
            <w:noWrap/>
            <w:vAlign w:val="center"/>
          </w:tcPr>
          <w:p w14:paraId="22D7FC4A">
            <w:pPr>
              <w:rPr>
                <w:rFonts w:ascii="宋体" w:hAnsi="宋体" w:eastAsia="宋体" w:cs="宋体"/>
                <w:color w:val="000000"/>
                <w:sz w:val="22"/>
              </w:rPr>
            </w:pPr>
          </w:p>
        </w:tc>
      </w:tr>
      <w:tr w14:paraId="2FECE703">
        <w:tblPrEx>
          <w:tblCellMar>
            <w:top w:w="0" w:type="dxa"/>
            <w:left w:w="108" w:type="dxa"/>
            <w:bottom w:w="0" w:type="dxa"/>
            <w:right w:w="108" w:type="dxa"/>
          </w:tblCellMar>
        </w:tblPrEx>
        <w:trPr>
          <w:trHeight w:val="400" w:hRule="atLeast"/>
          <w:jc w:val="center"/>
        </w:trPr>
        <w:tc>
          <w:tcPr>
            <w:tcW w:w="0" w:type="auto"/>
            <w:tcBorders>
              <w:top w:val="nil"/>
              <w:left w:val="nil"/>
              <w:bottom w:val="nil"/>
              <w:right w:val="nil"/>
            </w:tcBorders>
            <w:shd w:val="clear" w:color="auto" w:fill="auto"/>
            <w:noWrap/>
            <w:vAlign w:val="center"/>
          </w:tcPr>
          <w:p w14:paraId="52A8F312">
            <w:pPr>
              <w:widowControl/>
              <w:jc w:val="center"/>
              <w:textAlignment w:val="center"/>
              <w:rPr>
                <w:rFonts w:ascii="宋体" w:hAnsi="宋体" w:eastAsia="宋体" w:cs="宋体"/>
                <w:color w:val="000000"/>
                <w:sz w:val="22"/>
                <w:highlight w:val="cyan"/>
              </w:rPr>
            </w:pPr>
            <w:r>
              <w:rPr>
                <w:rFonts w:hint="eastAsia" w:ascii="宋体" w:hAnsi="宋体" w:eastAsia="宋体" w:cs="宋体"/>
                <w:color w:val="000000"/>
                <w:kern w:val="0"/>
                <w:sz w:val="22"/>
                <w:highlight w:val="cyan"/>
                <w:lang w:bidi="ar"/>
              </w:rPr>
              <w:t>语料丰富性</w:t>
            </w:r>
          </w:p>
        </w:tc>
        <w:tc>
          <w:tcPr>
            <w:tcW w:w="0" w:type="auto"/>
            <w:tcBorders>
              <w:top w:val="nil"/>
              <w:left w:val="nil"/>
              <w:bottom w:val="nil"/>
              <w:right w:val="nil"/>
            </w:tcBorders>
            <w:shd w:val="clear" w:color="auto" w:fill="auto"/>
            <w:noWrap/>
            <w:vAlign w:val="center"/>
          </w:tcPr>
          <w:p w14:paraId="3681E2F7">
            <w:pPr>
              <w:rPr>
                <w:rFonts w:ascii="宋体" w:hAnsi="宋体" w:eastAsia="宋体" w:cs="宋体"/>
                <w:color w:val="000000"/>
                <w:sz w:val="22"/>
              </w:rPr>
            </w:pPr>
          </w:p>
        </w:tc>
      </w:tr>
      <w:tr w14:paraId="73ACE4A3">
        <w:tblPrEx>
          <w:tblCellMar>
            <w:top w:w="0" w:type="dxa"/>
            <w:left w:w="108" w:type="dxa"/>
            <w:bottom w:w="0" w:type="dxa"/>
            <w:right w:w="108" w:type="dxa"/>
          </w:tblCellMar>
        </w:tblPrEx>
        <w:trPr>
          <w:trHeight w:val="400" w:hRule="atLeast"/>
          <w:jc w:val="center"/>
        </w:trPr>
        <w:tc>
          <w:tcPr>
            <w:tcW w:w="0" w:type="auto"/>
            <w:tcBorders>
              <w:top w:val="nil"/>
              <w:left w:val="nil"/>
              <w:bottom w:val="nil"/>
              <w:right w:val="nil"/>
            </w:tcBorders>
            <w:shd w:val="clear" w:color="auto" w:fill="auto"/>
            <w:noWrap/>
            <w:vAlign w:val="center"/>
          </w:tcPr>
          <w:p w14:paraId="2E672A4B">
            <w:pPr>
              <w:widowControl/>
              <w:jc w:val="center"/>
              <w:textAlignment w:val="center"/>
              <w:rPr>
                <w:rFonts w:ascii="宋体" w:hAnsi="宋体" w:eastAsia="宋体" w:cs="宋体"/>
                <w:color w:val="000000"/>
                <w:sz w:val="22"/>
                <w:highlight w:val="cyan"/>
              </w:rPr>
            </w:pPr>
            <w:r>
              <w:rPr>
                <w:rFonts w:hint="eastAsia" w:ascii="宋体" w:hAnsi="宋体" w:eastAsia="宋体" w:cs="宋体"/>
                <w:color w:val="000000"/>
                <w:kern w:val="0"/>
                <w:sz w:val="22"/>
                <w:highlight w:val="cyan"/>
                <w:lang w:bidi="ar"/>
              </w:rPr>
              <w:t>身份/角色契合度</w:t>
            </w:r>
          </w:p>
        </w:tc>
        <w:tc>
          <w:tcPr>
            <w:tcW w:w="0" w:type="auto"/>
            <w:tcBorders>
              <w:top w:val="nil"/>
              <w:left w:val="nil"/>
              <w:bottom w:val="nil"/>
              <w:right w:val="nil"/>
            </w:tcBorders>
            <w:shd w:val="clear" w:color="auto" w:fill="auto"/>
            <w:noWrap/>
            <w:vAlign w:val="center"/>
          </w:tcPr>
          <w:p w14:paraId="46CE4EAC">
            <w:pPr>
              <w:rPr>
                <w:rFonts w:ascii="宋体" w:hAnsi="宋体" w:eastAsia="宋体" w:cs="宋体"/>
                <w:color w:val="000000"/>
                <w:sz w:val="22"/>
              </w:rPr>
            </w:pPr>
          </w:p>
        </w:tc>
      </w:tr>
      <w:tr w14:paraId="1913B31D">
        <w:tblPrEx>
          <w:tblCellMar>
            <w:top w:w="0" w:type="dxa"/>
            <w:left w:w="108" w:type="dxa"/>
            <w:bottom w:w="0" w:type="dxa"/>
            <w:right w:w="108" w:type="dxa"/>
          </w:tblCellMar>
        </w:tblPrEx>
        <w:trPr>
          <w:trHeight w:val="400" w:hRule="atLeast"/>
          <w:jc w:val="center"/>
        </w:trPr>
        <w:tc>
          <w:tcPr>
            <w:tcW w:w="0" w:type="auto"/>
            <w:tcBorders>
              <w:top w:val="nil"/>
              <w:left w:val="nil"/>
              <w:bottom w:val="nil"/>
              <w:right w:val="nil"/>
            </w:tcBorders>
            <w:shd w:val="clear" w:color="auto" w:fill="auto"/>
            <w:noWrap/>
            <w:vAlign w:val="center"/>
          </w:tcPr>
          <w:p w14:paraId="4ACC3E58">
            <w:pPr>
              <w:widowControl/>
              <w:jc w:val="center"/>
              <w:textAlignment w:val="center"/>
              <w:rPr>
                <w:rFonts w:ascii="宋体" w:hAnsi="宋体" w:eastAsia="宋体" w:cs="宋体"/>
                <w:color w:val="000000"/>
                <w:sz w:val="22"/>
                <w:highlight w:val="green"/>
              </w:rPr>
            </w:pPr>
            <w:r>
              <w:rPr>
                <w:rFonts w:hint="eastAsia" w:ascii="宋体" w:hAnsi="宋体" w:eastAsia="宋体" w:cs="宋体"/>
                <w:color w:val="000000"/>
                <w:kern w:val="0"/>
                <w:sz w:val="22"/>
                <w:highlight w:val="green"/>
                <w:lang w:bidi="ar"/>
              </w:rPr>
              <w:t>态度契合度</w:t>
            </w:r>
          </w:p>
        </w:tc>
        <w:tc>
          <w:tcPr>
            <w:tcW w:w="0" w:type="auto"/>
            <w:tcBorders>
              <w:top w:val="nil"/>
              <w:left w:val="nil"/>
              <w:bottom w:val="nil"/>
              <w:right w:val="nil"/>
            </w:tcBorders>
            <w:shd w:val="clear" w:color="auto" w:fill="auto"/>
            <w:noWrap/>
            <w:vAlign w:val="center"/>
          </w:tcPr>
          <w:p w14:paraId="18809CFF">
            <w:pPr>
              <w:rPr>
                <w:rFonts w:ascii="宋体" w:hAnsi="宋体" w:eastAsia="宋体" w:cs="宋体"/>
                <w:color w:val="000000"/>
                <w:sz w:val="22"/>
              </w:rPr>
            </w:pPr>
          </w:p>
        </w:tc>
      </w:tr>
      <w:tr w14:paraId="331A10A3">
        <w:tblPrEx>
          <w:tblCellMar>
            <w:top w:w="0" w:type="dxa"/>
            <w:left w:w="108" w:type="dxa"/>
            <w:bottom w:w="0" w:type="dxa"/>
            <w:right w:w="108" w:type="dxa"/>
          </w:tblCellMar>
        </w:tblPrEx>
        <w:trPr>
          <w:trHeight w:val="400" w:hRule="atLeast"/>
          <w:jc w:val="center"/>
        </w:trPr>
        <w:tc>
          <w:tcPr>
            <w:tcW w:w="0" w:type="auto"/>
            <w:tcBorders>
              <w:top w:val="nil"/>
              <w:left w:val="nil"/>
              <w:bottom w:val="nil"/>
              <w:right w:val="nil"/>
            </w:tcBorders>
            <w:shd w:val="clear" w:color="auto" w:fill="auto"/>
            <w:noWrap/>
            <w:vAlign w:val="center"/>
          </w:tcPr>
          <w:p w14:paraId="23CB1629">
            <w:pPr>
              <w:widowControl/>
              <w:jc w:val="center"/>
              <w:textAlignment w:val="center"/>
              <w:rPr>
                <w:rFonts w:ascii="宋体" w:hAnsi="宋体" w:eastAsia="宋体" w:cs="宋体"/>
                <w:color w:val="000000"/>
                <w:sz w:val="22"/>
                <w:highlight w:val="green"/>
              </w:rPr>
            </w:pPr>
            <w:r>
              <w:rPr>
                <w:rFonts w:hint="eastAsia" w:ascii="宋体" w:hAnsi="宋体" w:eastAsia="宋体" w:cs="宋体"/>
                <w:color w:val="000000"/>
                <w:kern w:val="0"/>
                <w:sz w:val="22"/>
                <w:highlight w:val="green"/>
                <w:lang w:bidi="ar"/>
              </w:rPr>
              <w:t>立场契合度</w:t>
            </w:r>
          </w:p>
        </w:tc>
        <w:tc>
          <w:tcPr>
            <w:tcW w:w="0" w:type="auto"/>
            <w:tcBorders>
              <w:top w:val="nil"/>
              <w:left w:val="nil"/>
              <w:bottom w:val="nil"/>
              <w:right w:val="nil"/>
            </w:tcBorders>
            <w:shd w:val="clear" w:color="auto" w:fill="auto"/>
            <w:noWrap/>
            <w:vAlign w:val="center"/>
          </w:tcPr>
          <w:p w14:paraId="411DE655">
            <w:pPr>
              <w:rPr>
                <w:rFonts w:ascii="宋体" w:hAnsi="宋体" w:eastAsia="宋体" w:cs="宋体"/>
                <w:color w:val="000000"/>
                <w:sz w:val="22"/>
              </w:rPr>
            </w:pPr>
          </w:p>
        </w:tc>
      </w:tr>
    </w:tbl>
    <w:p w14:paraId="09FD1B2E">
      <w:pPr>
        <w:spacing w:line="360" w:lineRule="auto"/>
        <w:ind w:firstLine="420" w:firstLineChars="200"/>
      </w:pPr>
    </w:p>
    <w:p w14:paraId="75FC6B79">
      <w:pPr>
        <w:rPr>
          <w:rFonts w:ascii="宋体" w:hAnsi="宋体" w:eastAsia="宋体"/>
          <w:b/>
          <w:bCs/>
          <w:sz w:val="28"/>
          <w:szCs w:val="28"/>
        </w:rPr>
      </w:pPr>
      <w:r>
        <w:rPr>
          <w:rFonts w:hint="eastAsia" w:ascii="宋体" w:hAnsi="宋体" w:eastAsia="宋体"/>
          <w:b/>
          <w:bCs/>
          <w:sz w:val="28"/>
          <w:szCs w:val="28"/>
          <w:lang w:val="en-US" w:eastAsia="zh-CN"/>
        </w:rPr>
        <w:t>2.</w:t>
      </w:r>
      <w:r>
        <w:rPr>
          <w:rFonts w:hint="eastAsia" w:ascii="宋体" w:hAnsi="宋体" w:eastAsia="宋体"/>
          <w:b/>
          <w:bCs/>
          <w:sz w:val="28"/>
          <w:szCs w:val="28"/>
        </w:rPr>
        <w:t>指标</w:t>
      </w:r>
      <w:r>
        <w:rPr>
          <w:rFonts w:hint="eastAsia" w:ascii="宋体" w:hAnsi="宋体" w:eastAsia="宋体"/>
          <w:b/>
          <w:bCs/>
          <w:sz w:val="28"/>
          <w:szCs w:val="28"/>
          <w:lang w:val="en-US" w:eastAsia="zh-CN"/>
        </w:rPr>
        <w:t>解释</w:t>
      </w:r>
      <w:r>
        <w:rPr>
          <w:rFonts w:hint="eastAsia" w:ascii="宋体" w:hAnsi="宋体" w:eastAsia="宋体"/>
          <w:b/>
          <w:bCs/>
          <w:sz w:val="28"/>
          <w:szCs w:val="28"/>
        </w:rPr>
        <w:t>：</w:t>
      </w:r>
    </w:p>
    <w:p w14:paraId="1AF68154">
      <w:pPr>
        <w:spacing w:line="360" w:lineRule="auto"/>
        <w:ind w:firstLine="482" w:firstLineChars="200"/>
        <w:rPr>
          <w:rFonts w:ascii="宋体" w:hAnsi="宋体" w:eastAsia="宋体"/>
          <w:sz w:val="24"/>
          <w:szCs w:val="24"/>
        </w:rPr>
      </w:pPr>
      <w:r>
        <w:rPr>
          <w:rFonts w:hint="eastAsia" w:ascii="宋体" w:hAnsi="宋体" w:eastAsia="宋体"/>
          <w:b/>
          <w:bCs/>
          <w:color w:val="0000FF"/>
          <w:sz w:val="24"/>
          <w:szCs w:val="24"/>
        </w:rPr>
        <w:t>主题一致性</w:t>
      </w:r>
      <w:r>
        <w:rPr>
          <w:rFonts w:hint="eastAsia" w:ascii="宋体" w:hAnsi="宋体" w:eastAsia="宋体"/>
          <w:sz w:val="24"/>
          <w:szCs w:val="24"/>
        </w:rPr>
        <w:t>表现为生成内容与回复主题的关联程度，即通过比较生成内容与原文关键词和分类的关联程度，来评估生成内容的质量，从而确保生成内容与评论主题紧密相关，避免出现偏离主题等情况。</w:t>
      </w:r>
    </w:p>
    <w:p w14:paraId="7AA09325">
      <w:pPr>
        <w:spacing w:line="360" w:lineRule="auto"/>
        <w:ind w:firstLine="482" w:firstLineChars="200"/>
        <w:rPr>
          <w:rFonts w:ascii="宋体" w:hAnsi="宋体" w:eastAsia="宋体"/>
          <w:sz w:val="24"/>
          <w:szCs w:val="24"/>
        </w:rPr>
      </w:pPr>
      <w:r>
        <w:rPr>
          <w:rFonts w:hint="eastAsia" w:ascii="宋体" w:hAnsi="宋体" w:eastAsia="宋体"/>
          <w:b/>
          <w:bCs/>
          <w:color w:val="0000FF"/>
          <w:sz w:val="24"/>
          <w:szCs w:val="24"/>
        </w:rPr>
        <w:t>上下文连贯性</w:t>
      </w:r>
      <w:r>
        <w:rPr>
          <w:rFonts w:hint="eastAsia" w:ascii="宋体" w:hAnsi="宋体" w:eastAsia="宋体"/>
          <w:sz w:val="24"/>
          <w:szCs w:val="24"/>
        </w:rPr>
        <w:t>表现为评论回复与原文的关联性，即生成内容是否能对原文作出回应，这样能确保双方处于交流语境之中，避免出现各抒己见、对空言说等无效沟通情况。</w:t>
      </w:r>
    </w:p>
    <w:p w14:paraId="4FFE716A">
      <w:pPr>
        <w:spacing w:line="360" w:lineRule="auto"/>
        <w:ind w:firstLine="482" w:firstLineChars="200"/>
        <w:rPr>
          <w:rFonts w:ascii="宋体" w:hAnsi="宋体" w:eastAsia="宋体"/>
          <w:sz w:val="24"/>
          <w:szCs w:val="24"/>
        </w:rPr>
      </w:pPr>
      <w:r>
        <w:rPr>
          <w:rFonts w:hint="eastAsia" w:ascii="宋体" w:hAnsi="宋体" w:eastAsia="宋体"/>
          <w:b/>
          <w:bCs/>
          <w:color w:val="0000FF"/>
          <w:sz w:val="24"/>
          <w:szCs w:val="24"/>
        </w:rPr>
        <w:t>语言流畅性</w:t>
      </w:r>
      <w:r>
        <w:rPr>
          <w:rFonts w:hint="eastAsia" w:ascii="宋体" w:hAnsi="宋体" w:eastAsia="宋体"/>
          <w:sz w:val="24"/>
          <w:szCs w:val="24"/>
        </w:rPr>
        <w:t>考虑到网络语言使用不同于书面语，在现实生活中网民发布推文、回复评论时使用的语言较为随意，因此我们摒弃了拼写正确和语法规范等常见的评估指标，化繁为简，保留了语言流畅性作为对文本生成语言维度的评估指标。</w:t>
      </w:r>
    </w:p>
    <w:p w14:paraId="68987B97">
      <w:pPr>
        <w:spacing w:line="360" w:lineRule="auto"/>
        <w:ind w:firstLine="482" w:firstLineChars="200"/>
        <w:rPr>
          <w:rFonts w:ascii="宋体" w:hAnsi="宋体" w:eastAsia="宋体"/>
          <w:sz w:val="24"/>
          <w:szCs w:val="24"/>
        </w:rPr>
      </w:pPr>
      <w:r>
        <w:rPr>
          <w:rFonts w:hint="eastAsia" w:ascii="宋体" w:hAnsi="宋体" w:eastAsia="宋体"/>
          <w:b/>
          <w:bCs/>
          <w:color w:val="0000FF"/>
          <w:sz w:val="24"/>
          <w:szCs w:val="24"/>
        </w:rPr>
        <w:t>语料的丰富性</w:t>
      </w:r>
      <w:r>
        <w:rPr>
          <w:rFonts w:hint="eastAsia" w:ascii="宋体" w:hAnsi="宋体" w:eastAsia="宋体"/>
          <w:sz w:val="24"/>
          <w:szCs w:val="24"/>
        </w:rPr>
        <w:t>则表现为生成内容的丰富性和对论点、论据的使用，后续可以结合本系统“采用领域知识”这一功能，强化模型对于数据库资料的学习和使用，从而使得回复内容更加充实、论证更加有力。</w:t>
      </w:r>
    </w:p>
    <w:p w14:paraId="31A517AC">
      <w:pPr>
        <w:spacing w:line="360" w:lineRule="auto"/>
        <w:ind w:firstLine="480" w:firstLineChars="200"/>
        <w:rPr>
          <w:rFonts w:ascii="宋体" w:hAnsi="宋体" w:eastAsia="宋体"/>
          <w:sz w:val="24"/>
          <w:szCs w:val="24"/>
        </w:rPr>
      </w:pPr>
      <w:r>
        <w:rPr>
          <w:rFonts w:hint="eastAsia" w:ascii="宋体" w:hAnsi="宋体" w:eastAsia="宋体"/>
          <w:sz w:val="24"/>
          <w:szCs w:val="24"/>
        </w:rPr>
        <w:t>结合本项目的任务特点，我们引入了</w:t>
      </w:r>
      <w:r>
        <w:rPr>
          <w:rFonts w:hint="eastAsia" w:ascii="宋体" w:hAnsi="宋体" w:eastAsia="宋体"/>
          <w:b/>
          <w:bCs/>
          <w:color w:val="0000FF"/>
          <w:sz w:val="24"/>
          <w:szCs w:val="24"/>
        </w:rPr>
        <w:t>身份/角色契合度和态度契合度</w:t>
      </w:r>
      <w:r>
        <w:rPr>
          <w:rFonts w:hint="eastAsia" w:ascii="宋体" w:hAnsi="宋体" w:eastAsia="宋体"/>
          <w:sz w:val="24"/>
          <w:szCs w:val="24"/>
        </w:rPr>
        <w:t>等指标，以适应不同的评论回复风格，确保生成内容贴近现实网民的评论风格，更加拟人化。此外，结合本项目的任务目标——“讲好中国故事，改善国际形象”，我们还引入了</w:t>
      </w:r>
      <w:r>
        <w:rPr>
          <w:rFonts w:hint="eastAsia" w:ascii="宋体" w:hAnsi="宋体" w:eastAsia="宋体"/>
          <w:b/>
          <w:bCs/>
          <w:color w:val="0000FF"/>
          <w:sz w:val="24"/>
          <w:szCs w:val="24"/>
        </w:rPr>
        <w:t>立场契合度</w:t>
      </w:r>
      <w:r>
        <w:rPr>
          <w:rFonts w:hint="eastAsia" w:ascii="宋体" w:hAnsi="宋体" w:eastAsia="宋体"/>
          <w:sz w:val="24"/>
          <w:szCs w:val="24"/>
        </w:rPr>
        <w:t>，确保生成内容的立场是支持中国声音。</w:t>
      </w:r>
    </w:p>
    <w:p w14:paraId="6D5F1F0F">
      <w:pPr>
        <w:spacing w:line="360" w:lineRule="auto"/>
      </w:pPr>
    </w:p>
    <w:p w14:paraId="66DDDC0E">
      <w:pPr>
        <w:rPr>
          <w:rFonts w:ascii="宋体" w:hAnsi="宋体" w:eastAsia="宋体"/>
          <w:b/>
          <w:bCs/>
          <w:sz w:val="28"/>
          <w:szCs w:val="28"/>
        </w:rPr>
      </w:pPr>
      <w:r>
        <w:rPr>
          <w:rFonts w:hint="eastAsia" w:ascii="宋体" w:hAnsi="宋体" w:eastAsia="宋体"/>
          <w:b/>
          <w:bCs/>
          <w:sz w:val="28"/>
          <w:szCs w:val="28"/>
        </w:rPr>
        <w:t>2</w:t>
      </w:r>
      <w:r>
        <w:rPr>
          <w:rFonts w:ascii="宋体" w:hAnsi="宋体" w:eastAsia="宋体"/>
          <w:b/>
          <w:bCs/>
          <w:sz w:val="28"/>
          <w:szCs w:val="28"/>
        </w:rPr>
        <w:t>.</w:t>
      </w:r>
      <w:r>
        <w:rPr>
          <w:rFonts w:hint="eastAsia" w:ascii="宋体" w:hAnsi="宋体" w:eastAsia="宋体"/>
          <w:b/>
          <w:bCs/>
          <w:sz w:val="28"/>
          <w:szCs w:val="28"/>
        </w:rPr>
        <w:t>制定依据：</w:t>
      </w:r>
    </w:p>
    <w:p w14:paraId="1CD98A1E">
      <w:pPr>
        <w:rPr>
          <w:rFonts w:ascii="宋体" w:hAnsi="宋体" w:eastAsia="宋体"/>
          <w:b/>
          <w:bCs/>
          <w:sz w:val="24"/>
          <w:szCs w:val="24"/>
        </w:rPr>
      </w:pPr>
      <w:r>
        <w:rPr>
          <w:rFonts w:ascii="宋体" w:hAnsi="宋体" w:eastAsia="宋体"/>
          <w:sz w:val="24"/>
          <w:szCs w:val="24"/>
        </w:rPr>
        <w:tab/>
      </w:r>
      <w:r>
        <w:rPr>
          <w:rFonts w:hint="eastAsia" w:ascii="宋体" w:hAnsi="宋体" w:eastAsia="宋体"/>
          <w:b/>
          <w:bCs/>
          <w:sz w:val="24"/>
          <w:szCs w:val="24"/>
        </w:rPr>
        <w:t>（1）内在评估与外在评估指标体系</w:t>
      </w:r>
    </w:p>
    <w:p w14:paraId="088CCA26">
      <w:pPr>
        <w:spacing w:line="360" w:lineRule="auto"/>
        <w:ind w:firstLine="480" w:firstLineChars="200"/>
        <w:rPr>
          <w:rFonts w:ascii="宋体" w:hAnsi="宋体" w:eastAsia="宋体"/>
          <w:sz w:val="24"/>
          <w:szCs w:val="24"/>
        </w:rPr>
      </w:pPr>
      <w:r>
        <w:rPr>
          <w:rFonts w:hint="eastAsia" w:ascii="宋体" w:hAnsi="宋体" w:eastAsia="宋体"/>
          <w:sz w:val="24"/>
          <w:szCs w:val="24"/>
        </w:rPr>
        <w:t>人工评估（Human Evaluation）是文本生成工作评估中的重要环节。人工评估广义上可分为两类：内在评估（Intrinsic Evaluation）和外在评估（Extrinsic Evaluation），前者较为常用。对于评论生成等开放式文本生成任务，目前主流的衡量维度有：</w:t>
      </w:r>
    </w:p>
    <w:p w14:paraId="1C33D093">
      <w:pPr>
        <w:spacing w:line="360" w:lineRule="auto"/>
        <w:ind w:firstLine="480" w:firstLineChars="200"/>
        <w:rPr>
          <w:rFonts w:ascii="宋体" w:hAnsi="宋体" w:eastAsia="宋体"/>
          <w:sz w:val="24"/>
          <w:szCs w:val="24"/>
        </w:rPr>
      </w:pPr>
      <w:r>
        <w:rPr>
          <w:rFonts w:hint="eastAsia" w:ascii="宋体" w:hAnsi="宋体" w:eastAsia="宋体"/>
          <w:sz w:val="24"/>
          <w:szCs w:val="24"/>
        </w:rPr>
        <w:t>1.流畅性（Fluency）：主要表现为单词拼写、语法和造句等方面的流利程度。</w:t>
      </w:r>
    </w:p>
    <w:p w14:paraId="0AD556CC">
      <w:pPr>
        <w:spacing w:line="360" w:lineRule="auto"/>
        <w:ind w:firstLine="480" w:firstLineChars="200"/>
        <w:rPr>
          <w:rFonts w:ascii="宋体" w:hAnsi="宋体" w:eastAsia="宋体"/>
          <w:sz w:val="24"/>
          <w:szCs w:val="24"/>
        </w:rPr>
      </w:pPr>
      <w:r>
        <w:rPr>
          <w:rFonts w:hint="eastAsia" w:ascii="宋体" w:hAnsi="宋体" w:eastAsia="宋体"/>
          <w:sz w:val="24"/>
          <w:szCs w:val="24"/>
        </w:rPr>
        <w:t>2.相关性（Relevance）：主要表现为上下文内容的关联程度。</w:t>
      </w:r>
    </w:p>
    <w:p w14:paraId="356F76D9">
      <w:pPr>
        <w:spacing w:line="360" w:lineRule="auto"/>
        <w:ind w:firstLine="480" w:firstLineChars="200"/>
        <w:rPr>
          <w:rFonts w:ascii="宋体" w:hAnsi="宋体" w:eastAsia="宋体"/>
          <w:sz w:val="24"/>
          <w:szCs w:val="24"/>
        </w:rPr>
      </w:pPr>
      <w:r>
        <w:rPr>
          <w:rFonts w:hint="eastAsia" w:ascii="宋体" w:hAnsi="宋体" w:eastAsia="宋体"/>
          <w:sz w:val="24"/>
          <w:szCs w:val="24"/>
        </w:rPr>
        <w:t>3.丰富性（Informativeness）：主要表现为语料内容的多样性。</w:t>
      </w:r>
    </w:p>
    <w:p w14:paraId="0D8F99A2">
      <w:pPr>
        <w:spacing w:line="360" w:lineRule="auto"/>
        <w:ind w:firstLine="480" w:firstLineChars="200"/>
        <w:rPr>
          <w:rFonts w:ascii="宋体" w:hAnsi="宋体" w:eastAsia="宋体"/>
          <w:sz w:val="24"/>
          <w:szCs w:val="24"/>
        </w:rPr>
      </w:pPr>
    </w:p>
    <w:p w14:paraId="450EEFBB">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w:t>
      </w:r>
      <w:r>
        <w:rPr>
          <w:rFonts w:ascii="宋体" w:hAnsi="宋体" w:eastAsia="宋体"/>
          <w:b/>
          <w:bCs/>
          <w:sz w:val="24"/>
          <w:szCs w:val="24"/>
        </w:rPr>
        <w:t>2</w:t>
      </w:r>
      <w:r>
        <w:rPr>
          <w:rFonts w:hint="eastAsia" w:ascii="宋体" w:hAnsi="宋体" w:eastAsia="宋体"/>
          <w:b/>
          <w:bCs/>
          <w:sz w:val="24"/>
          <w:szCs w:val="24"/>
        </w:rPr>
        <w:t>）机器A</w:t>
      </w:r>
      <w:r>
        <w:rPr>
          <w:rFonts w:ascii="宋体" w:hAnsi="宋体" w:eastAsia="宋体"/>
          <w:b/>
          <w:bCs/>
          <w:sz w:val="24"/>
          <w:szCs w:val="24"/>
        </w:rPr>
        <w:t>I</w:t>
      </w:r>
      <w:r>
        <w:rPr>
          <w:rFonts w:hint="eastAsia" w:ascii="宋体" w:hAnsi="宋体" w:eastAsia="宋体"/>
          <w:b/>
          <w:bCs/>
          <w:sz w:val="24"/>
          <w:szCs w:val="24"/>
        </w:rPr>
        <w:t>社交量化体系</w:t>
      </w:r>
    </w:p>
    <w:p w14:paraId="01A4EF54">
      <w:pPr>
        <w:spacing w:line="400" w:lineRule="exact"/>
        <w:ind w:firstLine="480" w:firstLineChars="200"/>
        <w:rPr>
          <w:rFonts w:ascii="宋体" w:hAnsi="宋体" w:eastAsia="宋体" w:cs="宋体"/>
          <w:sz w:val="24"/>
          <w:szCs w:val="24"/>
        </w:rPr>
      </w:pPr>
      <w:r>
        <w:rPr>
          <w:rFonts w:hint="eastAsia" w:ascii="宋体" w:hAnsi="宋体" w:eastAsia="宋体" w:cs="宋体"/>
          <w:sz w:val="24"/>
          <w:szCs w:val="24"/>
        </w:rPr>
        <w:t>在2014年，Edwards等人通过测量人工代理及机器人代理推特账号的对比实验构建起机器AI社交的量化体系，其主要包含来源可信度（Source Credibility）、人际吸引力（Interpersonal attraction）、计算机沟通能力（Computer-mediated communication competence）以及交互意图（Intent to interact）四个方面的指标。</w:t>
      </w:r>
    </w:p>
    <w:p w14:paraId="2F7E1BA5">
      <w:pPr>
        <w:spacing w:line="400" w:lineRule="exact"/>
        <w:ind w:firstLine="480" w:firstLineChars="200"/>
        <w:rPr>
          <w:rFonts w:ascii="宋体" w:hAnsi="宋体" w:eastAsia="宋体" w:cs="宋体"/>
          <w:sz w:val="24"/>
          <w:szCs w:val="24"/>
        </w:rPr>
      </w:pPr>
      <w:r>
        <w:rPr>
          <w:rFonts w:hint="eastAsia" w:ascii="宋体" w:hAnsi="宋体" w:eastAsia="宋体" w:cs="宋体"/>
          <w:sz w:val="24"/>
          <w:szCs w:val="24"/>
        </w:rPr>
        <w:t>来源可信度主要用来测量AI机器人的可信度，具体包含能力、性格和关怀三个方面的指标，其中能力由诸如“intelligent”等描述组成，性格由诸如“honest”等描述组成，关怀由“care about me”等描述组成。</w:t>
      </w:r>
    </w:p>
    <w:p w14:paraId="13F75047">
      <w:pPr>
        <w:spacing w:line="400" w:lineRule="exact"/>
        <w:ind w:firstLine="480" w:firstLineChars="200"/>
        <w:rPr>
          <w:rFonts w:ascii="宋体" w:hAnsi="宋体" w:eastAsia="宋体" w:cs="宋体"/>
          <w:sz w:val="24"/>
          <w:szCs w:val="24"/>
        </w:rPr>
      </w:pPr>
      <w:r>
        <w:rPr>
          <w:rFonts w:hint="eastAsia" w:ascii="宋体" w:hAnsi="宋体" w:eastAsia="宋体" w:cs="宋体"/>
          <w:sz w:val="24"/>
          <w:szCs w:val="24"/>
        </w:rPr>
        <w:t>人际吸引力主要用来测量AI机器人的交际水平和吸引能力，具体包含社交型吸引力和任务型吸引力两个方面的指标，社交型吸引力由“I think he would be a friend of mine”等问题组成，任务型吸引力由“I would not get anything accomplished with him”等问题描述组成。</w:t>
      </w:r>
    </w:p>
    <w:p w14:paraId="11CF6FC7">
      <w:pPr>
        <w:spacing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计算机沟通能力由八个指标组成，主要用来测量AI机器人对沟通中目标的表达情况。交互意图由一个指标直接衡量，测量AI机器人的可交互性程度。</w:t>
      </w:r>
    </w:p>
    <w:p w14:paraId="305DC6A4">
      <w:pPr>
        <w:spacing w:line="400" w:lineRule="exact"/>
        <w:ind w:firstLine="480" w:firstLineChars="200"/>
        <w:rPr>
          <w:rFonts w:hint="eastAsia" w:ascii="宋体" w:hAnsi="宋体" w:eastAsia="宋体" w:cs="宋体"/>
          <w:sz w:val="24"/>
          <w:szCs w:val="24"/>
        </w:rPr>
      </w:pPr>
    </w:p>
    <w:p w14:paraId="5DFFD50F">
      <w:pPr>
        <w:spacing w:line="400" w:lineRule="exact"/>
        <w:rPr>
          <w:rFonts w:ascii="宋体" w:hAnsi="宋体" w:eastAsia="宋体" w:cs="宋体"/>
          <w:sz w:val="24"/>
          <w:szCs w:val="24"/>
        </w:rPr>
      </w:pPr>
      <w:r>
        <w:rPr>
          <w:rFonts w:hint="eastAsia" w:ascii="宋体" w:hAnsi="宋体" w:eastAsia="宋体" w:cs="宋体"/>
          <w:b/>
          <w:bCs/>
          <w:sz w:val="24"/>
          <w:szCs w:val="24"/>
        </w:rPr>
        <w:t>二、评价指标对应说明</w:t>
      </w:r>
    </w:p>
    <w:p w14:paraId="3A9D85A4">
      <w:pPr>
        <w:spacing w:line="400" w:lineRule="exact"/>
        <w:ind w:firstLine="480" w:firstLineChars="200"/>
        <w:rPr>
          <w:rFonts w:ascii="宋体" w:hAnsi="宋体" w:eastAsia="宋体" w:cs="宋体"/>
          <w:sz w:val="24"/>
          <w:szCs w:val="24"/>
        </w:rPr>
      </w:pPr>
      <w:r>
        <w:rPr>
          <w:rFonts w:hint="eastAsia" w:ascii="宋体" w:hAnsi="宋体" w:eastAsia="宋体" w:cs="宋体"/>
          <w:sz w:val="24"/>
          <w:szCs w:val="24"/>
        </w:rPr>
        <w:t>由于Edwards等人在2014提出的测量体系具体定位于“机器人”的整体人设，而非机器人的文本内容等产出性资料，所以再结合本研究时需将测试的评价指标进行细微的转写。</w:t>
      </w:r>
    </w:p>
    <w:p w14:paraId="481CB700">
      <w:pPr>
        <w:spacing w:line="400" w:lineRule="exact"/>
        <w:ind w:firstLine="480" w:firstLineChars="200"/>
        <w:rPr>
          <w:rFonts w:ascii="宋体" w:hAnsi="宋体" w:eastAsia="宋体" w:cs="宋体"/>
          <w:sz w:val="24"/>
          <w:szCs w:val="24"/>
        </w:rPr>
      </w:pPr>
      <w:r>
        <w:rPr>
          <w:rFonts w:hint="eastAsia" w:ascii="宋体" w:hAnsi="宋体" w:eastAsia="宋体" w:cs="宋体"/>
          <w:sz w:val="24"/>
          <w:szCs w:val="24"/>
        </w:rPr>
        <w:t>来源可信度中的能力、性格以及关怀指标对应AIGC文本资料产出中的“引用领域知识”、“人设态度”、“与话题的契合程度”三大指标。计算机沟通能力主要与AIGC文本资料产出中的“主题一致性”、“上下文连贯性”、“语言流畅性”和“语料丰富性”四大指标对应。此外，人际吸引力与交互意图可作为“主题”、“语言”、“人设”的总体体现及对应。</w:t>
      </w:r>
    </w:p>
    <w:p w14:paraId="5A6AFB93">
      <w:pPr>
        <w:spacing w:line="360" w:lineRule="auto"/>
        <w:ind w:firstLine="480" w:firstLineChars="200"/>
        <w:rPr>
          <w:rFonts w:ascii="宋体" w:hAnsi="宋体" w:eastAsia="宋体"/>
          <w:sz w:val="24"/>
          <w:szCs w:val="24"/>
        </w:rPr>
      </w:pPr>
    </w:p>
    <w:p w14:paraId="30E34805">
      <w:pPr>
        <w:spacing w:line="360" w:lineRule="auto"/>
        <w:ind w:firstLine="480" w:firstLineChars="200"/>
        <w:rPr>
          <w:rFonts w:ascii="宋体" w:hAnsi="宋体" w:eastAsia="宋体"/>
          <w:sz w:val="24"/>
          <w:szCs w:val="24"/>
        </w:rPr>
      </w:pPr>
      <w:r>
        <w:rPr>
          <w:rFonts w:hint="eastAsia" w:ascii="宋体" w:hAnsi="宋体" w:eastAsia="宋体"/>
          <w:sz w:val="24"/>
          <w:szCs w:val="24"/>
        </w:rPr>
        <w:t>参考文献：</w:t>
      </w:r>
    </w:p>
    <w:p w14:paraId="35D94C71">
      <w:pPr>
        <w:spacing w:line="360" w:lineRule="auto"/>
      </w:pPr>
      <w:r>
        <w:t>[1] Yang, Z. ,  Xu, C. ,  Wu, W. , &amp;  Li, Z. . (2019). Read, attend and comment: a deep architecture for automatic news comment generation.</w:t>
      </w:r>
    </w:p>
    <w:p w14:paraId="4F396904">
      <w:pPr>
        <w:rPr>
          <w:rFonts w:ascii="宋体" w:hAnsi="宋体" w:eastAsia="宋体"/>
          <w:sz w:val="24"/>
          <w:szCs w:val="24"/>
        </w:rPr>
      </w:pPr>
      <w:r>
        <w:rPr>
          <w:rFonts w:ascii="宋体" w:hAnsi="宋体" w:eastAsia="宋体"/>
          <w:sz w:val="24"/>
          <w:szCs w:val="24"/>
        </w:rPr>
        <w:t xml:space="preserve">[2]Spitzberg, B. H. (2017). Preliminary Development of a Model and Measure of Computer-Mediated Communication (Cmc) Competence |. Journal of Computer-Mediated Communication. </w:t>
      </w:r>
      <w:r>
        <w:fldChar w:fldCharType="begin"/>
      </w:r>
      <w:r>
        <w:instrText xml:space="preserve"> HYPERLINK "https://academic.oup.com/jcmc/article/11/2/629/4617736" </w:instrText>
      </w:r>
      <w:r>
        <w:fldChar w:fldCharType="separate"/>
      </w:r>
      <w:r>
        <w:rPr>
          <w:rStyle w:val="5"/>
          <w:rFonts w:ascii="宋体" w:hAnsi="宋体" w:eastAsia="宋体"/>
          <w:sz w:val="24"/>
          <w:szCs w:val="24"/>
        </w:rPr>
        <w:t>https://academic.oup.com/jcmc/article/11/2/629/4617736</w:t>
      </w:r>
      <w:r>
        <w:rPr>
          <w:rStyle w:val="5"/>
          <w:rFonts w:ascii="宋体" w:hAnsi="宋体" w:eastAsia="宋体"/>
          <w:sz w:val="24"/>
          <w:szCs w:val="24"/>
        </w:rPr>
        <w:fldChar w:fldCharType="end"/>
      </w:r>
    </w:p>
    <w:p w14:paraId="32B495B8">
      <w:pPr>
        <w:rPr>
          <w:rFonts w:ascii="宋体" w:hAnsi="宋体" w:eastAsia="宋体"/>
          <w:sz w:val="24"/>
          <w:szCs w:val="24"/>
        </w:rPr>
      </w:pPr>
      <w:r>
        <w:rPr>
          <w:rFonts w:ascii="宋体" w:hAnsi="宋体" w:eastAsia="宋体"/>
          <w:sz w:val="24"/>
          <w:szCs w:val="24"/>
        </w:rPr>
        <w:t>[3] Edwards, C., Edwards, A., Spence, P. R., &amp; Shelton, A. K. (2014). Is that a bot running the social media feed? Testing the differences in perceptions of communication quality for a human agent and a bot agent on Twitter. Computers in Human Behavior, 33, 372–376. https://doi.org/10.1016/j.chb.2013.08.013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9D39C1"/>
    <w:multiLevelType w:val="multilevel"/>
    <w:tmpl w:val="729D39C1"/>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ljYzUzMWQ4OWI0YzBkYjYzMDRhZTY5ZjZkYmFmYTgifQ=="/>
  </w:docVars>
  <w:rsids>
    <w:rsidRoot w:val="00A54001"/>
    <w:rsid w:val="000A0B66"/>
    <w:rsid w:val="000A3085"/>
    <w:rsid w:val="000F60DA"/>
    <w:rsid w:val="000F71B4"/>
    <w:rsid w:val="00113D9E"/>
    <w:rsid w:val="001E2FD3"/>
    <w:rsid w:val="002663DB"/>
    <w:rsid w:val="00295694"/>
    <w:rsid w:val="002B24AD"/>
    <w:rsid w:val="0034004A"/>
    <w:rsid w:val="003C1ED3"/>
    <w:rsid w:val="00402D38"/>
    <w:rsid w:val="0043195E"/>
    <w:rsid w:val="00482570"/>
    <w:rsid w:val="00505387"/>
    <w:rsid w:val="005319F2"/>
    <w:rsid w:val="00532BF5"/>
    <w:rsid w:val="005F30F9"/>
    <w:rsid w:val="00626A83"/>
    <w:rsid w:val="00643BE3"/>
    <w:rsid w:val="00675E83"/>
    <w:rsid w:val="006E45F4"/>
    <w:rsid w:val="0070077B"/>
    <w:rsid w:val="007520D2"/>
    <w:rsid w:val="007A7D53"/>
    <w:rsid w:val="007C204E"/>
    <w:rsid w:val="00844F8D"/>
    <w:rsid w:val="009267D1"/>
    <w:rsid w:val="009A471F"/>
    <w:rsid w:val="009B1DE6"/>
    <w:rsid w:val="009F3B32"/>
    <w:rsid w:val="00A54001"/>
    <w:rsid w:val="00A92F67"/>
    <w:rsid w:val="00A9649B"/>
    <w:rsid w:val="00AA13F2"/>
    <w:rsid w:val="00AA3240"/>
    <w:rsid w:val="00B12342"/>
    <w:rsid w:val="00C36D5D"/>
    <w:rsid w:val="00C62EFF"/>
    <w:rsid w:val="00CE7F4F"/>
    <w:rsid w:val="00D17A35"/>
    <w:rsid w:val="00D245D7"/>
    <w:rsid w:val="00D91AB9"/>
    <w:rsid w:val="00DB7263"/>
    <w:rsid w:val="00DD59C5"/>
    <w:rsid w:val="00EB274D"/>
    <w:rsid w:val="00EE2227"/>
    <w:rsid w:val="00F72C60"/>
    <w:rsid w:val="00F87A83"/>
    <w:rsid w:val="0EBC004D"/>
    <w:rsid w:val="2BCB2A15"/>
    <w:rsid w:val="651A1EAC"/>
    <w:rsid w:val="68480023"/>
    <w:rsid w:val="7BDD4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nhideWhenUsed/>
    <w:uiPriority w:val="99"/>
    <w:rPr>
      <w:color w:val="0563C1" w:themeColor="hyperlink"/>
      <w:u w:val="single"/>
      <w14:textFill>
        <w14:solidFill>
          <w14:schemeClr w14:val="hlink"/>
        </w14:solidFill>
      </w14:textFill>
    </w:rPr>
  </w:style>
  <w:style w:type="paragraph" w:styleId="6">
    <w:name w:val="List Paragraph"/>
    <w:basedOn w:val="1"/>
    <w:qFormat/>
    <w:uiPriority w:val="34"/>
    <w:pPr>
      <w:ind w:firstLine="420" w:firstLineChars="200"/>
    </w:pPr>
  </w:style>
  <w:style w:type="paragraph" w:customStyle="1" w:styleId="7">
    <w:name w:val="Bibliography"/>
    <w:basedOn w:val="1"/>
    <w:next w:val="1"/>
    <w:semiHidden/>
    <w:unhideWhenUsed/>
    <w:uiPriority w:val="37"/>
  </w:style>
  <w:style w:type="character" w:customStyle="1" w:styleId="8">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1976</Words>
  <Characters>2883</Characters>
  <Lines>22</Lines>
  <Paragraphs>6</Paragraphs>
  <TotalTime>0</TotalTime>
  <ScaleCrop>false</ScaleCrop>
  <LinksUpToDate>false</LinksUpToDate>
  <CharactersWithSpaces>3025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2023-08-04T02:48:00Z</dcterms:created>
  <dc:creator>Conrad Z</dc:creator>
  <cp:lastModifiedBy>LaughLaugh</cp:lastModifiedBy>
  <dcterms:modified xsi:type="dcterms:W3CDTF">2024-10-21T06:09:32Z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DFDBF58A847E459DB414FF82CB49457A_12</vt:lpwstr>
  </property>
</Properties>
</file>