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3AB381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bdr w:val="none" w:color="auto" w:sz="0" w:space="0"/>
        </w:rPr>
        <w:t>案例 1：出轨导致离婚 + 2 岁半子女抚养权 + 婚前房产分割</w:t>
      </w:r>
    </w:p>
    <w:p w14:paraId="12C174F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案号</w:t>
      </w:r>
      <w:r>
        <w:t>：(2023) 沪 0115 民初 87654 号</w:t>
      </w:r>
      <w:r>
        <w:rPr>
          <w:rStyle w:val="6"/>
          <w:b/>
          <w:bCs/>
        </w:rPr>
        <w:t>审理法院</w:t>
      </w:r>
      <w:r>
        <w:t>：上海市浦东新区人民法院</w:t>
      </w:r>
      <w:r>
        <w:rPr>
          <w:rStyle w:val="6"/>
          <w:b/>
          <w:bCs/>
        </w:rPr>
        <w:t>争议焦点</w:t>
      </w:r>
      <w:r>
        <w:t>：出轨是否构成法定离婚事由、2 岁半子女抚养权归属、婚前首付婚后还贷房产分割、精神损害赔偿</w:t>
      </w:r>
      <w:r>
        <w:rPr>
          <w:rStyle w:val="6"/>
          <w:b/>
          <w:bCs/>
        </w:rPr>
        <w:t>基本案情</w:t>
      </w:r>
      <w:r>
        <w:t>：原告王某某与被告李某某 2020 年 5 月 20 日登记结婚，2022 年 10 月 15 日生育一女李某。被告婚前以个人财产支付首付款购买上海市浦东新区 XX 路 XX 号房屋，产权登记在被告名下，婚后双方共同偿还贷款。2024 年 3 月，原告发现被告与第三者存在不正当男女关系，持有被告微信聊天记录及酒店开房记录。双方自 2024 年 6 月起分居，婚生女一直随原告共同生活。原告起诉要求离婚、子女归其抚养、分割房产增值部分并主张精神损害赔偿 5 万元。</w:t>
      </w:r>
    </w:p>
    <w:p w14:paraId="772F7AA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裁判要点</w:t>
      </w:r>
      <w:r>
        <w:t>：</w:t>
      </w:r>
    </w:p>
    <w:p w14:paraId="0C114C1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被告与他人存在不正当男女关系，违反夫妻忠实义务，导致夫妻感情破裂，准予离婚；</w:t>
      </w:r>
    </w:p>
    <w:p w14:paraId="28A01A8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婚生女已满 2 周岁但未满 3 周岁，长期随母亲共同生活，从最有利于未成年子女成长原则出发，判决由原告抚养，被告每月支付抚养费 4500 元；</w:t>
      </w:r>
    </w:p>
    <w:p w14:paraId="289B2A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案涉房屋归被告所有，剩余贷款由被告偿还，被告支付原告婚后共同还贷及对应增值部分补偿款 82.6 万元；</w:t>
      </w:r>
    </w:p>
    <w:p w14:paraId="52E2554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被告存在重大过错，酌情支持精神损害赔偿金 3 万元。</w:t>
      </w:r>
    </w:p>
    <w:p w14:paraId="3CB5B02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适用法律</w:t>
      </w:r>
      <w:r>
        <w:t>：《民法典》第 1079 条、第 1084 条、第 1087 条、第 1091 条，《婚姻家庭编解释（一）》第 78 条</w:t>
      </w:r>
    </w:p>
    <w:p w14:paraId="6971F31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CD7C3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bdr w:val="none" w:color="auto" w:sz="0" w:space="0"/>
        </w:rPr>
        <w:t>案例 2：婚后工资存款分割 + 分居满 2 年离婚</w:t>
      </w:r>
    </w:p>
    <w:p w14:paraId="1C67A5A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案号</w:t>
      </w:r>
      <w:r>
        <w:t>：(2024) 沪 01 民终 12345 号</w:t>
      </w:r>
      <w:r>
        <w:rPr>
          <w:rStyle w:val="6"/>
          <w:b/>
          <w:bCs/>
        </w:rPr>
        <w:t>审理法院</w:t>
      </w:r>
      <w:r>
        <w:t>：上海市第一中级人民法院</w:t>
      </w:r>
      <w:r>
        <w:rPr>
          <w:rStyle w:val="6"/>
          <w:b/>
          <w:bCs/>
        </w:rPr>
        <w:t>争议焦点</w:t>
      </w:r>
      <w:r>
        <w:t>：婚后个人工资存款是否属于夫妻共同财产、分居满 2 年是否准予离婚</w:t>
      </w:r>
      <w:r>
        <w:rPr>
          <w:rStyle w:val="6"/>
          <w:b/>
          <w:bCs/>
        </w:rPr>
        <w:t>基本案情</w:t>
      </w:r>
      <w:r>
        <w:t>：原告张某某与被告刘某某 2019 年登记结婚，婚后双方经济各自独立。2022 年 3 月因感情不和分居，至起诉时已满 2 年。原告名下有银行存款 28 万元，系其分居期间工资收入积累。被告主张该存款为夫妻共同财产，要求平均分割。</w:t>
      </w:r>
    </w:p>
    <w:p w14:paraId="793C713C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裁判要点</w:t>
      </w:r>
      <w:r>
        <w:t>：</w:t>
      </w:r>
    </w:p>
    <w:p w14:paraId="64DF8E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双方因感情不和分居满 2 年，符合法定离婚条件，准予离婚；</w:t>
      </w:r>
    </w:p>
    <w:p w14:paraId="0FBE81C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夫妻在婚姻关系存续期间所得的工资、奖金、劳务报酬属于夫妻共同财产，即使双方经济各自独立，分居期间的工资收入仍应作为共同财产分割；</w:t>
      </w:r>
    </w:p>
    <w:p w14:paraId="77D556E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考虑到双方分居时间较长，各自对财产的贡献及生活需要，判决原告支付被告存款补偿款 12 万元。</w:t>
      </w:r>
    </w:p>
    <w:p w14:paraId="1493430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适用法律</w:t>
      </w:r>
      <w:r>
        <w:t>：《民法典》第 1079 条、第 1062 条、第 1087 条</w:t>
      </w:r>
    </w:p>
    <w:p w14:paraId="1A6DD9F6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90CD5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bdr w:val="none" w:color="auto" w:sz="0" w:space="0"/>
        </w:rPr>
        <w:t>案例 3：家庭暴力离婚 + 精神损害赔偿</w:t>
      </w:r>
    </w:p>
    <w:p w14:paraId="11338BF8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案号</w:t>
      </w:r>
      <w:r>
        <w:t>：(2023) 苏 0106 民初 45678 号</w:t>
      </w:r>
      <w:r>
        <w:rPr>
          <w:rStyle w:val="6"/>
          <w:b/>
          <w:bCs/>
        </w:rPr>
        <w:t>审理法院</w:t>
      </w:r>
      <w:r>
        <w:t>：南京市鼓楼区人民法院</w:t>
      </w:r>
      <w:r>
        <w:rPr>
          <w:rStyle w:val="6"/>
          <w:b/>
          <w:bCs/>
        </w:rPr>
        <w:t>争议焦点</w:t>
      </w:r>
      <w:r>
        <w:t>：家庭暴力的认定、精神损害赔偿数额</w:t>
      </w:r>
      <w:r>
        <w:rPr>
          <w:rStyle w:val="6"/>
          <w:b/>
          <w:bCs/>
        </w:rPr>
        <w:t>基本案情</w:t>
      </w:r>
      <w:r>
        <w:t>：原告陈某某与被告赵某某 2021 年结婚，婚后被告多次对原告实施家庭暴力，原告报警 3 次，有公安机关出警记录及伤情鉴定报告（轻微伤）。原告起诉要求离婚并主张精神损害赔偿金 10 万元。</w:t>
      </w:r>
    </w:p>
    <w:p w14:paraId="3355A890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裁判要点</w:t>
      </w:r>
      <w:r>
        <w:t>：</w:t>
      </w:r>
    </w:p>
    <w:p w14:paraId="58CDCD0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被告多次实施家庭暴力，有充分证据证明，准予离婚；</w:t>
      </w:r>
      <w:bookmarkStart w:id="0" w:name="_GoBack"/>
      <w:bookmarkEnd w:id="0"/>
    </w:p>
    <w:p w14:paraId="63EBDCF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720" w:hanging="294"/>
        <w:jc w:val="left"/>
      </w:pPr>
      <w:r>
        <w:rPr>
          <w:bdr w:val="none" w:color="auto" w:sz="0" w:space="0"/>
        </w:rPr>
        <w:t>家庭暴力属于法定离婚损害赔偿情形，结合被告过错程度、损害后果及当地经济水平，判决被告支付原告精神损害赔偿金 5 万元。</w:t>
      </w:r>
    </w:p>
    <w:p w14:paraId="08308145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left"/>
      </w:pPr>
      <w:r>
        <w:rPr>
          <w:rStyle w:val="6"/>
          <w:b/>
          <w:bCs/>
        </w:rPr>
        <w:t>适用法律</w:t>
      </w:r>
      <w:r>
        <w:t>：《民法典》第 1079 条、第 1091 条</w:t>
      </w:r>
    </w:p>
    <w:p w14:paraId="5FBDE7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95C528"/>
    <w:multiLevelType w:val="multilevel"/>
    <w:tmpl w:val="8395C5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7031A47"/>
    <w:multiLevelType w:val="multilevel"/>
    <w:tmpl w:val="C7031A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2341A061"/>
    <w:multiLevelType w:val="multilevel"/>
    <w:tmpl w:val="2341A0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9B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2026-05-05T08:09:15Z</dcterms:created>
  <dc:creator>李佳</dc:creator>
  <cp:lastModifiedBy>四海为佳</cp:lastModifiedBy>
  <dcterms:modified xsi:type="dcterms:W3CDTF">2026-05-05T08:10:07Z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eyJoZGlkIjoiZmRkNThjZThhNjI2YjlkM2ExYjA5OGQ5MDdhYmJlZmYiLCJ1c2VySWQiOiI1OTkzMzEwNDUifQ==</vt:lpwstr>
  </property>
  <property fmtid="{D5CDD505-2E9C-101B-9397-08002B2CF9AE}" pid="4" name="ICV">
    <vt:lpwstr>14C4E973F46B4B559B988DE0DFBB4001_12</vt:lpwstr>
  </property>
</Properties>
</file>