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28"/>
        </w:rPr>
        <w:t>基于耦合反应机理的转炉冶炼终点预测模型 V2</w:t>
        <w:br/>
        <w:t>全部公式汇总（按13步执行顺序排列）</w:t>
      </w:r>
    </w:p>
    <w:p>
      <w:pPr>
        <w:jc w:val="center"/>
      </w:pPr>
      <w:r>
        <w:rPr>
          <w:rFonts w:eastAsia="宋体"/>
          <w:i/>
          <w:sz w:val="16"/>
        </w:rPr>
        <w:t>（公式列使用 LaTeX 代码，可复制到支持 LaTeX 的编辑器或在线工具中渲染）</w:t>
      </w:r>
    </w:p>
    <w:p/>
    <w:p>
      <w:pPr>
        <w:pStyle w:val="Heading2"/>
      </w:pPr>
      <w:r>
        <w:rPr>
          <w:rFonts w:eastAsia="黑体"/>
          <w:sz w:val="22"/>
        </w:rPr>
        <w:t>一、静态模型 — 物料平衡与热量平衡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序号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公式名称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LaTeX 公式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物理含义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S-1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元素氧化通式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$[M] + n[O] = (MO_n)$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转炉内各元素氧化的通用反应式。M = C, Si, Mn, P, V, Ti, Fe；n为各元素氧化所需氧原子数（按修正后标准氧化态）。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S-2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物料平衡原理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$\sum m_{in} = \sum m_{out}$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铁水 + 废钢 + 辅料 + 氧气 = 钢水 + 炉渣 + 炉气 + 粉尘 + 铁损。基于元素质量守恒。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S-3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热量平衡原理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$\sum Q_{in} = \sum Q_{out}$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热收入（元素氧化放热 + C2S/C3P形成热 + 二次燃烧热 + 铁水物理热）= 热支出（废钢熔化 + 辅料分解 + 烟气带走 + 辐射 + 炉衬 + 钢液升温 + 炉渣升温）。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S-4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合理废钢量反算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$m_{scrap} = f(Q_{balance})$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由热平衡差额反算合理的废钢加入量。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S-5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铁耗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$\eta_{Fe} = \frac{m_{\text{铁水}} + m_{\text{废钢}}}{m_{\text{出钢量}}} \times 1000 \quad (\mathrm{kg/t钢})$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每生产1t合格钢水所消耗的铁料总量（铁水+废钢），反映铁料利用率的冶炼经济指标。</w:t>
            </w:r>
          </w:p>
        </w:tc>
      </w:tr>
    </w:tbl>
    <w:p/>
    <w:p>
      <w:pPr>
        <w:pStyle w:val="Heading2"/>
      </w:pPr>
      <w:r>
        <w:rPr>
          <w:rFonts w:eastAsia="黑体"/>
          <w:sz w:val="22"/>
        </w:rPr>
        <w:t>二、Step 1 — 混合能计算（Nakanishi公式）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序号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公式名称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LaTeX 公式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物理含义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1-1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顶吹混合能 (式14)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$\varepsilon_T = \frac{0.0403 \cdot Q_T \cdot D \cdot U^2 \cdot \cos^2\theta}{W \cdot X}$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顶吹氧气射流冲击熔池的搅拌能(W/t)。QT: 供氧流量(m³/min); D: 喷嘴直径(m); U: 出口气速(m/s); θ: 喷嘴与垂直轴夹角(°); W: 铁水质量(kg); X: 枪位高度(m)。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1-2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底吹混合能 (式15)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$\varepsilon_B = \frac{28.5 \cdot Q_B \cdot T}{W} \cdot \lg\!\left(1 + \frac{H}{148}\right)$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底吹氩气上浮膨胀的搅拌能(W/t)。QB: 底吹氩气流量(m³/min); T: 铁水温度(K); H: 熔池深度(m)。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1-3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总混合能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$\varepsilon_{total} = \varepsilon_T + \varepsilon_B$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顶吹+底吹混合能之和，代表熔池受到的总搅拌功率(W/t)。</w:t>
            </w:r>
          </w:p>
        </w:tc>
      </w:tr>
    </w:tbl>
    <w:p/>
    <w:p>
      <w:pPr>
        <w:pStyle w:val="Heading2"/>
      </w:pPr>
      <w:r>
        <w:rPr>
          <w:rFonts w:eastAsia="黑体"/>
          <w:sz w:val="22"/>
        </w:rPr>
        <w:t>三、Step 2 — 动态修正传质系数（Kitamura模型扩展）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序号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公式名称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LaTeX 公式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物理含义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2-1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钢液传质系数 (V2-km)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$k_m = k_m^0 \times \left( \frac{\varepsilon_{total}}{\varepsilon_{total}^0} \right)^{\gamma}$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钢液传质系数随总混合能动态更新。km0: 基准传质系数（标定值）; ε0: 基准混合能; γ: 搅拌指数（0.2~0.5）。γ=0.5时近似退化为Kitamura原式。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2-2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炉渣传质—气体搅拌 (Kit-7)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$k_s' = k_s^0 \times \left( \frac{q_{Ar} + 3q_{CO}}{q_{Ar}^0} \right) \times \left( \frac{W_s^0}{W_s} \right)$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炉渣传质受底吹氩气和脱碳CO气体双重搅拌影响。qAr: 氩气流量(Nm³/s); qCO: CO流量(Nm³/s, 使用上一时间步qCO_prev); Ws: 炉渣质量(kg); 系数3为CO对渣层搅拌经验放大。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2-3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炉渣传质—固相率衰减 (Kit-8)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$k_s = k_s' \times 10^{-n \cdot f_{solid}}$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炉渣中未熔石灰或析出固相(C2S)增加粘度。fsolid: 固相率(0~1); n: 衰减常数=5。数值保护: ks ≥ 1e-8。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2-4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钢液侧修正传质系数 (V2-F)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$F_M = \frac{k_m \cdot \rho_m}{100 \cdot M_M}$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将km(m/s)换算为FM[mol/(s·m²)]。ρm≈7000 kg/m³; MM: 元素M摩尔质量(kg/mol); /100将%转为质量分数。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2-5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炉渣侧修正传质系数 (V2-F)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$F_{MO_n} = \frac{k_s \cdot \rho_s}{100 \cdot M_{MO_n}}$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将ks(m/s)换算为F_MOn[mol/(s·m²)]。ρs≈3500 kg/m³。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2-6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反应界面面积 (V2-A)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$A = A^0 \times (1 - f_{solid})^{2/3}$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渣金反应界面面积随液相比例动态变化(Kitamura 2009)。A0: 基准面积(m²)。</w:t>
            </w:r>
          </w:p>
        </w:tc>
      </w:tr>
    </w:tbl>
    <w:p/>
    <w:p>
      <w:pPr>
        <w:pStyle w:val="Heading2"/>
      </w:pPr>
      <w:r>
        <w:rPr>
          <w:rFonts w:eastAsia="黑体"/>
          <w:sz w:val="22"/>
        </w:rPr>
        <w:t>四、Step 3 — 表观平衡常数 EM 与活度模型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序号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公式名称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LaTeX 公式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物理含义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3-1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表观平衡常数 (式3)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$E_M = \frac{w((MO_n))_L^*}{w([M])^* \cdot (a_O^*)^n} = \frac{100 \cdot C \cdot N_{MO_n} \cdot f_M \cdot K_M}{\rho_S \cdot f_{MO_n}}$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**EM不是常数**，随fM、fMOn、C在求解器迭代循环内实时更新。C: 熔渣体积摩尔数(mol/m³); KM: 反应平衡常数。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3-2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反应平衡常数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$\lg K_M = \frac{A}{T} + B$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各元素氧化反应的标准平衡常数，A, B为各元素对应的热力学文献值常数。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3-3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金属相活度—Wagner模型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$\lg f_i = \sum_j e_i^j \cdot w([j])$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钢液中元素i的活度系数。e_i^j: 元素j对i的Wagner相互作用系数(1873K)。温度修正: e_i^j(T) = (1873/T)·e_i^j(1873K)。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3-4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炉渣相活度—离子结构理论 (式4)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$f_{iO_n} = \frac{1}{\sum_j \left[ {w((jO_n))^b_L} \cdot \exp\!\left(-\frac{\varepsilon_{ij}}{RT}\right) \right]}$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基于阳离子-阴离子构成的离子溶液模型。εij: 交换电子能(J/mol); R=8.314 J/(mol·K)。</w:t>
            </w:r>
          </w:p>
        </w:tc>
      </w:tr>
    </w:tbl>
    <w:p/>
    <w:p>
      <w:pPr>
        <w:pStyle w:val="Heading2"/>
      </w:pPr>
      <w:r>
        <w:rPr>
          <w:rFonts w:eastAsia="黑体"/>
          <w:sz w:val="22"/>
        </w:rPr>
        <w:t>五、Step 4-6 — 耦合反应求解器（界面氧活度→界面浓度→反应速率）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序号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公式名称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LaTeX 公式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物理含义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4-1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各元素氧化n值 (V2修正)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$\begin{aligned} (Si)\ n=2\ (SiO_2);\ (Mn)\ n=1\ (MnO);\ (P)\ n=2.5\ (P_2O_5); \\ (V)\ n=1.5\ (V_2O_3);\ (Ti)\ n=2\ (TiO_2);\ (Fe)\ n=1\ (FeO);\ (C)\ n=1\ (CO) \end{aligned}$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V2按标准氧化态修正。Mn:1.5→1; P:2→2.5; V:1→1.5; Ti:1→2。对应KM按修正氧化产物查取。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4-2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传质通量 (式2)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$J_M = F_M \bigl\{ w([M])^b - w([M])^* \bigr\} = F_{MO_n} \bigl\{ w((MO_n))^*_L - w((MO_n))^b_L \bigr\}$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元素M在钢渣界面的摩尔通量[mol/(s·m²)]。上标b:本体;上标*:界面;下标L:液相炉渣。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4-3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脱碳通量—速率平衡 (式5)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$J_C = F_C \bigl\{ w([C])^b - w([C])^* \bigr\} = G_{CO} (P_{CO}^* - 1)$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碳传质速率=CO生成速率。P*CO:界面处CO分压(Pa)。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4-4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CO生成速率 (Kit-10)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$G_{CO} = G_{CO}^0 \times \left( \frac{q_{Ar} + 3q_{CO}}{q_{Ar}^0} \right) \times \left( \frac{W_s^0}{W_s} \right)$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CO生成速率常数受搅拌和渣量影响动态变化。使用上一时间步qCO_prev。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4-5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界面氧质量守恒 (式6修正)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$2J_{Si} + J_{Mn} + 2.5J_P + 1.5J_V + 2J_{Ti} + J_{Fe} + J_C - J_O = 0$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核心求解方程。氧化反应消耗氧=传输到界面的氧。Brent有界寻根求解a*O。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4-6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氧通量定义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$J_O = F_O \bigl\{ w([O])^b - w([O])^* \bigr\} = \frac{F_O}{f_O} (a_O^b - a_O^*)$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fO:氧活度系数; aOb:钢液本体氧活度; aO*:界面氧活度。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4-7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界面浓度通用公式 (式7)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$w([M])^* = \frac{F_{MO_n} \cdot w((MO_n))^b + F_M \cdot w([M])^b}{F_M + F_{MO_n} \cdot E_M \cdot (a_O^*)^n}$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适用于C,Si,Mn,P,V,Ti,Fe全部元素。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4-8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反应速率 (式8修正)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$-\frac{\Delta m_i}{\Delta t} = A \cdot F_i \cdot M_i \bigl\{ w([i])^b - w([i])^* \bigr\}$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组元i质量变化率(kg/s)。已修正去除多余/100。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4-9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三级寻根算法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$\mathrm{Brent}(f,\ a{=}10^{-8},\ b{=}1.0) \rightarrow \mathrm{Newton} \rightarrow \mathrm{Bisection}$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Brent(主)→NR→二分法(兜底)。|Residual|&lt;1e-10。</w:t>
            </w:r>
          </w:p>
        </w:tc>
      </w:tr>
    </w:tbl>
    <w:p/>
    <w:p>
      <w:pPr>
        <w:pStyle w:val="Heading2"/>
      </w:pPr>
      <w:r>
        <w:rPr>
          <w:rFonts w:eastAsia="黑体"/>
          <w:sz w:val="22"/>
        </w:rPr>
        <w:t>六、Step 7-8 — 物质平衡更新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序号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公式名称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LaTeX 公式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物理含义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5-1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物质平衡更新 (式12)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$m_i^{(l)} = m_i^{(l-1)} - \Delta m_i + \sum \Delta m_i^{CM}$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每时间步更新钢液和炉渣中各组分的质量(kg)。l为循环步数。</w:t>
            </w:r>
          </w:p>
        </w:tc>
      </w:tr>
    </w:tbl>
    <w:p/>
    <w:p>
      <w:pPr>
        <w:pStyle w:val="Heading2"/>
      </w:pPr>
      <w:r>
        <w:rPr>
          <w:rFonts w:eastAsia="黑体"/>
          <w:sz w:val="22"/>
        </w:rPr>
        <w:t>七、Step 9 — 石灰熔化模型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序号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公式名称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LaTeX 公式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物理含义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6-1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石灰溶解传质系数 (Kitamura式11)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$k' = 0.35 \cdot \rho_s^{0.36} \cdot \eta^{-0.36} \cdot D^{0.67} \cdot d^{-0.31} \cdot U^{0.67}$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石灰在熔渣中的传质系数(m/s)。ρs: 炉渣密度(kg/m³); η: 炉渣黏度(Pa·s); D: CaO扩散系数(m²/s); d: 石灰粒径(m); U: 相对速度=0.5m/s。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6-2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石灰质量变化率 (Kitamura式12)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$-\frac{dW_{CaO}}{dt} = n_{CaO} \cdot A_{CaO} \cdot \left\{ \frac{k' \cdot \rho_s}{100 \cdot r'} \right\} \cdot \Delta(\%\mathrm{CaO}) \cdot r' \cdot x$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石灰溶解速率(kg/s)。Δ(%CaO): CaO浓度与饱和浓度差; r': 石灰密度(kg/m³); x: 表面积修正参数。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6-3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石灰半径减小速率 (式9)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$-\frac{dr}{dt} = k_S \cdot \frac{\rho_S}{\rho_{CaO}} \cdot \frac{w(\mathrm{CaO})_{sat} - w(\mathrm{CaO})_{slag}}{100}$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张强简化模型(m/s)。r&lt;1mm→完全熔解。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6-4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石灰质量变化 (式10)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$\Delta m = m_{BD} - m_{BD} \cdot \frac{(r - \Delta r)^3}{r^3}$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石灰熔解前后质量变化(kg)。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6-5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C2S饱和区处理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$k'_{C_2S} = k' / 10$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C2S致密层阻碍溶解，传质系数降至1/10。</w:t>
            </w:r>
          </w:p>
        </w:tc>
      </w:tr>
    </w:tbl>
    <w:p/>
    <w:p>
      <w:pPr>
        <w:pStyle w:val="Heading2"/>
      </w:pPr>
      <w:r>
        <w:rPr>
          <w:rFonts w:eastAsia="黑体"/>
          <w:sz w:val="22"/>
        </w:rPr>
        <w:t>八、Step 10 — 废钢熔化模型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序号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公式名称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LaTeX 公式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物理含义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7-1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废钢熔点 (式11)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$T_{MP}^{scrap} = 1809 - 8.13 \cdot w(C)^2 - 54 \cdot w(C) \quad (\mathrm{K})$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w(C)≈4.34%时TMP≈1420K。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7-2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熔化机制判断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$\begin{cases} T_{bath} &lt; T_{MP}^{scrap}: &amp; \text{扩散熔化（碳浓度驱动）} \\ T_{bath} \geq T_{MP}^{scrap}: &amp; \text{强制熔化（温差驱动）} \end{cases}$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根据钢液温度与废钢熔点选择熔化机制。</w:t>
            </w:r>
          </w:p>
        </w:tc>
      </w:tr>
    </w:tbl>
    <w:p/>
    <w:p>
      <w:pPr>
        <w:pStyle w:val="Heading2"/>
      </w:pPr>
      <w:r>
        <w:rPr>
          <w:rFonts w:eastAsia="黑体"/>
          <w:sz w:val="22"/>
        </w:rPr>
        <w:t>九、Step 11-12 — 热量平衡与温度更新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序号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公式名称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LaTeX 公式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物理含义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8-1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热收入各项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$Q_{HG} = \sum_i \Delta H_i^{oxid} + \Delta H_{C_2S} + \Delta H_{C_3P} + Q_{post\_comb}$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Σ氧化放热+C2S形成热+C3P形成热+二次燃烧热。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8-2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热支出各项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$Q_{HC} = Q_{flux} + Q_{scrap} + Q_{offgas} + Q_{H_2O} + Q_{carbonate} + Q_{rad} + Q_{dust} + Q_{lining}$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8项热支出:辅料+废钢+烟气+水蒸发+碳酸盐+辐射+粉尘+炉衬。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8-3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温度更新 (式13)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$\frac{\Delta T}{\Delta t} = \frac{1}{c_M \cdot m_M + c_S \cdot m_S} \cdot \frac{Q_{HG} - Q_{HC} - Q_{CM}}{\Delta t}$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每时间步温度变化率(K/s)。Q值按Δt累计为绝对热量(J)，除以Δt转为热流率(W)。</w:t>
            </w:r>
          </w:p>
        </w:tc>
      </w:tr>
    </w:tbl>
    <w:p/>
    <w:p>
      <w:pPr>
        <w:pStyle w:val="Heading2"/>
      </w:pPr>
      <w:r>
        <w:rPr>
          <w:rFonts w:eastAsia="黑体"/>
          <w:sz w:val="22"/>
        </w:rPr>
        <w:t>十、参数标定 — 目标函数与优化策略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序号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公式名称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LaTeX 公式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物理含义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9-1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目标函数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$\mathcal{L}(\theta) = \frac{1}{N} \sum_{i=1}^{N} \Bigl[ w_C \cdot (C_{pred}^i - C_{actual}^i)^2 + w_T \cdot (T_{pred}^i - T_{actual}^i)^2 \Bigr]$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最小化C和T预测偏差加权均方误差。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9-2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标定策略：修正乘子α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$k_m^0 = \alpha_{steel} \times k_{Kitamura\_base},\qquad k_s^0 = \alpha_{slag} \times k_{Kitamura\_base}$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以Kitamura(2009)参数为基准优化修正乘子α。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9-3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待标定参数集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$\theta = \{ \alpha_{steel},\ \alpha_{slag},\ G_{CO}^0,\ \gamma,\ \eta_{post},\ \alpha_{rad},\ \varepsilon_{dust} \}$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共7个参数。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9-4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优化方法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$\mathrm{scipy.optimize.minimize}(\mathcal{L},\ \theta_0,\ \mathrm{method{=}L\text{-}BFGS\text{-}B},\ \mathrm{bounds})$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L-BFGS-B拟牛顿法。70%训练/30%验证。</w:t>
            </w:r>
          </w:p>
        </w:tc>
      </w:tr>
    </w:tbl>
    <w:p/>
    <w:p>
      <w:pPr>
        <w:pStyle w:val="Heading2"/>
      </w:pPr>
      <w:r>
        <w:rPr>
          <w:rFonts w:eastAsia="黑体"/>
          <w:sz w:val="22"/>
        </w:rPr>
        <w:t>附注：V2关键修正与保护机制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序号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公式名称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LaTeX 公式</w:t>
            </w:r>
          </w:p>
        </w:tc>
        <w:tc>
          <w:tcPr>
            <w:tcW w:type="dxa" w:w="3926"/>
            <w:shd w:val="clear" w:color="auto" w:fill="D9E2F3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物理含义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注-1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式(8) /100 修正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$-\frac{\Delta m_i}{\Delta t} = A \cdot F_i \cdot M_i \{ w([i])^b - w([i])^* \}$（已去除/100）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FM已含/100,式(8)尾部/100为重复。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注-2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GCO公式修正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$G_{CO} = G_{CO}^0 \times \frac{q_{Ar} + 3q_{CO}}{q_{Ar}^0} \times \frac{W_s^0}{W_s}$（已去除-1）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-1与(P*CO-1)混淆。Kitamura原文为纯乘法。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注-3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时序代数环处理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$q_{CO}^{(t)} \leftarrow q_{CO\_prev}$（前向欧拉）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Step1-2用(t-Δt)时刻qCO_prev。t=0时qCO_prev=0。</w:t>
            </w:r>
          </w:p>
        </w:tc>
      </w:tr>
      <w:tr>
        <w:tc>
          <w:tcPr>
            <w:tcW w:type="dxa" w:w="392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注-4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ks数值下界保护</w:t>
            </w:r>
          </w:p>
        </w:tc>
        <w:tc>
          <w:tcPr>
            <w:tcW w:type="dxa" w:w="3926"/>
          </w:tcPr>
          <w:p>
            <w:r>
              <w:rPr>
                <w:rFonts w:ascii="Consolas" w:hAnsi="Consolas" w:eastAsia="宋体"/>
                <w:sz w:val="16"/>
              </w:rPr>
              <w:t>$k_s = \max(k_s,\ 10^{-8})$</w:t>
            </w:r>
          </w:p>
        </w:tc>
        <w:tc>
          <w:tcPr>
            <w:tcW w:type="dxa" w:w="3926"/>
          </w:tcPr>
          <w:p>
            <w:r>
              <w:rPr>
                <w:rFonts w:ascii="Times New Roman" w:hAnsi="Times New Roman" w:eastAsia="宋体"/>
                <w:sz w:val="18"/>
              </w:rPr>
              <w:t>fsolid→1时ks缩小十万倍，设下界防F→0。</w:t>
            </w:r>
          </w:p>
        </w:tc>
      </w:tr>
    </w:tbl>
    <w:p/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