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Articles &amp; Blogs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AANAArticles &amp; BlogsAcadia shares its insights and expertise with the industry via a series of thought leadership articles and whitepapers. View our quantitative finance publications here.Navigating Financial Consolidations: The Role of Initial Margin Threshold MonitoringJune 1, 2023Read now &gt;How Acadia is assisting Crypto Firms with risk and capital managementMay 4, 2023Read now &gt;Uncleared OTC margin settlement and why a centralized, utility solution wins over an âeveryone for themselvesâ approach.  March 14, 2023Read now &gt;Uncleared Margin Rules transition from Multi-Phase Implementation to a focus on Optimal Margin ManagementFebruary 27, 2023Read now &gt;The xVA Challenge; could open source be the answer?February 27, 2023Read now &gt;Stabilized initial margin with a catch â Understanding the impact of SIMM recalibrationFebruary 27, 2023Read now &gt;Big Data in Derivatives TradingJanuary 18, 2023Read now &gt;Reducing the Cost of Capital Through Workflow AutomationNovember 21, 2022Read now &gt;Increasing Margin Exposure â Firms see over 150% increase in funding costSeptember 7, 2022Read now &gt;IT Budget Considerations 2023 - Margin, Collateral, Payments &amp; Risk ManagementAugust 10, 2022Read now &gt;Pre-Trade Analytics: The next step to managing your riskJune 8, 2022Read now &gt;Paying it Forward with AutomationApril 12, 2022Read now &gt;NextStay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