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Suite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&gt;Data SuiteData SuiteLeveraging Acadiaâs vast data set to provide industry analytics, reporting and servicesBook a meetingStreamline your data and take advantage of additional services via Acadia and our partner network. Acadia has created an industry-wide repository of trade, margin and collateral data that optimizes and centralizes risk management. We provide a digitalized, centralized data management service that allows financial firms to improve efficiency and mitigate costs. Data Suite SolutionsData ExplorationData Exploration leverages our central vantage point to create an industry standard for reporting and analytics. We provide analysis of your position in the market as well as peer group comparison metrics. Learn more &gt;Industry Risk ClassificationIndustry Risk Classification is an essential mapping tool for firms utilizing ISDA SIMMâ¢ for regulatory initial margin. The service determines the most commonly used Credit and Equity buckets across the industry for your ISDA SIMMâ¢ calculation. Learn more &gt;AccessAccess connects you easily and securely to your vendor partners from agreement digitization and online negotiation to Pre-Trade Initial Margin analysis tools and Initial Margin Optimization, removing the risk of data leakage. Learn more &gt;Risk Services SuiteOur Risk Services Suite (RSS) provides a standardized approach to UMR compliance. You benefit from a single contract, cost effective set price, connectivity to all Phase 1, 2, 3 and 4 firms, and access to the entire Acadia community.Learn more &gt;UMRÂ Collateral SuiteA complete solution to comply with uncleared margin rules, combining the best of AcadiaPlus initial margin tools with Collateral Manager.Learn more &gt;UMRÂ Collateral SuiteA complete solution to comply with uncleared margin rules, combining the best of AcadiaPlus initial margin tools with Collateral Manager.Learn more &gt;Unlock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Acadia.Book a meetingRelated ContentView all &gt;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Uncleared OTC margin settlement and why a centralized, utility solution wins over an âeveryone for themselvesâ approach.  March 14,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