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Industry Risk Classification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&gt;Data Suite &gt;Industry Risk ClassificationAn essential risk mapping tool for firms utilizing ISDA SIMMâ¢ for initial marginIndustry Risk ClassificationBook a meetingBook a meetingLEVERAGE THE MOST COMPREHENSIVE RISK BUCKET MAPPING SERVICESimplifying your UMR compliance and reducing the potential for errorsAcadiaâs Industry Risk Classification service was designed for all firms in scope for Uncleared Margin Rules that are utilizing ISDA SIMMâ¢ for their regulatory initial margin. As prescribed by the model rules, firms are required to map the risk class of each underlying credit and equity ISIN to standard SIMM risk buckets. Due to Acadiaâs role in the market, nearly 100% of in-scope firms CRIF (Common Risk Interchange Format) files are incorporated in the defining of risk buckets, significantly lowering the potential for differences in mapping risk buckets - often a cause for disputes.Products &gt;Data Suite &gt;Industry Risk ClassificationAn essential risk mapping tool for firms utilizing ISDA SIMMâ¢ for initial marginIndustry Risk ClassificationBook a meetingLEVERAGE THE MOST COMPREHENSIVE RISK BUCKET MAPPING SERVICESimplifying your UMR compliance and reducing the potential for errorsAcadiaâs Industry Risk Classification service was designed for all firms in scope for Uncleared Margin Rules that are utilizing ISDA SIMMâ¢ for their regulatory initial margin. As prescribed by the model rules, firms are required to map the risk class of each underlying credit and equity ISIN to standard SIMM risk buckets. Due to Acadiaâs role in the market, nearly 100% of in-scope firms CRIF (Common Risk Interchange Format) files are incorporated in the defining of risk buckets, significantly lowering the potential for differences in mapping risk buckets - often a cause for disputes.Industry Risk Classification (IRC) is an important aspect of your ISDA SIMMâ¢ model governance. For clients that subscribe to Acadiaâs IM Risk Generator service to calculate their risk sensitivities, IRC is automatically utilized as the default risk bucket mapping tool. Â IRC is available for all in scope firms to leverage as part of their UMR compliance framework. A daily snapshot of the final calculation is taken at 07:00 UTC on each business day Acadiaâs service supports mapping for over 65,000 ISINs â making it the largest database of ISINs.Â To learn more about the service, download the PDF factsheet or book a meeting with one of our team.âStreamline your UMR workflowâAcadiaâs Industry Risk Classification service was designed for all firms in scope for Uncleared Margin Rules that are utilizing ISDA SIMMâ¢ for their regulatory initial margin. As prescribed by the model rules, firms are required to map the risk class of each underlying credit and equity ISIN to standard SIMM risk buckets. Due to Acadiaâs role in the market, nearly 100% of in-scope firms CRIF (Common Risk Interchange Format) files are incorporated in the defining of risk buckets, significantly lowering the potential for differences in mapping risk buckets - often a cause for disputes.Industry Risk Classification (IRC) is an important aspect of your ISDA SIMMâ¢ model governance. For clients that subscribe to Acadiaâs IM Risk Generator service to calculate their risk sensitivities, IRC is automatically utilized as the default risk bucket mapping tool. Â IRC is available for all in scope firms to leverage as part of their UMR compliance framework. A daily snapshot of the final calculation is taken at 07:00 UTC on each business day Acadiaâs service supports mapping for over 65,000 ISINs â making it the largest database of ISINs.Â To learn more about the service, download the PDF factsheet or book a meeting with one of our team.âDiscover moreProud winners of FTF Awards Best Compliance Solution 2022Definitive source of ISDA SIMMâ¢ risk bucket mapping â incorporating data from nearly 100% of all CRIF submitting in-scope firmsEasily identify differences between your firmâs data and your counterparty and crowdsourced valuesProvides broad ISIN coverage by using all past agreement level CRIF submissions when calculating the consensus bucket â supporting risk bucket mapping for over 65,000 ISINsReduce collateral disputes where both parties apply the crowdsourced valueDownload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BenefitsDefinitive source of ISDA SIMMâ¢ risk bucket mapping â incorporating data from nearly 100% of all CRIF submitting in-scope firmsEasily identify differences between your firmâs data and your counterparty and crowdsourced valuesProvides broad ISIN coverage by using all past agreement level CRIF submissions when calculating the consensus bucket â supporting risk bucket mapping for over 65,000 ISINsReduce collateral disputes where both parties apply the crowdsourced valueIRC is automatically utilized as the default risk bucket mapping tool for all Acadia IM Risk Generator clients and is included in your subscriptionDefinitive source of ISDA SIMMâ¢ risk bucket mapping â incorporating data from nearly 100% of all CRIF submitting in-scope firmsEasily identify differences between your firmâs data and your counterparty and crowdsourced valuesProvides broad ISIN coverage by using all past agreement level CRIF submissions when calculating the consensus bucket â supporting risk bucket mapping for over 65,000 ISINsReduce collateral disputes where both parties apply the crowdsourced valueIRC is automatically utilized as the default risk bucket mapping tool for all Acadia IM Risk Generator clients and is included in your subscriptionView Factsheet &gt; Learn more &gt; View Factsheet &gt; Key Benefits1.Definitive source of ISDA SIMMâ¢ risk bucket mapping â incorporating data from nearly 100% of all CRIF submitting in-scope firmsExplore Digitization &gt; 2.Easily identify differences between your firmâs data and your counterparty and crowdsourced valuesExplore Agreement Manager &gt; 3.Provides broad ISIN coverage by using all past agreement level CRIF submissions when calculating the consensus bucket â supporting risk bucket mapping for over 65,000 ISINsView Factsheet &gt; 4.Reduce collateral disputes where both parties apply the crowdsourced valueView Factsheet &gt; 5.IRC is automatically utilized as the default risk bucket mapping tool for all Acadia IM Risk Generator clients and is included in your subscription6.View Factsheet &gt; View Factsheet &gt; View Factsheet &gt; Learn moreGet in touch to find out more about Industry Risk Classificationãã¢ãäºç´ããbook a meetingDriving the derivatives industry as oneWe offer more than just Industry Risk Classification.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