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6032" w14:textId="77777777" w:rsidR="003A476A" w:rsidRPr="003A476A" w:rsidRDefault="003A476A" w:rsidP="00B14573">
      <w:pPr>
        <w:pStyle w:val="NormalWeb"/>
        <w:rPr>
          <w:b/>
          <w:bCs/>
        </w:rPr>
      </w:pPr>
      <w:r w:rsidRPr="003A476A">
        <w:rPr>
          <w:b/>
          <w:bCs/>
        </w:rPr>
        <w:t>Administrative Frictions, Calorie-and-Sugar Policy Hardness, and Federal Gatekeeping in MAHA-Era SNAP Purchase-Restriction Waivers</w:t>
      </w:r>
    </w:p>
    <w:p w14:paraId="2CC0184F" w14:textId="77777777" w:rsidR="003A476A" w:rsidRDefault="003A476A" w:rsidP="00B14573">
      <w:pPr>
        <w:pStyle w:val="NormalWeb"/>
      </w:pPr>
      <w:r>
        <w:t>In 2025–2026, U.S. states began pursuing USDA/FNS-approved SNAP purchase-restriction waivers that limit benefit redemption for sugar-sweetened beverages and related products. Although this waiver wave is justified by a shared health objective, states differ markedly in two economically consequential outcomes: how nutritionally stringent their restriction bundles are and how quickly waivers progress from application to federal approval and planned checkout launch. This paper studies these differences as outcomes of policy choice under federal constraints and national EBT interoperability, emphasizing how administrative frictions and federal gatekeeping shape what health-motivated designs can be implemented in practice.</w:t>
      </w:r>
    </w:p>
    <w:p w14:paraId="607166BD" w14:textId="77777777" w:rsidR="003A476A" w:rsidRDefault="003A476A" w:rsidP="00B14573">
      <w:pPr>
        <w:pStyle w:val="NormalWeb"/>
      </w:pPr>
      <w:r>
        <w:t>We assemble a reproducible policy-document corpus spanning waiver applications, federal approval letters, and state implementation guidance. Our first primary outcome (Y1) is calorie-and-sugar policy hardness, a nutrition-based measure of waiver stringency that maps restricted categories to representative product baskets and aggregates calories and added sugar using publicly available nutrition information to obtain a comparable state-level hardness score. Our second primary outcome (Y2) is policy progression, measured as a staged process with three dated events: waiver submission (application), USDA/FNS approval-letter issuance (approval), and the first scheduled go-live date when restrictions are intended to be enforced at checkout under the state plan (POS/EBT readiness rather than enforcement intensity or downstream health impacts). We also code two document-based implementation frictions—administrative complexity (POS/EBT modification requirements, list maintenance, enforcement procedures, and exemption/appeal clarity) and federal conditions (the number and stringency of approval-letter requirements)—as mechanisms that plausibly bind at the approval-to-go-live stage.</w:t>
      </w:r>
    </w:p>
    <w:p w14:paraId="797F4AE8" w14:textId="77777777" w:rsidR="003A476A" w:rsidRDefault="003A476A" w:rsidP="00B14573">
      <w:pPr>
        <w:pStyle w:val="NormalWeb"/>
      </w:pPr>
      <w:r>
        <w:t>Our explanatory variables (X) are intentionally parsimonious and pre-specified to mitigate overfitting in an evolving and still-limited policy wave. Baseline health burden is captured by lagged state obesity and diabetes prevalence. Political environment is captured by unified party control and gubernatorial party, supplemented by presidential vote share as an ideology proxy. Diffusion exposure is captured by lagged counts of neighboring or regional states entering the waiver pipeline. Empirically, we estimate a multi-state discrete-time duration model with three transitions (</w:t>
      </w:r>
      <w:proofErr w:type="spellStart"/>
      <w:r>
        <w:t>not-yet-applied→applied</w:t>
      </w:r>
      <w:proofErr w:type="spellEnd"/>
      <w:r>
        <w:t xml:space="preserve">, </w:t>
      </w:r>
      <w:proofErr w:type="spellStart"/>
      <w:r>
        <w:t>applied→approved</w:t>
      </w:r>
      <w:proofErr w:type="spellEnd"/>
      <w:r>
        <w:t xml:space="preserve">, </w:t>
      </w:r>
      <w:proofErr w:type="spellStart"/>
      <w:r>
        <w:t>approved→scheduled</w:t>
      </w:r>
      <w:proofErr w:type="spellEnd"/>
      <w:r>
        <w:t xml:space="preserve"> go-live) and a shared state-level frailty capturing latent implementation capacity and policy propensity that jointly shift transition hazards across stages. Stage-specific tests evaluate whether political and diffusion factors predict earlier entry into the pipeline, whether baseline health burden and political environment predict higher policy hardness, and whether stricter federal conditions and greater administrative complexity are associated with longer approval-to-go-live delays, consistent with federal gatekeeping and administrative fixed costs.</w:t>
      </w:r>
    </w:p>
    <w:p w14:paraId="236995DA" w14:textId="77777777" w:rsidR="003A476A" w:rsidRDefault="003A476A" w:rsidP="00B14573">
      <w:pPr>
        <w:pStyle w:val="NormalWeb"/>
      </w:pPr>
      <w:r>
        <w:t>The empirical objective is institutional explanation rather than causal estimation of downstream health outcomes. Given the limited number of approvals to date, we emphasize effect magnitudes and small-sample-robust inference and commit to transparency by releasing a replication package with document links, a pre-specified codebook, audited samples, and parsing scripts. As a complementary exercise, we use the estimated multi-state model to nowcast near-</w:t>
      </w:r>
      <w:r>
        <w:lastRenderedPageBreak/>
        <w:t>term adoption risk among non-adopting states and report uncertainty-aware risk rankings, providing a forward-looking characterization of the continuing waiver wave.</w:t>
      </w:r>
    </w:p>
    <w:p w14:paraId="24A69182" w14:textId="77777777" w:rsidR="003A476A" w:rsidRDefault="003A476A" w:rsidP="00B14573">
      <w:pPr>
        <w:pStyle w:val="NormalWeb"/>
      </w:pPr>
      <w:r>
        <w:t>This project contributes to applied economics and health policy in three ways. First, it makes health observable as a policy-design outcome by providing a comparable calorie-and–added-sugar hardness measure of waiver stringency. Second, it quantifies administrative frictions and federal gatekeeping as institutional constraints that can reshape health-motivated designs before downstream outcomes can be observed. Third, it delivers a reproducible document-based framework and clearly defined policy-process time points that support subsequent evaluations of dietary quality and chronic-disease risk as post-implementation data accumulate, without requiring proprietary purchase data to establish policy exposure and intensity.</w:t>
      </w:r>
    </w:p>
    <w:p w14:paraId="1374BBC5" w14:textId="77777777" w:rsidR="0000062E" w:rsidRDefault="0000062E"/>
    <w:sectPr w:rsidR="00000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F32"/>
    <w:multiLevelType w:val="multilevel"/>
    <w:tmpl w:val="FDD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C1D91"/>
    <w:multiLevelType w:val="multilevel"/>
    <w:tmpl w:val="0E6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13F21"/>
    <w:multiLevelType w:val="multilevel"/>
    <w:tmpl w:val="34D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742196">
    <w:abstractNumId w:val="1"/>
  </w:num>
  <w:num w:numId="2" w16cid:durableId="1904608282">
    <w:abstractNumId w:val="2"/>
  </w:num>
  <w:num w:numId="3" w16cid:durableId="103784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B6"/>
    <w:rsid w:val="0000062E"/>
    <w:rsid w:val="0017375B"/>
    <w:rsid w:val="001F31EC"/>
    <w:rsid w:val="003A476A"/>
    <w:rsid w:val="00543FE1"/>
    <w:rsid w:val="005455B6"/>
    <w:rsid w:val="006E5171"/>
    <w:rsid w:val="00AC1506"/>
    <w:rsid w:val="00AF71E8"/>
    <w:rsid w:val="00B14573"/>
    <w:rsid w:val="00BA7375"/>
    <w:rsid w:val="00C40529"/>
    <w:rsid w:val="00DC108B"/>
    <w:rsid w:val="00F21AC9"/>
    <w:rsid w:val="00FA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93CA"/>
  <w15:chartTrackingRefBased/>
  <w15:docId w15:val="{5F2F6D08-2A71-ED48-BA9C-91AB18C9E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B6"/>
    <w:rPr>
      <w:rFonts w:eastAsiaTheme="majorEastAsia" w:cstheme="majorBidi"/>
      <w:color w:val="272727" w:themeColor="text1" w:themeTint="D8"/>
    </w:rPr>
  </w:style>
  <w:style w:type="paragraph" w:styleId="Title">
    <w:name w:val="Title"/>
    <w:basedOn w:val="Normal"/>
    <w:next w:val="Normal"/>
    <w:link w:val="TitleChar"/>
    <w:uiPriority w:val="10"/>
    <w:qFormat/>
    <w:rsid w:val="00545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5B6"/>
    <w:pPr>
      <w:spacing w:before="160"/>
      <w:jc w:val="center"/>
    </w:pPr>
    <w:rPr>
      <w:i/>
      <w:iCs/>
      <w:color w:val="404040" w:themeColor="text1" w:themeTint="BF"/>
    </w:rPr>
  </w:style>
  <w:style w:type="character" w:customStyle="1" w:styleId="QuoteChar">
    <w:name w:val="Quote Char"/>
    <w:basedOn w:val="DefaultParagraphFont"/>
    <w:link w:val="Quote"/>
    <w:uiPriority w:val="29"/>
    <w:rsid w:val="005455B6"/>
    <w:rPr>
      <w:i/>
      <w:iCs/>
      <w:color w:val="404040" w:themeColor="text1" w:themeTint="BF"/>
    </w:rPr>
  </w:style>
  <w:style w:type="paragraph" w:styleId="ListParagraph">
    <w:name w:val="List Paragraph"/>
    <w:basedOn w:val="Normal"/>
    <w:uiPriority w:val="34"/>
    <w:qFormat/>
    <w:rsid w:val="005455B6"/>
    <w:pPr>
      <w:ind w:left="720"/>
      <w:contextualSpacing/>
    </w:pPr>
  </w:style>
  <w:style w:type="character" w:styleId="IntenseEmphasis">
    <w:name w:val="Intense Emphasis"/>
    <w:basedOn w:val="DefaultParagraphFont"/>
    <w:uiPriority w:val="21"/>
    <w:qFormat/>
    <w:rsid w:val="005455B6"/>
    <w:rPr>
      <w:i/>
      <w:iCs/>
      <w:color w:val="0F4761" w:themeColor="accent1" w:themeShade="BF"/>
    </w:rPr>
  </w:style>
  <w:style w:type="paragraph" w:styleId="IntenseQuote">
    <w:name w:val="Intense Quote"/>
    <w:basedOn w:val="Normal"/>
    <w:next w:val="Normal"/>
    <w:link w:val="IntenseQuoteChar"/>
    <w:uiPriority w:val="30"/>
    <w:qFormat/>
    <w:rsid w:val="00545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5B6"/>
    <w:rPr>
      <w:i/>
      <w:iCs/>
      <w:color w:val="0F4761" w:themeColor="accent1" w:themeShade="BF"/>
    </w:rPr>
  </w:style>
  <w:style w:type="character" w:styleId="IntenseReference">
    <w:name w:val="Intense Reference"/>
    <w:basedOn w:val="DefaultParagraphFont"/>
    <w:uiPriority w:val="32"/>
    <w:qFormat/>
    <w:rsid w:val="005455B6"/>
    <w:rPr>
      <w:b/>
      <w:bCs/>
      <w:smallCaps/>
      <w:color w:val="0F4761" w:themeColor="accent1" w:themeShade="BF"/>
      <w:spacing w:val="5"/>
    </w:rPr>
  </w:style>
  <w:style w:type="paragraph" w:styleId="NormalWeb">
    <w:name w:val="Normal (Web)"/>
    <w:basedOn w:val="Normal"/>
    <w:uiPriority w:val="99"/>
    <w:semiHidden/>
    <w:unhideWhenUsed/>
    <w:rsid w:val="005455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55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4032</Characters>
  <Application>Microsoft Office Word</Application>
  <DocSecurity>0</DocSecurity>
  <Lines>51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3</cp:revision>
  <dcterms:created xsi:type="dcterms:W3CDTF">2026-01-21T03:56:00Z</dcterms:created>
  <dcterms:modified xsi:type="dcterms:W3CDTF">2026-01-21T03:56:00Z</dcterms:modified>
</cp:coreProperties>
</file>