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27D0" w14:textId="77777777" w:rsidR="008641F0" w:rsidRDefault="008641F0" w:rsidP="008641F0">
      <w:pPr>
        <w:pStyle w:val="NormalWeb"/>
      </w:pPr>
      <w:r>
        <w:rPr>
          <w:rStyle w:val="Strong"/>
          <w:rFonts w:eastAsiaTheme="majorEastAsia"/>
        </w:rPr>
        <w:t>Projected SNAP Caseload Losses under Expanded ABAWD Work Requirements: Evidence from Michigan’s Staggered Reinstatement and Ex-Ante Risk Mapping</w:t>
      </w:r>
    </w:p>
    <w:p w14:paraId="19181701" w14:textId="77777777" w:rsidR="008641F0" w:rsidRDefault="008641F0" w:rsidP="008641F0">
      <w:pPr>
        <w:pStyle w:val="NormalWeb"/>
      </w:pPr>
      <w:r>
        <w:t>The Supplemental Nutrition Assistance Program (SNAP) is the largest U.S. nutrition safety-net program, but work requirements for able-bodied adults without dependents (ABAWDs) remain one of its most contested policy instruments. Although intended to promote labor market attachment, prior implementations suggest that caseload declines often reflect compliance costs, information frictions, and administrative burden rather than sustained employment gains. As federal policymakers consider expanding ABAWD coverage and limiting geographic waivers, a central question is where participation losses would be largest and which local conditions predict vulnerability to administratively driven exits.</w:t>
      </w:r>
    </w:p>
    <w:p w14:paraId="4C373CEE" w14:textId="77777777" w:rsidR="008641F0" w:rsidRDefault="008641F0" w:rsidP="008641F0">
      <w:pPr>
        <w:pStyle w:val="NormalWeb"/>
      </w:pPr>
      <w:r>
        <w:t>This paper develops an applied empirical framework to generate ex-ante forecasts of heterogeneous SNAP caseload losses under an expanded ABAWD regime, using Michigan’s 2017–2018 phased reinstatement of ABAWD time limits as a natural experiment. Michigan is a useful setting because counties reinstated the time limit at different dates, creating policy-driven timing variation while holding state rules and administration fixed. We use this staggered rollout to estimate the causal impact of reinstatement on county SNAP participation, characterize systematic heterogeneity across counties, and translate that structure into projections for a 2025 scenario with expanded coverage and minimal waiver availability.</w:t>
      </w:r>
    </w:p>
    <w:p w14:paraId="7E295FCF" w14:textId="77777777" w:rsidR="008641F0" w:rsidRDefault="008641F0" w:rsidP="008641F0">
      <w:pPr>
        <w:pStyle w:val="NormalWeb"/>
      </w:pPr>
      <w:r>
        <w:t>The analysis combines publicly available Michigan county-month SNAP enrollment data (2016–2020) with administrative rollout schedules, local labor market indicators from the Bureau of Labor Statistics, and demographic and vulnerability measures from the American Community Survey and related sources. For the risk-mapping stage, we additionally use ACS Public Use Microdata Sample data to link county-level projected losses to individual exposure profiles.</w:t>
      </w:r>
    </w:p>
    <w:p w14:paraId="144D70E1" w14:textId="77777777" w:rsidR="008641F0" w:rsidRDefault="008641F0" w:rsidP="008641F0">
      <w:pPr>
        <w:pStyle w:val="NormalWeb"/>
      </w:pPr>
      <w:r>
        <w:t>We estimate dynamic effects using modern staggered difference-in-differences event-study designs that allow treatment effect heterogeneity under staggered adoption, controlling for county and month fixed effects and local labor market conditions. Beyond average effects, we estimate an interpretable mapping from baseline county characteristics—labor market conditions, rurality, social vulnerability, demographic composition, and baseline SNAP intensity—to the magnitude of participation responses. We then generate scenario-based county projections and uncertainty-aware rankings under alternative labor market conditions.</w:t>
      </w:r>
    </w:p>
    <w:p w14:paraId="79F011C5" w14:textId="77777777" w:rsidR="008641F0" w:rsidRDefault="008641F0" w:rsidP="008641F0">
      <w:pPr>
        <w:pStyle w:val="NormalWeb"/>
      </w:pPr>
      <w:r>
        <w:t>Results indicate sharp near-term participation declines following reinstatement, with substantial cross-county heterogeneity. The resulting risk map identifies where expanded requirements are most likely to induce large caseload losses, providing actionable evidence for targeting outreach, planning administrative capacity, and designing exemptions under tighter federal policy.</w:t>
      </w:r>
    </w:p>
    <w:p w14:paraId="0E6FF8BE" w14:textId="0D3950A3" w:rsidR="00972939" w:rsidRDefault="00972939" w:rsidP="007F29C4">
      <w:pPr>
        <w:pStyle w:val="NormalWeb"/>
      </w:pPr>
    </w:p>
    <w:sectPr w:rsidR="009729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3E5C" w14:textId="77777777" w:rsidR="007B1855" w:rsidRDefault="007B1855" w:rsidP="004F4C65">
      <w:pPr>
        <w:spacing w:after="0" w:line="240" w:lineRule="auto"/>
      </w:pPr>
      <w:r>
        <w:separator/>
      </w:r>
    </w:p>
  </w:endnote>
  <w:endnote w:type="continuationSeparator" w:id="0">
    <w:p w14:paraId="767CBFDC" w14:textId="77777777" w:rsidR="007B1855" w:rsidRDefault="007B1855" w:rsidP="004F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E51E" w14:textId="77777777" w:rsidR="007B1855" w:rsidRDefault="007B1855" w:rsidP="004F4C65">
      <w:pPr>
        <w:spacing w:after="0" w:line="240" w:lineRule="auto"/>
      </w:pPr>
      <w:r>
        <w:separator/>
      </w:r>
    </w:p>
  </w:footnote>
  <w:footnote w:type="continuationSeparator" w:id="0">
    <w:p w14:paraId="121A4BBC" w14:textId="77777777" w:rsidR="007B1855" w:rsidRDefault="007B1855" w:rsidP="004F4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1BA"/>
    <w:multiLevelType w:val="multilevel"/>
    <w:tmpl w:val="175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92B55"/>
    <w:multiLevelType w:val="multilevel"/>
    <w:tmpl w:val="2DD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56FED"/>
    <w:multiLevelType w:val="multilevel"/>
    <w:tmpl w:val="44F6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74DC0"/>
    <w:multiLevelType w:val="multilevel"/>
    <w:tmpl w:val="1F4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9745EF"/>
    <w:multiLevelType w:val="multilevel"/>
    <w:tmpl w:val="24A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666D4"/>
    <w:multiLevelType w:val="multilevel"/>
    <w:tmpl w:val="37C2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01883"/>
    <w:multiLevelType w:val="multilevel"/>
    <w:tmpl w:val="05AC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417832">
    <w:abstractNumId w:val="5"/>
  </w:num>
  <w:num w:numId="2" w16cid:durableId="1305740715">
    <w:abstractNumId w:val="6"/>
  </w:num>
  <w:num w:numId="3" w16cid:durableId="1638560980">
    <w:abstractNumId w:val="0"/>
  </w:num>
  <w:num w:numId="4" w16cid:durableId="758986918">
    <w:abstractNumId w:val="1"/>
  </w:num>
  <w:num w:numId="5" w16cid:durableId="2098869229">
    <w:abstractNumId w:val="4"/>
  </w:num>
  <w:num w:numId="6" w16cid:durableId="180553242">
    <w:abstractNumId w:val="2"/>
  </w:num>
  <w:num w:numId="7" w16cid:durableId="56873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9E"/>
    <w:rsid w:val="000000E3"/>
    <w:rsid w:val="000842B8"/>
    <w:rsid w:val="001E05B8"/>
    <w:rsid w:val="00264494"/>
    <w:rsid w:val="0027714F"/>
    <w:rsid w:val="002E16C6"/>
    <w:rsid w:val="00306DE1"/>
    <w:rsid w:val="00383A78"/>
    <w:rsid w:val="004A1C09"/>
    <w:rsid w:val="004A73DC"/>
    <w:rsid w:val="004B6E09"/>
    <w:rsid w:val="004E66EC"/>
    <w:rsid w:val="004F4C65"/>
    <w:rsid w:val="00511991"/>
    <w:rsid w:val="005D1B9E"/>
    <w:rsid w:val="00683366"/>
    <w:rsid w:val="007371CD"/>
    <w:rsid w:val="00770A80"/>
    <w:rsid w:val="007B1855"/>
    <w:rsid w:val="007C194C"/>
    <w:rsid w:val="007C236C"/>
    <w:rsid w:val="007F29C4"/>
    <w:rsid w:val="008340D5"/>
    <w:rsid w:val="008641F0"/>
    <w:rsid w:val="00957009"/>
    <w:rsid w:val="00972939"/>
    <w:rsid w:val="009B2585"/>
    <w:rsid w:val="00A77E1A"/>
    <w:rsid w:val="00AF71E8"/>
    <w:rsid w:val="00B30FAB"/>
    <w:rsid w:val="00BE3ED8"/>
    <w:rsid w:val="00BF3452"/>
    <w:rsid w:val="00C07DC6"/>
    <w:rsid w:val="00C40529"/>
    <w:rsid w:val="00C504D9"/>
    <w:rsid w:val="00DD69C0"/>
    <w:rsid w:val="00F253AE"/>
    <w:rsid w:val="00F8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26278"/>
  <w15:chartTrackingRefBased/>
  <w15:docId w15:val="{73346D18-1A01-9E44-BF6B-A1DEE4D8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9E"/>
    <w:rPr>
      <w:rFonts w:eastAsiaTheme="majorEastAsia" w:cstheme="majorBidi"/>
      <w:color w:val="272727" w:themeColor="text1" w:themeTint="D8"/>
    </w:rPr>
  </w:style>
  <w:style w:type="paragraph" w:styleId="Title">
    <w:name w:val="Title"/>
    <w:basedOn w:val="Normal"/>
    <w:next w:val="Normal"/>
    <w:link w:val="TitleChar"/>
    <w:uiPriority w:val="10"/>
    <w:qFormat/>
    <w:rsid w:val="005D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9E"/>
    <w:pPr>
      <w:spacing w:before="160"/>
      <w:jc w:val="center"/>
    </w:pPr>
    <w:rPr>
      <w:i/>
      <w:iCs/>
      <w:color w:val="404040" w:themeColor="text1" w:themeTint="BF"/>
    </w:rPr>
  </w:style>
  <w:style w:type="character" w:customStyle="1" w:styleId="QuoteChar">
    <w:name w:val="Quote Char"/>
    <w:basedOn w:val="DefaultParagraphFont"/>
    <w:link w:val="Quote"/>
    <w:uiPriority w:val="29"/>
    <w:rsid w:val="005D1B9E"/>
    <w:rPr>
      <w:i/>
      <w:iCs/>
      <w:color w:val="404040" w:themeColor="text1" w:themeTint="BF"/>
    </w:rPr>
  </w:style>
  <w:style w:type="paragraph" w:styleId="ListParagraph">
    <w:name w:val="List Paragraph"/>
    <w:basedOn w:val="Normal"/>
    <w:uiPriority w:val="34"/>
    <w:qFormat/>
    <w:rsid w:val="005D1B9E"/>
    <w:pPr>
      <w:ind w:left="720"/>
      <w:contextualSpacing/>
    </w:pPr>
  </w:style>
  <w:style w:type="character" w:styleId="IntenseEmphasis">
    <w:name w:val="Intense Emphasis"/>
    <w:basedOn w:val="DefaultParagraphFont"/>
    <w:uiPriority w:val="21"/>
    <w:qFormat/>
    <w:rsid w:val="005D1B9E"/>
    <w:rPr>
      <w:i/>
      <w:iCs/>
      <w:color w:val="0F4761" w:themeColor="accent1" w:themeShade="BF"/>
    </w:rPr>
  </w:style>
  <w:style w:type="paragraph" w:styleId="IntenseQuote">
    <w:name w:val="Intense Quote"/>
    <w:basedOn w:val="Normal"/>
    <w:next w:val="Normal"/>
    <w:link w:val="IntenseQuoteChar"/>
    <w:uiPriority w:val="30"/>
    <w:qFormat/>
    <w:rsid w:val="005D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B9E"/>
    <w:rPr>
      <w:i/>
      <w:iCs/>
      <w:color w:val="0F4761" w:themeColor="accent1" w:themeShade="BF"/>
    </w:rPr>
  </w:style>
  <w:style w:type="character" w:styleId="IntenseReference">
    <w:name w:val="Intense Reference"/>
    <w:basedOn w:val="DefaultParagraphFont"/>
    <w:uiPriority w:val="32"/>
    <w:qFormat/>
    <w:rsid w:val="005D1B9E"/>
    <w:rPr>
      <w:b/>
      <w:bCs/>
      <w:smallCaps/>
      <w:color w:val="0F4761" w:themeColor="accent1" w:themeShade="BF"/>
      <w:spacing w:val="5"/>
    </w:rPr>
  </w:style>
  <w:style w:type="paragraph" w:styleId="NormalWeb">
    <w:name w:val="Normal (Web)"/>
    <w:basedOn w:val="Normal"/>
    <w:uiPriority w:val="99"/>
    <w:unhideWhenUsed/>
    <w:rsid w:val="005D1B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1B9E"/>
    <w:rPr>
      <w:b/>
      <w:bCs/>
    </w:rPr>
  </w:style>
  <w:style w:type="paragraph" w:styleId="Header">
    <w:name w:val="header"/>
    <w:basedOn w:val="Normal"/>
    <w:link w:val="HeaderChar"/>
    <w:uiPriority w:val="99"/>
    <w:unhideWhenUsed/>
    <w:rsid w:val="004F4C6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4F4C65"/>
    <w:rPr>
      <w:sz w:val="18"/>
      <w:szCs w:val="18"/>
    </w:rPr>
  </w:style>
  <w:style w:type="paragraph" w:styleId="Footer">
    <w:name w:val="footer"/>
    <w:basedOn w:val="Normal"/>
    <w:link w:val="FooterChar"/>
    <w:uiPriority w:val="99"/>
    <w:unhideWhenUsed/>
    <w:rsid w:val="004F4C6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F4C65"/>
    <w:rPr>
      <w:sz w:val="18"/>
      <w:szCs w:val="18"/>
    </w:rPr>
  </w:style>
  <w:style w:type="paragraph" w:styleId="Revision">
    <w:name w:val="Revision"/>
    <w:hidden/>
    <w:uiPriority w:val="99"/>
    <w:semiHidden/>
    <w:rsid w:val="008340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Normal.dotm</Template>
  <TotalTime>115</TotalTime>
  <Pages>1</Pages>
  <Words>388</Words>
  <Characters>2630</Characters>
  <Application>Microsoft Office Word</Application>
  <DocSecurity>0</DocSecurity>
  <Lines>36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7</cp:revision>
  <dcterms:created xsi:type="dcterms:W3CDTF">2026-01-05T03:52:00Z</dcterms:created>
  <dcterms:modified xsi:type="dcterms:W3CDTF">2026-01-16T00:03:00Z</dcterms:modified>
</cp:coreProperties>
</file>