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0AB66" w14:textId="77777777" w:rsidR="00116906" w:rsidRDefault="00116906" w:rsidP="00AB5CFC">
      <w:pPr>
        <w:pStyle w:val="NormalWeb"/>
        <w:rPr>
          <w:rFonts w:ascii="SimSun" w:eastAsia="SimSun" w:hAnsi="SimSun" w:cs="SimSun"/>
          <w:b/>
          <w:bCs/>
        </w:rPr>
      </w:pPr>
    </w:p>
    <w:p w14:paraId="37987920" w14:textId="70FD2C7D" w:rsidR="00AB5CFC" w:rsidRPr="00116906" w:rsidRDefault="00AB5CFC" w:rsidP="00AB5CFC">
      <w:pPr>
        <w:pStyle w:val="NormalWeb"/>
        <w:rPr>
          <w:rFonts w:ascii="SimSun" w:eastAsia="SimSun" w:hAnsi="SimSun" w:cs="SimSun"/>
          <w:b/>
          <w:bCs/>
        </w:rPr>
      </w:pPr>
      <w:r w:rsidRPr="00AB5CFC">
        <w:rPr>
          <w:b/>
          <w:bCs/>
        </w:rPr>
        <w:t>Compliance After Waiver Loss: Administrative Form, Geographic Exposure, and SNAP Participation under ABAWD Time Limits</w:t>
      </w:r>
    </w:p>
    <w:p w14:paraId="6F6B8EEC" w14:textId="77777777" w:rsidR="00AB5CFC" w:rsidRDefault="00AB5CFC" w:rsidP="00AB5CFC">
      <w:pPr>
        <w:pStyle w:val="NormalWeb"/>
      </w:pPr>
      <w:r>
        <w:t>The Supplemental Nutrition Assistance Program (SNAP) is the largest U.S. means-tested nutrition assistance program, providing monthly food benefits to low-income households through a federally financed entitlement. A key eligibility feature for able-bodied adults without dependents (ABAWDs), defined as non-elderly, non-disabled adults without minor children, is a three-month time limit on benefits unless work or training requirements are met. After the Great Recession, most states operated under statewide waivers that suspended this time limit, allowing SNAP to function more fully as a countercyclical safety net. As labor market conditions improved, states gradually became ineligible for statewide waivers under federal criteria tied to unemployment conditions and related triggers, creating a common end-of-flexibility transition that reintroduced ABAWD time limits in many places.</w:t>
      </w:r>
    </w:p>
    <w:p w14:paraId="0C56ECD2" w14:textId="77777777" w:rsidR="00AB5CFC" w:rsidRDefault="00AB5CFC" w:rsidP="00AB5CFC">
      <w:pPr>
        <w:pStyle w:val="NormalWeb"/>
      </w:pPr>
      <w:r>
        <w:t>Existing research on ABAWD policy often treats this transition as a binary switch, with time limits either on or off. This paper argues that such a framing misses a central and policy-relevant margin: how states choose to comply once statewide waiver flexibility ends, and how administrative form translates a common federal tightening into heterogeneous changes in realized program coverage. We conceptualize post-waiver implementation along two complementary dimensions. First, states choose the extent of geographic exposure by moving to full statewide enforcement or retaining sub-state geographic waivers for subsets of counties or labor market areas, thereby exposing very different shares of residents to time limits. Second, states may buffer exposed ABAWDs through discretionary exemptions, a quota-based tool that can function as a low-friction administrative buffer or as a tightly rationed resource shaped by administrative burden, documentation requirements, and approval processes. We treat discretionary exemptions as a mechanism extension incorporated where consistent measures of usage can be assembled from administrative reporting.</w:t>
      </w:r>
    </w:p>
    <w:p w14:paraId="7DC7FC24" w14:textId="77777777" w:rsidR="00AB5CFC" w:rsidRDefault="00AB5CFC" w:rsidP="00AB5CFC">
      <w:pPr>
        <w:pStyle w:val="NormalWeb"/>
      </w:pPr>
      <w:r>
        <w:t>The empirical analysis combines monthly SNAP caseload outcomes from the USDA Food and Nutrition Service with detailed information on ABAWD waiver status and sub-state waiver coverage from 2010 to 2019. We construct measures of post-exit geographic exposure, including whether a state maintains partial geographic waivers and an intensity measure capturing the share of the state population residing in waived areas. Where feasible, we supplement the geographic measures with information on discretionary-exemption availability and deployment from administrative records. The primary outcome is total SNAP caseloads, interpreted as an intent-to-treat measure and a conservative lower bound given that ABAWD rules directly target a subset of recipients. We complement this with subgroup and placebo checks where data permit.</w:t>
      </w:r>
    </w:p>
    <w:p w14:paraId="7C20F8B2" w14:textId="77777777" w:rsidR="00AB5CFC" w:rsidRDefault="00AB5CFC" w:rsidP="00AB5CFC">
      <w:pPr>
        <w:pStyle w:val="NormalWeb"/>
      </w:pPr>
      <w:r>
        <w:t xml:space="preserve">Our research design leverages the staggered timing of </w:t>
      </w:r>
      <w:proofErr w:type="gramStart"/>
      <w:r>
        <w:t>statewide-waiver</w:t>
      </w:r>
      <w:proofErr w:type="gramEnd"/>
      <w:r>
        <w:t xml:space="preserve"> exits across states to trace how SNAP participation evolves around the end of statewide waiver flexibility and whether trajectories differ systematically by post-exit compliance form. Because statewide waiver eligibility is mechanically linked to labor market conditions that also influence SNAP participation, the analysis incorporates flexible controls for state labor market conditions and diagnostic checks of pre-trends and alternative timing definitions to distinguish implementation </w:t>
      </w:r>
      <w:r>
        <w:lastRenderedPageBreak/>
        <w:t>effects from macroeconomic co-movement. The aim is not to treat compliance choices as exogenous shocks, but to measure how differences in exposure and administrative buffering shape heterogeneous participation responses under a shared federal tightening constraint.</w:t>
      </w:r>
    </w:p>
    <w:p w14:paraId="17F1BC07" w14:textId="77777777" w:rsidR="00AB5CFC" w:rsidRDefault="00AB5CFC" w:rsidP="00AB5CFC">
      <w:pPr>
        <w:pStyle w:val="NormalWeb"/>
      </w:pPr>
      <w:r>
        <w:t>This paper contributes to applied work on administrative burden, welfare state retrenchment, and fiscal federalism by reframing ABAWD time limits as an institutional translation problem. Statutory tightening does not mechanically determine outcomes when states retain discretion over exposure and implementation. Although the core sample ends in 2019, the compliance margins highlighted here are directly relevant for interpreting contemporary ABAWD policy changes and anticipating where participation losses may be most pronounced when federal flexibility is reduced.</w:t>
      </w:r>
    </w:p>
    <w:p w14:paraId="540835BD" w14:textId="77777777" w:rsidR="000B19D2" w:rsidRPr="00AF24F2" w:rsidRDefault="000B19D2" w:rsidP="00AF24F2">
      <w:pPr>
        <w:spacing w:before="100" w:beforeAutospacing="1" w:after="100" w:afterAutospacing="1" w:line="240" w:lineRule="auto"/>
        <w:rPr>
          <w:rFonts w:ascii="Times New Roman" w:eastAsia="Times New Roman" w:hAnsi="Times New Roman" w:cs="Times New Roman"/>
          <w:kern w:val="0"/>
          <w14:ligatures w14:val="none"/>
        </w:rPr>
      </w:pPr>
    </w:p>
    <w:sectPr w:rsidR="000B19D2" w:rsidRPr="00AF2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79FC"/>
    <w:multiLevelType w:val="multilevel"/>
    <w:tmpl w:val="378C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FF5550"/>
    <w:multiLevelType w:val="multilevel"/>
    <w:tmpl w:val="2F58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417434">
    <w:abstractNumId w:val="1"/>
  </w:num>
  <w:num w:numId="2" w16cid:durableId="7467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8D"/>
    <w:rsid w:val="000B19D2"/>
    <w:rsid w:val="00116906"/>
    <w:rsid w:val="00142D84"/>
    <w:rsid w:val="002362C8"/>
    <w:rsid w:val="002E16C6"/>
    <w:rsid w:val="004A1C09"/>
    <w:rsid w:val="0069451B"/>
    <w:rsid w:val="008C4679"/>
    <w:rsid w:val="009D7C19"/>
    <w:rsid w:val="00AB5CFC"/>
    <w:rsid w:val="00AF24F2"/>
    <w:rsid w:val="00AF71E8"/>
    <w:rsid w:val="00BB67A7"/>
    <w:rsid w:val="00BC6C8D"/>
    <w:rsid w:val="00C31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41B6"/>
  <w15:chartTrackingRefBased/>
  <w15:docId w15:val="{27CEC508-BA54-CA4A-B8A8-1E484C1A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8D"/>
    <w:rPr>
      <w:rFonts w:eastAsiaTheme="majorEastAsia" w:cstheme="majorBidi"/>
      <w:color w:val="272727" w:themeColor="text1" w:themeTint="D8"/>
    </w:rPr>
  </w:style>
  <w:style w:type="paragraph" w:styleId="Title">
    <w:name w:val="Title"/>
    <w:basedOn w:val="Normal"/>
    <w:next w:val="Normal"/>
    <w:link w:val="TitleChar"/>
    <w:uiPriority w:val="10"/>
    <w:qFormat/>
    <w:rsid w:val="00BC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C6C8D"/>
    <w:rPr>
      <w:i/>
      <w:iCs/>
      <w:color w:val="404040" w:themeColor="text1" w:themeTint="BF"/>
    </w:rPr>
  </w:style>
  <w:style w:type="paragraph" w:styleId="ListParagraph">
    <w:name w:val="List Paragraph"/>
    <w:basedOn w:val="Normal"/>
    <w:uiPriority w:val="34"/>
    <w:qFormat/>
    <w:rsid w:val="00BC6C8D"/>
    <w:pPr>
      <w:ind w:left="720"/>
      <w:contextualSpacing/>
    </w:pPr>
  </w:style>
  <w:style w:type="character" w:styleId="IntenseEmphasis">
    <w:name w:val="Intense Emphasis"/>
    <w:basedOn w:val="DefaultParagraphFont"/>
    <w:uiPriority w:val="21"/>
    <w:qFormat/>
    <w:rsid w:val="00BC6C8D"/>
    <w:rPr>
      <w:i/>
      <w:iCs/>
      <w:color w:val="0F4761" w:themeColor="accent1" w:themeShade="BF"/>
    </w:rPr>
  </w:style>
  <w:style w:type="paragraph" w:styleId="IntenseQuote">
    <w:name w:val="Intense Quote"/>
    <w:basedOn w:val="Normal"/>
    <w:next w:val="Normal"/>
    <w:link w:val="IntenseQuoteChar"/>
    <w:uiPriority w:val="30"/>
    <w:qFormat/>
    <w:rsid w:val="00BC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C8D"/>
    <w:rPr>
      <w:i/>
      <w:iCs/>
      <w:color w:val="0F4761" w:themeColor="accent1" w:themeShade="BF"/>
    </w:rPr>
  </w:style>
  <w:style w:type="character" w:styleId="IntenseReference">
    <w:name w:val="Intense Reference"/>
    <w:basedOn w:val="DefaultParagraphFont"/>
    <w:uiPriority w:val="32"/>
    <w:qFormat/>
    <w:rsid w:val="00BC6C8D"/>
    <w:rPr>
      <w:b/>
      <w:bCs/>
      <w:smallCaps/>
      <w:color w:val="0F4761" w:themeColor="accent1" w:themeShade="BF"/>
      <w:spacing w:val="5"/>
    </w:rPr>
  </w:style>
  <w:style w:type="paragraph" w:styleId="NormalWeb">
    <w:name w:val="Normal (Web)"/>
    <w:basedOn w:val="Normal"/>
    <w:uiPriority w:val="99"/>
    <w:semiHidden/>
    <w:unhideWhenUsed/>
    <w:rsid w:val="00BC6C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6C8D"/>
    <w:rPr>
      <w:b/>
      <w:bCs/>
    </w:rPr>
  </w:style>
  <w:style w:type="character" w:styleId="Emphasis">
    <w:name w:val="Emphasis"/>
    <w:basedOn w:val="DefaultParagraphFont"/>
    <w:uiPriority w:val="20"/>
    <w:qFormat/>
    <w:rsid w:val="00BC6C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2</Pages>
  <Words>575</Words>
  <Characters>3808</Characters>
  <Application>Microsoft Office Word</Application>
  <DocSecurity>0</DocSecurity>
  <Lines>50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17</cp:revision>
  <dcterms:created xsi:type="dcterms:W3CDTF">2025-12-22T03:04:00Z</dcterms:created>
  <dcterms:modified xsi:type="dcterms:W3CDTF">2026-01-08T12:56:00Z</dcterms:modified>
</cp:coreProperties>
</file>