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6A7E" w14:textId="77777777" w:rsidR="00305B0A" w:rsidRPr="00EB4F6A" w:rsidRDefault="00000000" w:rsidP="00EB4F6A">
      <w:pPr>
        <w:pStyle w:val="Heading1"/>
        <w:spacing w:line="360" w:lineRule="auto"/>
        <w:jc w:val="center"/>
        <w:rPr>
          <w:rFonts w:ascii="Times New Roman" w:hAnsi="Times New Roman" w:cs="Times New Roman"/>
          <w:b/>
          <w:bCs/>
          <w:color w:val="000000" w:themeColor="text1"/>
        </w:rPr>
      </w:pPr>
      <w:bookmarkStart w:id="0" w:name="header"/>
      <w:bookmarkStart w:id="1" w:name="Xa17daae412a3f336a5c660c3126ce6f6e9e2c55"/>
      <w:bookmarkStart w:id="2" w:name="content"/>
      <w:bookmarkEnd w:id="0"/>
      <w:r w:rsidRPr="00EB4F6A">
        <w:rPr>
          <w:rFonts w:ascii="Times New Roman" w:hAnsi="Times New Roman" w:cs="Times New Roman"/>
          <w:b/>
          <w:bCs/>
          <w:color w:val="000000" w:themeColor="text1"/>
        </w:rPr>
        <w:t>Forecasting SNAP Exit Risk under the 2025 OBBBA: An Academic Research Proposal</w:t>
      </w:r>
    </w:p>
    <w:p w14:paraId="181E112F" w14:textId="77777777" w:rsidR="00305B0A" w:rsidRPr="00EB4F6A" w:rsidRDefault="00000000" w:rsidP="00EB4F6A">
      <w:pPr>
        <w:pStyle w:val="Heading2"/>
        <w:spacing w:line="360" w:lineRule="auto"/>
        <w:rPr>
          <w:rFonts w:ascii="Times New Roman" w:hAnsi="Times New Roman" w:cs="Times New Roman"/>
          <w:b/>
          <w:bCs/>
          <w:color w:val="000000" w:themeColor="text1"/>
          <w:sz w:val="28"/>
          <w:szCs w:val="28"/>
        </w:rPr>
      </w:pPr>
      <w:bookmarkStart w:id="3" w:name="abstract"/>
      <w:r w:rsidRPr="00EB4F6A">
        <w:rPr>
          <w:rFonts w:ascii="Times New Roman" w:hAnsi="Times New Roman" w:cs="Times New Roman"/>
          <w:b/>
          <w:bCs/>
          <w:color w:val="000000" w:themeColor="text1"/>
          <w:sz w:val="28"/>
          <w:szCs w:val="28"/>
        </w:rPr>
        <w:t>Abstract</w:t>
      </w:r>
    </w:p>
    <w:p w14:paraId="5485EE65" w14:textId="77777777" w:rsidR="00305B0A" w:rsidRDefault="00000000" w:rsidP="00EB4F6A">
      <w:pPr>
        <w:pStyle w:val="FirstParagraph"/>
        <w:spacing w:line="360" w:lineRule="auto"/>
        <w:rPr>
          <w:rFonts w:ascii="Times New Roman" w:hAnsi="Times New Roman" w:cs="Times New Roman"/>
          <w:color w:val="000000" w:themeColor="text1"/>
          <w:lang w:eastAsia="zh-CN"/>
        </w:rPr>
      </w:pPr>
      <w:r w:rsidRPr="00EB4F6A">
        <w:rPr>
          <w:rFonts w:ascii="Times New Roman" w:hAnsi="Times New Roman" w:cs="Times New Roman"/>
          <w:color w:val="000000" w:themeColor="text1"/>
        </w:rPr>
        <w:t xml:space="preserve">This proposal outlines a study to forecast which Michigan SNAP participants will be most likely to lose benefits under the hypothetical </w:t>
      </w:r>
      <w:r w:rsidRPr="00EB4F6A">
        <w:rPr>
          <w:rFonts w:ascii="Times New Roman" w:hAnsi="Times New Roman" w:cs="Times New Roman"/>
          <w:i/>
          <w:iCs/>
          <w:color w:val="000000" w:themeColor="text1"/>
        </w:rPr>
        <w:t>One Big Beautiful Bill Act</w:t>
      </w:r>
      <w:r w:rsidRPr="00EB4F6A">
        <w:rPr>
          <w:rFonts w:ascii="Times New Roman" w:hAnsi="Times New Roman" w:cs="Times New Roman"/>
          <w:color w:val="000000" w:themeColor="text1"/>
        </w:rPr>
        <w:t xml:space="preserve"> (OBBBA) of 2025. Using Michigan’s staggered 2017–2018 reinstatement of ABAWD (able-bodied adults without dependents) work requirements as a natural experiment, we will combine difference-in-differences identification with modern machine learning (causal forests) to learn the structural patterns of policy-induced exits. A dynamic event-study analysis will estimate the average and heterogeneous county-level impacts of past policy changes. These estimates will then inform an ex-ante prediction model: county and individual risk scores under the new 2025 OBBBA provisions, which dramatically expand the work requirements. The expected outcome is a granular forecast of vulnerable groups and communities, informing targeted exemptions, outreach, and support to minimize needless benefit losses. This framework demonstrates a replicable approach for ex-ante forecasting of heterogeneous policy effects.</w:t>
      </w:r>
    </w:p>
    <w:p w14:paraId="65227863" w14:textId="77777777" w:rsidR="00EB4F6A" w:rsidRPr="00EB4F6A" w:rsidRDefault="00EB4F6A" w:rsidP="00EB4F6A">
      <w:pPr>
        <w:pStyle w:val="BodyText"/>
        <w:rPr>
          <w:rFonts w:hint="eastAsia"/>
          <w:lang w:eastAsia="zh-CN"/>
        </w:rPr>
      </w:pPr>
    </w:p>
    <w:p w14:paraId="31178CFB" w14:textId="77777777" w:rsidR="00305B0A" w:rsidRPr="00EB4F6A" w:rsidRDefault="00000000" w:rsidP="00EB4F6A">
      <w:pPr>
        <w:pStyle w:val="Heading2"/>
        <w:spacing w:line="360" w:lineRule="auto"/>
        <w:rPr>
          <w:rFonts w:ascii="Times New Roman" w:hAnsi="Times New Roman" w:cs="Times New Roman"/>
          <w:b/>
          <w:bCs/>
          <w:color w:val="000000" w:themeColor="text1"/>
          <w:sz w:val="28"/>
          <w:szCs w:val="28"/>
        </w:rPr>
      </w:pPr>
      <w:bookmarkStart w:id="4" w:name="introduction"/>
      <w:bookmarkEnd w:id="3"/>
      <w:r w:rsidRPr="00EB4F6A">
        <w:rPr>
          <w:rFonts w:ascii="Times New Roman" w:hAnsi="Times New Roman" w:cs="Times New Roman"/>
          <w:b/>
          <w:bCs/>
          <w:color w:val="000000" w:themeColor="text1"/>
          <w:sz w:val="28"/>
          <w:szCs w:val="28"/>
        </w:rPr>
        <w:t>1. Introduction</w:t>
      </w:r>
    </w:p>
    <w:p w14:paraId="6F884F6C" w14:textId="77777777" w:rsidR="00305B0A" w:rsidRPr="00EB4F6A" w:rsidRDefault="00000000"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The Supplemental Nutrition Assistance Program (SNAP) is the nation’s largest nutrition assistance program, accounting for over 70% of USDA food assistance spending</w:t>
      </w:r>
      <w:hyperlink r:id="rId5" w:anchor=":~:text=The%20Supplemental%20Nutrition%20Assistance%20Program,Summer%20EBT%20or%20SUN%20Bucks">
        <w:r w:rsidR="00305B0A" w:rsidRPr="00EB4F6A">
          <w:rPr>
            <w:rStyle w:val="Hyperlink"/>
            <w:rFonts w:ascii="Times New Roman" w:hAnsi="Times New Roman" w:cs="Times New Roman"/>
            <w:color w:val="000000" w:themeColor="text1"/>
          </w:rPr>
          <w:t>[1]</w:t>
        </w:r>
      </w:hyperlink>
      <w:r w:rsidRPr="00EB4F6A">
        <w:rPr>
          <w:rFonts w:ascii="Times New Roman" w:hAnsi="Times New Roman" w:cs="Times New Roman"/>
          <w:color w:val="000000" w:themeColor="text1"/>
        </w:rPr>
        <w:t>. In FY2024, SNAP served an average of 41.7 million participants per month</w:t>
      </w:r>
      <w:hyperlink r:id="rId6" w:anchor=":~:text=In%20FY%202024%2C%20SNAP%20served,20%20per%20participant%20per%20month">
        <w:r w:rsidR="00305B0A" w:rsidRPr="00EB4F6A">
          <w:rPr>
            <w:rStyle w:val="Hyperlink"/>
            <w:rFonts w:ascii="Times New Roman" w:hAnsi="Times New Roman" w:cs="Times New Roman"/>
            <w:color w:val="000000" w:themeColor="text1"/>
          </w:rPr>
          <w:t>[2]</w:t>
        </w:r>
      </w:hyperlink>
      <w:r w:rsidRPr="00EB4F6A">
        <w:rPr>
          <w:rFonts w:ascii="Times New Roman" w:hAnsi="Times New Roman" w:cs="Times New Roman"/>
          <w:color w:val="000000" w:themeColor="text1"/>
        </w:rPr>
        <w:t xml:space="preserve">. SNAP provides a vital food security safety net for low-income households, but its design also incorporates </w:t>
      </w:r>
      <w:r w:rsidRPr="00EB4F6A">
        <w:rPr>
          <w:rFonts w:ascii="Times New Roman" w:hAnsi="Times New Roman" w:cs="Times New Roman"/>
          <w:i/>
          <w:iCs/>
          <w:color w:val="000000" w:themeColor="text1"/>
        </w:rPr>
        <w:t>work requirements</w:t>
      </w:r>
      <w:r w:rsidRPr="00EB4F6A">
        <w:rPr>
          <w:rFonts w:ascii="Times New Roman" w:hAnsi="Times New Roman" w:cs="Times New Roman"/>
          <w:color w:val="000000" w:themeColor="text1"/>
        </w:rPr>
        <w:t xml:space="preserve"> as a condition of eligibility for able-bodied adults without dependents (ABAWDs). Under current rules, ABAWDs (generally age 18–49) can only receive SNAP for three months in any 36-month period unless they meet a 20–30 hour-per-week work/volunteer requirement.</w:t>
      </w:r>
    </w:p>
    <w:p w14:paraId="5B5BE50F" w14:textId="77777777" w:rsidR="00305B0A" w:rsidRPr="00EB4F6A" w:rsidRDefault="00000000" w:rsidP="00EB4F6A">
      <w:pPr>
        <w:pStyle w:val="BodyText"/>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Recent federal law has tightened these conditions. The Fiscal Responsibility Act (FRA) of 2023 gradually expanded the ABAWD age range from 18–49 up to 18–54</w:t>
      </w:r>
      <w:hyperlink r:id="rId7" w:anchor=":~:text=The%20final%20ABAWD%20age%20increase,subject%20to%20Time%20Limit%20Rules">
        <w:r w:rsidR="00305B0A" w:rsidRPr="00EB4F6A">
          <w:rPr>
            <w:rStyle w:val="Hyperlink"/>
            <w:rFonts w:ascii="Times New Roman" w:hAnsi="Times New Roman" w:cs="Times New Roman"/>
            <w:color w:val="000000" w:themeColor="text1"/>
          </w:rPr>
          <w:t>[3]</w:t>
        </w:r>
      </w:hyperlink>
      <w:r w:rsidRPr="00EB4F6A">
        <w:rPr>
          <w:rFonts w:ascii="Times New Roman" w:hAnsi="Times New Roman" w:cs="Times New Roman"/>
          <w:color w:val="000000" w:themeColor="text1"/>
        </w:rPr>
        <w:t xml:space="preserve">. More drastic reforms </w:t>
      </w:r>
      <w:r w:rsidRPr="00EB4F6A">
        <w:rPr>
          <w:rFonts w:ascii="Times New Roman" w:hAnsi="Times New Roman" w:cs="Times New Roman"/>
          <w:color w:val="000000" w:themeColor="text1"/>
        </w:rPr>
        <w:lastRenderedPageBreak/>
        <w:t xml:space="preserve">came with the July 2025 </w:t>
      </w:r>
      <w:r w:rsidRPr="00EB4F6A">
        <w:rPr>
          <w:rFonts w:ascii="Times New Roman" w:hAnsi="Times New Roman" w:cs="Times New Roman"/>
          <w:i/>
          <w:iCs/>
          <w:color w:val="000000" w:themeColor="text1"/>
        </w:rPr>
        <w:t>One Big Beautiful Bill Act</w:t>
      </w:r>
      <w:r w:rsidRPr="00EB4F6A">
        <w:rPr>
          <w:rFonts w:ascii="Times New Roman" w:hAnsi="Times New Roman" w:cs="Times New Roman"/>
          <w:color w:val="000000" w:themeColor="text1"/>
        </w:rPr>
        <w:t xml:space="preserve"> (OBBBA, H.R.1), which raises the age range to </w:t>
      </w:r>
      <w:r w:rsidRPr="00EB4F6A">
        <w:rPr>
          <w:rFonts w:ascii="Times New Roman" w:hAnsi="Times New Roman" w:cs="Times New Roman"/>
          <w:b/>
          <w:bCs/>
          <w:color w:val="000000" w:themeColor="text1"/>
        </w:rPr>
        <w:t>18–64</w:t>
      </w:r>
      <w:r w:rsidRPr="00EB4F6A">
        <w:rPr>
          <w:rFonts w:ascii="Times New Roman" w:hAnsi="Times New Roman" w:cs="Times New Roman"/>
          <w:color w:val="000000" w:themeColor="text1"/>
        </w:rPr>
        <w:t xml:space="preserve"> and narrows exemptions. For example, the OBBBA limits the “child-in-home” exemption to households with children under age 14</w:t>
      </w:r>
      <w:hyperlink r:id="rId8" w:anchor=":~:text=%E2%80%A2%20Establishes%20a%20Dependent%20Child,Years%20for%20Exemption%20from%20the">
        <w:r w:rsidR="00305B0A" w:rsidRPr="00EB4F6A">
          <w:rPr>
            <w:rStyle w:val="Hyperlink"/>
            <w:rFonts w:ascii="Times New Roman" w:hAnsi="Times New Roman" w:cs="Times New Roman"/>
            <w:color w:val="000000" w:themeColor="text1"/>
          </w:rPr>
          <w:t>[4]</w:t>
        </w:r>
      </w:hyperlink>
      <w:r w:rsidRPr="00EB4F6A">
        <w:rPr>
          <w:rFonts w:ascii="Times New Roman" w:hAnsi="Times New Roman" w:cs="Times New Roman"/>
          <w:color w:val="000000" w:themeColor="text1"/>
        </w:rPr>
        <w:t xml:space="preserve"> (down from under 18), and it removes FRA’s discretionary exemptions for veterans, homeless individuals, and former foster youth</w:t>
      </w:r>
      <w:hyperlink r:id="rId9" w:anchor=":~:text=%E2%80%A2%20Removes%20Three%20Existing%20ABAWD,Adds%20One%20New%20ABAWD%20Exemption">
        <w:r w:rsidR="00305B0A" w:rsidRPr="00EB4F6A">
          <w:rPr>
            <w:rStyle w:val="Hyperlink"/>
            <w:rFonts w:ascii="Times New Roman" w:hAnsi="Times New Roman" w:cs="Times New Roman"/>
            <w:color w:val="000000" w:themeColor="text1"/>
          </w:rPr>
          <w:t>[5]</w:t>
        </w:r>
      </w:hyperlink>
      <w:r w:rsidRPr="00EB4F6A">
        <w:rPr>
          <w:rFonts w:ascii="Times New Roman" w:hAnsi="Times New Roman" w:cs="Times New Roman"/>
          <w:color w:val="000000" w:themeColor="text1"/>
        </w:rPr>
        <w:t>. A New York State guidance memo confirms that OBBBA “changes the ABAWD work rules age range to those 18–64 (currently 18–54)”</w:t>
      </w:r>
      <w:hyperlink r:id="rId10" w:anchor=":~:text=%E2%80%A2%20Increases%20the%20Age%20of,54">
        <w:r w:rsidR="00305B0A" w:rsidRPr="00EB4F6A">
          <w:rPr>
            <w:rStyle w:val="Hyperlink"/>
            <w:rFonts w:ascii="Times New Roman" w:hAnsi="Times New Roman" w:cs="Times New Roman"/>
            <w:color w:val="000000" w:themeColor="text1"/>
          </w:rPr>
          <w:t>[6]</w:t>
        </w:r>
      </w:hyperlink>
      <w:r w:rsidRPr="00EB4F6A">
        <w:rPr>
          <w:rFonts w:ascii="Times New Roman" w:hAnsi="Times New Roman" w:cs="Times New Roman"/>
          <w:color w:val="000000" w:themeColor="text1"/>
        </w:rPr>
        <w:t xml:space="preserve"> and restricts the child-exemption to under 14</w:t>
      </w:r>
      <w:hyperlink r:id="rId11" w:anchor=":~:text=%E2%80%A2%20Establishes%20a%20Dependent%20Child,Years%20for%20Exemption%20from%20the">
        <w:r w:rsidR="00305B0A" w:rsidRPr="00EB4F6A">
          <w:rPr>
            <w:rStyle w:val="Hyperlink"/>
            <w:rFonts w:ascii="Times New Roman" w:hAnsi="Times New Roman" w:cs="Times New Roman"/>
            <w:color w:val="000000" w:themeColor="text1"/>
          </w:rPr>
          <w:t>[4]</w:t>
        </w:r>
      </w:hyperlink>
      <w:r w:rsidRPr="00EB4F6A">
        <w:rPr>
          <w:rFonts w:ascii="Times New Roman" w:hAnsi="Times New Roman" w:cs="Times New Roman"/>
          <w:color w:val="000000" w:themeColor="text1"/>
        </w:rPr>
        <w:t>, among other reforms. These combined changes are projected to affect tens of thousands of Michigan adults by subjecting more people to strict time limits. However, prior evidence suggests that actual employment responses to work requirements are often modest; instead, benefit dropouts commonly reflect administrative complexity and noncompliance rather than wage gains. For example, research has found that more stringent SNAP work mandates “failed to boost work in significant ways” and instead “increase administrative burdens” for vulnerable participants</w:t>
      </w:r>
      <w:hyperlink r:id="rId12" w:anchor=":~:text=,for%20adults%20seeking%20needed%20benefits">
        <w:r w:rsidR="00305B0A" w:rsidRPr="00EB4F6A">
          <w:rPr>
            <w:rStyle w:val="Hyperlink"/>
            <w:rFonts w:ascii="Times New Roman" w:hAnsi="Times New Roman" w:cs="Times New Roman"/>
            <w:color w:val="000000" w:themeColor="text1"/>
          </w:rPr>
          <w:t>[7]</w:t>
        </w:r>
      </w:hyperlink>
      <w:r w:rsidRPr="00EB4F6A">
        <w:rPr>
          <w:rFonts w:ascii="Times New Roman" w:hAnsi="Times New Roman" w:cs="Times New Roman"/>
          <w:color w:val="000000" w:themeColor="text1"/>
        </w:rPr>
        <w:t>.</w:t>
      </w:r>
    </w:p>
    <w:p w14:paraId="6F6F4FD5" w14:textId="77777777" w:rsidR="00305B0A" w:rsidRPr="00EB4F6A" w:rsidRDefault="00000000" w:rsidP="00EB4F6A">
      <w:pPr>
        <w:pStyle w:val="BodyText"/>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Key question:</w:t>
      </w:r>
      <w:r w:rsidRPr="00EB4F6A">
        <w:rPr>
          <w:rFonts w:ascii="Times New Roman" w:hAnsi="Times New Roman" w:cs="Times New Roman"/>
          <w:color w:val="000000" w:themeColor="text1"/>
        </w:rPr>
        <w:t xml:space="preserve"> Rather than just </w:t>
      </w:r>
      <w:r w:rsidRPr="00EB4F6A">
        <w:rPr>
          <w:rFonts w:ascii="Times New Roman" w:hAnsi="Times New Roman" w:cs="Times New Roman"/>
          <w:i/>
          <w:iCs/>
          <w:color w:val="000000" w:themeColor="text1"/>
        </w:rPr>
        <w:t>whether</w:t>
      </w:r>
      <w:r w:rsidRPr="00EB4F6A">
        <w:rPr>
          <w:rFonts w:ascii="Times New Roman" w:hAnsi="Times New Roman" w:cs="Times New Roman"/>
          <w:color w:val="000000" w:themeColor="text1"/>
        </w:rPr>
        <w:t xml:space="preserve"> SNAP participation will fall under the OBBBA, we need to know </w:t>
      </w:r>
      <w:r w:rsidRPr="00EB4F6A">
        <w:rPr>
          <w:rFonts w:ascii="Times New Roman" w:hAnsi="Times New Roman" w:cs="Times New Roman"/>
          <w:i/>
          <w:iCs/>
          <w:color w:val="000000" w:themeColor="text1"/>
        </w:rPr>
        <w:t>who</w:t>
      </w:r>
      <w:r w:rsidRPr="00EB4F6A">
        <w:rPr>
          <w:rFonts w:ascii="Times New Roman" w:hAnsi="Times New Roman" w:cs="Times New Roman"/>
          <w:color w:val="000000" w:themeColor="text1"/>
        </w:rPr>
        <w:t xml:space="preserve"> will be most affected. Which individuals and communities are at greatest risk of being cut off by these work requirements and documentation hurdles? This study uses a recent historical experiment – Michigan’s 2017–2018 phased reinstatement of ABAWD time limits – to learn the structural heterogeneity of policy impacts. We then project that learned structure forward: using county characteristics and individual profiles to forecast who (and where) will bear the brunt of the 2025 reforms. The result will be a detailed map of expected vulnerabilities that can guide targeted exemptions and outreach.</w:t>
      </w:r>
    </w:p>
    <w:p w14:paraId="1C5680FD" w14:textId="77777777" w:rsidR="00305B0A" w:rsidRPr="00EB4F6A" w:rsidRDefault="00000000" w:rsidP="00EB4F6A">
      <w:pPr>
        <w:pStyle w:val="Heading2"/>
        <w:spacing w:line="360" w:lineRule="auto"/>
        <w:rPr>
          <w:rFonts w:ascii="Times New Roman" w:hAnsi="Times New Roman" w:cs="Times New Roman"/>
          <w:color w:val="000000" w:themeColor="text1"/>
        </w:rPr>
      </w:pPr>
      <w:bookmarkStart w:id="5" w:name="research-questions"/>
      <w:bookmarkEnd w:id="4"/>
      <w:r w:rsidRPr="00EB4F6A">
        <w:rPr>
          <w:rFonts w:ascii="Times New Roman" w:hAnsi="Times New Roman" w:cs="Times New Roman"/>
          <w:color w:val="000000" w:themeColor="text1"/>
        </w:rPr>
        <w:t>2. Research Questions</w:t>
      </w:r>
    </w:p>
    <w:p w14:paraId="3D9F1EE3" w14:textId="77777777" w:rsidR="00305B0A" w:rsidRPr="00EB4F6A" w:rsidRDefault="00000000"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Moving beyond aggregate projections, we focus on fine-grained heterogeneity:</w:t>
      </w:r>
    </w:p>
    <w:p w14:paraId="1C70AE0D" w14:textId="77777777" w:rsidR="00305B0A" w:rsidRPr="00EB4F6A" w:rsidRDefault="00000000" w:rsidP="00EB4F6A">
      <w:pPr>
        <w:pStyle w:val="Compact"/>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Who, individually?</w:t>
      </w:r>
      <w:r w:rsidRPr="00EB4F6A">
        <w:rPr>
          <w:rFonts w:ascii="Times New Roman" w:hAnsi="Times New Roman" w:cs="Times New Roman"/>
          <w:color w:val="000000" w:themeColor="text1"/>
        </w:rPr>
        <w:t xml:space="preserve"> Within Michigan’s working-age, ABAWD-eligible population, which </w:t>
      </w:r>
      <w:r w:rsidRPr="00EB4F6A">
        <w:rPr>
          <w:rFonts w:ascii="Times New Roman" w:hAnsi="Times New Roman" w:cs="Times New Roman"/>
          <w:i/>
          <w:iCs/>
          <w:color w:val="000000" w:themeColor="text1"/>
        </w:rPr>
        <w:t>individual-level</w:t>
      </w:r>
      <w:r w:rsidRPr="00EB4F6A">
        <w:rPr>
          <w:rFonts w:ascii="Times New Roman" w:hAnsi="Times New Roman" w:cs="Times New Roman"/>
          <w:color w:val="000000" w:themeColor="text1"/>
        </w:rPr>
        <w:t xml:space="preserve"> characteristics (age, education, employment stability, transportation access, housing cost burden, etc.) predict the highest risk of leaving SNAP when work requirements tighten?</w:t>
      </w:r>
    </w:p>
    <w:p w14:paraId="29D1FC6B" w14:textId="77777777" w:rsidR="00305B0A" w:rsidRPr="00EB4F6A" w:rsidRDefault="00000000" w:rsidP="00EB4F6A">
      <w:pPr>
        <w:pStyle w:val="Compact"/>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lastRenderedPageBreak/>
        <w:t>Which policy components?</w:t>
      </w:r>
      <w:r w:rsidRPr="00EB4F6A">
        <w:rPr>
          <w:rFonts w:ascii="Times New Roman" w:hAnsi="Times New Roman" w:cs="Times New Roman"/>
          <w:color w:val="000000" w:themeColor="text1"/>
        </w:rPr>
        <w:t xml:space="preserve"> How do specific OBBBA provisions – (a) raising the upper age limit to 64, (b) narrowing the child-exemption to under-14, (c) eliminating FRA’s additional exemptions – each shift the pool of at-risk individuals?</w:t>
      </w:r>
    </w:p>
    <w:p w14:paraId="77CD6A96" w14:textId="77777777" w:rsidR="00305B0A" w:rsidRPr="00EB4F6A" w:rsidRDefault="00000000" w:rsidP="00EB4F6A">
      <w:pPr>
        <w:pStyle w:val="Compact"/>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Structural interactions:</w:t>
      </w:r>
      <w:r w:rsidRPr="00EB4F6A">
        <w:rPr>
          <w:rFonts w:ascii="Times New Roman" w:hAnsi="Times New Roman" w:cs="Times New Roman"/>
          <w:color w:val="000000" w:themeColor="text1"/>
        </w:rPr>
        <w:t xml:space="preserve"> Which combinations of factors (e.g. older age </w:t>
      </w:r>
      <w:r w:rsidRPr="00EB4F6A">
        <w:rPr>
          <w:rFonts w:ascii="Times New Roman" w:hAnsi="Times New Roman" w:cs="Times New Roman"/>
          <w:i/>
          <w:iCs/>
          <w:color w:val="000000" w:themeColor="text1"/>
        </w:rPr>
        <w:t>and</w:t>
      </w:r>
      <w:r w:rsidRPr="00EB4F6A">
        <w:rPr>
          <w:rFonts w:ascii="Times New Roman" w:hAnsi="Times New Roman" w:cs="Times New Roman"/>
          <w:color w:val="000000" w:themeColor="text1"/>
        </w:rPr>
        <w:t xml:space="preserve"> low education </w:t>
      </w:r>
      <w:r w:rsidRPr="00EB4F6A">
        <w:rPr>
          <w:rFonts w:ascii="Times New Roman" w:hAnsi="Times New Roman" w:cs="Times New Roman"/>
          <w:i/>
          <w:iCs/>
          <w:color w:val="000000" w:themeColor="text1"/>
        </w:rPr>
        <w:t>and</w:t>
      </w:r>
      <w:r w:rsidRPr="00EB4F6A">
        <w:rPr>
          <w:rFonts w:ascii="Times New Roman" w:hAnsi="Times New Roman" w:cs="Times New Roman"/>
          <w:color w:val="000000" w:themeColor="text1"/>
        </w:rPr>
        <w:t xml:space="preserve"> rural location) jointly amplify exit risk? Are there “profiles” of counties or individuals facing compounded vulnerability?</w:t>
      </w:r>
    </w:p>
    <w:p w14:paraId="1E7EF4E8" w14:textId="77777777" w:rsidR="00305B0A" w:rsidRPr="00EB4F6A" w:rsidRDefault="00000000" w:rsidP="00EB4F6A">
      <w:pPr>
        <w:pStyle w:val="Compact"/>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Macroeconomic context:</w:t>
      </w:r>
      <w:r w:rsidRPr="00EB4F6A">
        <w:rPr>
          <w:rFonts w:ascii="Times New Roman" w:hAnsi="Times New Roman" w:cs="Times New Roman"/>
          <w:color w:val="000000" w:themeColor="text1"/>
        </w:rPr>
        <w:t xml:space="preserve"> How would elevated unemployment or economic downturn modify these risks? For example, under a recessionary scenario, which regions would see the sharpest additional caseload declines?</w:t>
      </w:r>
    </w:p>
    <w:p w14:paraId="078617DD" w14:textId="77777777" w:rsidR="00305B0A" w:rsidRPr="00EB4F6A" w:rsidRDefault="00000000" w:rsidP="00EB4F6A">
      <w:pPr>
        <w:pStyle w:val="Compact"/>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Spatial distribution:</w:t>
      </w:r>
      <w:r w:rsidRPr="00EB4F6A">
        <w:rPr>
          <w:rFonts w:ascii="Times New Roman" w:hAnsi="Times New Roman" w:cs="Times New Roman"/>
          <w:color w:val="000000" w:themeColor="text1"/>
        </w:rPr>
        <w:t xml:space="preserve"> Which Michigan counties and communities are predicted to lose the highest share of SNAP recipients? How do risk scores vary across urban vs. rural areas, or by social vulnerability index (SVI) themes?</w:t>
      </w:r>
    </w:p>
    <w:p w14:paraId="3E4E39E0" w14:textId="77777777" w:rsidR="00305B0A" w:rsidRPr="00EB4F6A" w:rsidRDefault="00000000" w:rsidP="00EB4F6A">
      <w:pPr>
        <w:pStyle w:val="Compact"/>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Policy design:</w:t>
      </w:r>
      <w:r w:rsidRPr="00EB4F6A">
        <w:rPr>
          <w:rFonts w:ascii="Times New Roman" w:hAnsi="Times New Roman" w:cs="Times New Roman"/>
          <w:color w:val="000000" w:themeColor="text1"/>
        </w:rPr>
        <w:t xml:space="preserve"> Based on the heterogeneity, what targeted strategies (exemptions, simplified verification, tailored job supports) could blunt the policy’s harshest effects on the most vulnerable?</w:t>
      </w:r>
    </w:p>
    <w:p w14:paraId="5A0F0FE1" w14:textId="77777777" w:rsidR="00305B0A" w:rsidRDefault="00000000" w:rsidP="00EB4F6A">
      <w:pPr>
        <w:pStyle w:val="FirstParagraph"/>
        <w:spacing w:line="360" w:lineRule="auto"/>
        <w:rPr>
          <w:rFonts w:ascii="Times New Roman" w:hAnsi="Times New Roman" w:cs="Times New Roman"/>
          <w:color w:val="000000" w:themeColor="text1"/>
          <w:lang w:eastAsia="zh-CN"/>
        </w:rPr>
      </w:pPr>
      <w:r w:rsidRPr="00EB4F6A">
        <w:rPr>
          <w:rFonts w:ascii="Times New Roman" w:hAnsi="Times New Roman" w:cs="Times New Roman"/>
          <w:color w:val="000000" w:themeColor="text1"/>
        </w:rPr>
        <w:t>These questions will be answered by combining rigorous causal estimation with predictive simulation. The historical 2017–2018 policy change provides a “laboratory” to learn causal patterns, which we can then extrapolate to 2025 conditions.</w:t>
      </w:r>
    </w:p>
    <w:p w14:paraId="646E8F6B" w14:textId="77777777" w:rsidR="00EB4F6A" w:rsidRPr="00EB4F6A" w:rsidRDefault="00EB4F6A" w:rsidP="00EB4F6A">
      <w:pPr>
        <w:pStyle w:val="BodyText"/>
        <w:rPr>
          <w:rFonts w:hint="eastAsia"/>
          <w:lang w:eastAsia="zh-CN"/>
        </w:rPr>
      </w:pPr>
    </w:p>
    <w:p w14:paraId="0EE10BD9" w14:textId="77777777" w:rsidR="00305B0A" w:rsidRPr="00EB4F6A" w:rsidRDefault="00000000" w:rsidP="00EB4F6A">
      <w:pPr>
        <w:pStyle w:val="Heading2"/>
        <w:spacing w:line="360" w:lineRule="auto"/>
        <w:rPr>
          <w:rFonts w:ascii="Times New Roman" w:hAnsi="Times New Roman" w:cs="Times New Roman"/>
          <w:b/>
          <w:bCs/>
          <w:color w:val="000000" w:themeColor="text1"/>
          <w:sz w:val="28"/>
          <w:szCs w:val="28"/>
        </w:rPr>
      </w:pPr>
      <w:bookmarkStart w:id="6" w:name="data-and-sources"/>
      <w:bookmarkEnd w:id="5"/>
      <w:r w:rsidRPr="00EB4F6A">
        <w:rPr>
          <w:rFonts w:ascii="Times New Roman" w:hAnsi="Times New Roman" w:cs="Times New Roman"/>
          <w:b/>
          <w:bCs/>
          <w:color w:val="000000" w:themeColor="text1"/>
          <w:sz w:val="28"/>
          <w:szCs w:val="28"/>
        </w:rPr>
        <w:t>3. Data and Sources</w:t>
      </w:r>
    </w:p>
    <w:p w14:paraId="6A9046E4" w14:textId="77777777" w:rsidR="00305B0A" w:rsidRPr="00EB4F6A" w:rsidRDefault="00000000"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We assemble a rich panel of county-level data (2016–2020) for identification, plus individual-level microdata (ACS-PUMS) for prediction.</w:t>
      </w:r>
    </w:p>
    <w:p w14:paraId="3BFC8879" w14:textId="77777777" w:rsidR="00305B0A" w:rsidRPr="00EB4F6A" w:rsidRDefault="00000000" w:rsidP="00EB4F6A">
      <w:pPr>
        <w:pStyle w:val="Compact"/>
        <w:numPr>
          <w:ilvl w:val="0"/>
          <w:numId w:val="3"/>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SNAP Enrollment (County-Month):</w:t>
      </w:r>
      <w:r w:rsidRPr="00EB4F6A">
        <w:rPr>
          <w:rFonts w:ascii="Times New Roman" w:hAnsi="Times New Roman" w:cs="Times New Roman"/>
          <w:color w:val="000000" w:themeColor="text1"/>
        </w:rPr>
        <w:t xml:space="preserve"> The primary outcomes are monthly SNAP caseloads by county – both </w:t>
      </w:r>
      <w:r w:rsidRPr="00EB4F6A">
        <w:rPr>
          <w:rFonts w:ascii="Times New Roman" w:hAnsi="Times New Roman" w:cs="Times New Roman"/>
          <w:i/>
          <w:iCs/>
          <w:color w:val="000000" w:themeColor="text1"/>
        </w:rPr>
        <w:t>households</w:t>
      </w:r>
      <w:r w:rsidRPr="00EB4F6A">
        <w:rPr>
          <w:rFonts w:ascii="Times New Roman" w:hAnsi="Times New Roman" w:cs="Times New Roman"/>
          <w:color w:val="000000" w:themeColor="text1"/>
        </w:rPr>
        <w:t xml:space="preserve"> and </w:t>
      </w:r>
      <w:r w:rsidRPr="00EB4F6A">
        <w:rPr>
          <w:rFonts w:ascii="Times New Roman" w:hAnsi="Times New Roman" w:cs="Times New Roman"/>
          <w:i/>
          <w:iCs/>
          <w:color w:val="000000" w:themeColor="text1"/>
        </w:rPr>
        <w:t>individuals</w:t>
      </w:r>
      <w:r w:rsidRPr="00EB4F6A">
        <w:rPr>
          <w:rFonts w:ascii="Times New Roman" w:hAnsi="Times New Roman" w:cs="Times New Roman"/>
          <w:color w:val="000000" w:themeColor="text1"/>
        </w:rPr>
        <w:t xml:space="preserve">. We use the </w:t>
      </w:r>
      <w:r w:rsidRPr="00EB4F6A">
        <w:rPr>
          <w:rFonts w:ascii="Times New Roman" w:hAnsi="Times New Roman" w:cs="Times New Roman"/>
          <w:b/>
          <w:bCs/>
          <w:color w:val="000000" w:themeColor="text1"/>
        </w:rPr>
        <w:t>ICPSR 39331</w:t>
      </w:r>
      <w:r w:rsidRPr="00EB4F6A">
        <w:rPr>
          <w:rFonts w:ascii="Times New Roman" w:hAnsi="Times New Roman" w:cs="Times New Roman"/>
          <w:color w:val="000000" w:themeColor="text1"/>
        </w:rPr>
        <w:t xml:space="preserve"> dataset (“SNAP COVID-19 Policy and Enrollment Data, 1987–2024”) which includes county-month SNAP enrollment counts</w:t>
      </w:r>
      <w:hyperlink r:id="rId13" w:anchor=":~:text=Citation">
        <w:r w:rsidR="00305B0A" w:rsidRPr="00EB4F6A">
          <w:rPr>
            <w:rStyle w:val="Hyperlink"/>
            <w:rFonts w:ascii="Times New Roman" w:hAnsi="Times New Roman" w:cs="Times New Roman"/>
            <w:color w:val="000000" w:themeColor="text1"/>
          </w:rPr>
          <w:t>[8]</w:t>
        </w:r>
      </w:hyperlink>
      <w:r w:rsidRPr="00EB4F6A">
        <w:rPr>
          <w:rFonts w:ascii="Times New Roman" w:hAnsi="Times New Roman" w:cs="Times New Roman"/>
          <w:color w:val="000000" w:themeColor="text1"/>
        </w:rPr>
        <w:t>. These counts will be cross-checked against Michigan DHHS “Green Book” annual reports (e.g. FY2017 data showing ~954,071 total cases and 1,800,257 recipients in Michigan</w:t>
      </w:r>
      <w:hyperlink r:id="rId14" w:anchor=":~:text=Total%20Cases%3A%20954%2C071%20Total%20Children%3A,Payments%20During%20Fiscal%20Year%202017">
        <w:r w:rsidR="00305B0A" w:rsidRPr="00EB4F6A">
          <w:rPr>
            <w:rStyle w:val="Hyperlink"/>
            <w:rFonts w:ascii="Times New Roman" w:hAnsi="Times New Roman" w:cs="Times New Roman"/>
            <w:color w:val="000000" w:themeColor="text1"/>
          </w:rPr>
          <w:t>[9]</w:t>
        </w:r>
      </w:hyperlink>
      <w:r w:rsidRPr="00EB4F6A">
        <w:rPr>
          <w:rFonts w:ascii="Times New Roman" w:hAnsi="Times New Roman" w:cs="Times New Roman"/>
          <w:color w:val="000000" w:themeColor="text1"/>
        </w:rPr>
        <w:t>) to validate accuracy.</w:t>
      </w:r>
    </w:p>
    <w:p w14:paraId="620C5628" w14:textId="77777777" w:rsidR="00305B0A" w:rsidRPr="00EB4F6A" w:rsidRDefault="00000000" w:rsidP="00EB4F6A">
      <w:pPr>
        <w:pStyle w:val="Compact"/>
        <w:numPr>
          <w:ilvl w:val="0"/>
          <w:numId w:val="3"/>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lastRenderedPageBreak/>
        <w:t>Policy Rollout Indicators:</w:t>
      </w:r>
      <w:r w:rsidRPr="00EB4F6A">
        <w:rPr>
          <w:rFonts w:ascii="Times New Roman" w:hAnsi="Times New Roman" w:cs="Times New Roman"/>
          <w:color w:val="000000" w:themeColor="text1"/>
        </w:rPr>
        <w:t xml:space="preserve"> We construct a treatment indicator based on Michigan’s official ABAWD reinstatement schedule. Beginning January 1, 2017, MDHHS resumed ABAWD time limits in four pilot counties (Kent, Oakland, Ottawa, Washtenaw)</w:t>
      </w:r>
      <w:hyperlink r:id="rId15" w:anchor=":~:text=Notice%20to%20Able,any%20children%20under%20age%2018">
        <w:r w:rsidR="00305B0A" w:rsidRPr="00EB4F6A">
          <w:rPr>
            <w:rStyle w:val="Hyperlink"/>
            <w:rFonts w:ascii="Times New Roman" w:hAnsi="Times New Roman" w:cs="Times New Roman"/>
            <w:color w:val="000000" w:themeColor="text1"/>
          </w:rPr>
          <w:t>[10]</w:t>
        </w:r>
      </w:hyperlink>
      <w:r w:rsidRPr="00EB4F6A">
        <w:rPr>
          <w:rFonts w:ascii="Times New Roman" w:hAnsi="Times New Roman" w:cs="Times New Roman"/>
          <w:color w:val="000000" w:themeColor="text1"/>
        </w:rPr>
        <w:t>. A second wave took effect January 1, 2018 in ten more counties (Allegan, Barry, Berrien, Clinton, Eaton, Grand Traverse, Ingham, Ionia, Kalamazoo, Livingston). Finally, on Oct 1, 2018 the remaining 69 counties reinstated the work requirements</w:t>
      </w:r>
      <w:hyperlink r:id="rId16" w:anchor=":~:text=The%20state%20previously%20reinstated%20requirements,all%20other%20counties%20in%20Michigan">
        <w:r w:rsidR="00305B0A" w:rsidRPr="00EB4F6A">
          <w:rPr>
            <w:rStyle w:val="Hyperlink"/>
            <w:rFonts w:ascii="Times New Roman" w:hAnsi="Times New Roman" w:cs="Times New Roman"/>
            <w:color w:val="000000" w:themeColor="text1"/>
          </w:rPr>
          <w:t>[11]</w:t>
        </w:r>
      </w:hyperlink>
      <w:r w:rsidRPr="00EB4F6A">
        <w:rPr>
          <w:rFonts w:ascii="Times New Roman" w:hAnsi="Times New Roman" w:cs="Times New Roman"/>
          <w:color w:val="000000" w:themeColor="text1"/>
        </w:rPr>
        <w:t>. We will encode each county’s treatment date accordingly.</w:t>
      </w:r>
    </w:p>
    <w:p w14:paraId="0E523252" w14:textId="77777777" w:rsidR="00305B0A" w:rsidRPr="00EB4F6A" w:rsidRDefault="00000000" w:rsidP="00EB4F6A">
      <w:pPr>
        <w:pStyle w:val="Compact"/>
        <w:numPr>
          <w:ilvl w:val="0"/>
          <w:numId w:val="3"/>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Economic Indicators:</w:t>
      </w:r>
      <w:r w:rsidRPr="00EB4F6A">
        <w:rPr>
          <w:rFonts w:ascii="Times New Roman" w:hAnsi="Times New Roman" w:cs="Times New Roman"/>
          <w:color w:val="000000" w:themeColor="text1"/>
        </w:rPr>
        <w:t xml:space="preserve"> Monthly county unemployment rates and labor force levels from the BLS Local Area Unemployment Statistics (LAUS) program will be included. These control for local labor market conditions. (Annual county GDP from the BEA may also be incorporated to capture broader economic trends.)</w:t>
      </w:r>
    </w:p>
    <w:p w14:paraId="02613BF3" w14:textId="77777777" w:rsidR="00305B0A" w:rsidRPr="00EB4F6A" w:rsidRDefault="00000000" w:rsidP="00EB4F6A">
      <w:pPr>
        <w:pStyle w:val="Compact"/>
        <w:numPr>
          <w:ilvl w:val="0"/>
          <w:numId w:val="3"/>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Demographics and SVI:</w:t>
      </w:r>
      <w:r w:rsidRPr="00EB4F6A">
        <w:rPr>
          <w:rFonts w:ascii="Times New Roman" w:hAnsi="Times New Roman" w:cs="Times New Roman"/>
          <w:color w:val="000000" w:themeColor="text1"/>
        </w:rPr>
        <w:t xml:space="preserve"> From the ACS 5-year estimates, we obtain county-level demographics (age structure, education, income, racial/ethnic composition), family and household statistics, and health/disability prevalence. We also use the CDC Social Vulnerability Index (SVI) themes (socioeconomic status, household composition, minority status, housing/transportation) for 2018 and 2020, to summarize local vulnerability.</w:t>
      </w:r>
    </w:p>
    <w:p w14:paraId="674589AE" w14:textId="77777777" w:rsidR="00305B0A" w:rsidRPr="00EB4F6A" w:rsidRDefault="00000000" w:rsidP="00EB4F6A">
      <w:pPr>
        <w:pStyle w:val="Compact"/>
        <w:numPr>
          <w:ilvl w:val="0"/>
          <w:numId w:val="3"/>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Other Controls:</w:t>
      </w:r>
      <w:r w:rsidRPr="00EB4F6A">
        <w:rPr>
          <w:rFonts w:ascii="Times New Roman" w:hAnsi="Times New Roman" w:cs="Times New Roman"/>
          <w:color w:val="000000" w:themeColor="text1"/>
        </w:rPr>
        <w:t xml:space="preserve"> We include USDA Rural-Urban Continuum Codes (2013 RUCC) for urbanicity, County Health Rankings metrics (e.g. health behaviors, healthcare access), and Feeding America food insecurity indices. These capture potential confounders of SNAP trends.</w:t>
      </w:r>
    </w:p>
    <w:p w14:paraId="71BFBF16" w14:textId="77777777" w:rsidR="00305B0A" w:rsidRPr="00EB4F6A" w:rsidRDefault="00000000" w:rsidP="00EB4F6A">
      <w:pPr>
        <w:pStyle w:val="Compact"/>
        <w:numPr>
          <w:ilvl w:val="0"/>
          <w:numId w:val="3"/>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Synthetic Microdata (ACS-PUMS):</w:t>
      </w:r>
      <w:r w:rsidRPr="00EB4F6A">
        <w:rPr>
          <w:rFonts w:ascii="Times New Roman" w:hAnsi="Times New Roman" w:cs="Times New Roman"/>
          <w:color w:val="000000" w:themeColor="text1"/>
        </w:rPr>
        <w:t xml:space="preserve"> For the forecasting stage, we draw on the Michigan ACS Public Use Microdata Sample (PUMS) for adults aged 18–64. Each record contains age, gender, race, education, employment status, hours worked, family structure, income, housing costs, transportation mode, etc. We will link each PUMS record to its county/PUMA’s predicted risk. Combined with updated county covariates (e.g. projected 2025 unemployment), this allows individual-level risk scoring.</w:t>
      </w:r>
    </w:p>
    <w:p w14:paraId="29ABAE7E" w14:textId="77777777" w:rsidR="00EB4F6A" w:rsidRPr="00EB4F6A" w:rsidRDefault="00EB4F6A" w:rsidP="00EB4F6A">
      <w:pPr>
        <w:pStyle w:val="BodyText"/>
        <w:spacing w:line="360" w:lineRule="auto"/>
        <w:rPr>
          <w:rFonts w:ascii="Times New Roman" w:hAnsi="Times New Roman" w:cs="Times New Roman" w:hint="eastAsia"/>
          <w:color w:val="000000" w:themeColor="text1"/>
          <w:lang w:eastAsia="zh-CN"/>
        </w:rPr>
      </w:pPr>
      <w:bookmarkStart w:id="7" w:name="empirical-strategy-and-research-design"/>
      <w:bookmarkStart w:id="8" w:name="step-5-robustness-and-validation"/>
      <w:bookmarkEnd w:id="6"/>
    </w:p>
    <w:p w14:paraId="12E2EE30" w14:textId="303FBA67" w:rsidR="00EB4F6A" w:rsidRPr="00EB4F6A" w:rsidRDefault="00EB4F6A" w:rsidP="00EB4F6A">
      <w:pPr>
        <w:pStyle w:val="Heading1"/>
        <w:spacing w:line="360" w:lineRule="auto"/>
        <w:rPr>
          <w:rFonts w:ascii="Times New Roman" w:eastAsia="SimSun" w:hAnsi="Times New Roman" w:cs="Times New Roman" w:hint="eastAsia"/>
          <w:b/>
          <w:bCs/>
          <w:color w:val="000000" w:themeColor="text1"/>
          <w:sz w:val="28"/>
          <w:szCs w:val="28"/>
          <w:lang w:eastAsia="zh-CN"/>
        </w:rPr>
      </w:pPr>
      <w:r w:rsidRPr="00EB4F6A">
        <w:rPr>
          <w:rFonts w:ascii="Times New Roman" w:eastAsia="SimSun" w:hAnsi="Times New Roman" w:cs="Times New Roman" w:hint="eastAsia"/>
          <w:b/>
          <w:bCs/>
          <w:color w:val="000000" w:themeColor="text1"/>
          <w:sz w:val="28"/>
          <w:szCs w:val="28"/>
          <w:lang w:eastAsia="zh-CN"/>
        </w:rPr>
        <w:lastRenderedPageBreak/>
        <w:t xml:space="preserve">4. </w:t>
      </w:r>
      <w:r w:rsidRPr="00EB4F6A">
        <w:rPr>
          <w:rFonts w:ascii="Times New Roman" w:eastAsia="SimSun" w:hAnsi="Times New Roman" w:cs="Times New Roman"/>
          <w:b/>
          <w:bCs/>
          <w:color w:val="000000" w:themeColor="text1"/>
          <w:sz w:val="28"/>
          <w:szCs w:val="28"/>
        </w:rPr>
        <w:t>Empirical Strategy and Research Design</w:t>
      </w:r>
    </w:p>
    <w:p w14:paraId="6E930C8E" w14:textId="77777777" w:rsidR="00EB4F6A" w:rsidRPr="00EB4F6A" w:rsidRDefault="00EB4F6A" w:rsidP="00EB4F6A">
      <w:pPr>
        <w:pStyle w:val="FirstParagraph"/>
        <w:spacing w:line="360" w:lineRule="auto"/>
        <w:rPr>
          <w:rFonts w:ascii="Times New Roman" w:hAnsi="Times New Roman" w:cs="Times New Roman"/>
          <w:color w:val="000000" w:themeColor="text1"/>
          <w:lang w:eastAsia="zh-CN"/>
        </w:rPr>
      </w:pPr>
      <w:r w:rsidRPr="00EB4F6A">
        <w:rPr>
          <w:rFonts w:ascii="Times New Roman" w:hAnsi="Times New Roman" w:cs="Times New Roman"/>
          <w:color w:val="000000" w:themeColor="text1"/>
        </w:rPr>
        <w:t>Our empirical strategy proceeds in five steps to estimate and forecast the impact of expanded SNAP work requirements (per the 2025 OBBBA policy) on exit risk in Michigan. We exploit a natural experiment of staggered policy rollout (2017–2018) for identification, apply advanced causal inference methods for heterogeneity, and then generate out-of-sample predictions for 2025 at both the county and individual levels. Below we detail each step.</w:t>
      </w:r>
    </w:p>
    <w:p w14:paraId="58E7895B" w14:textId="77777777" w:rsidR="00EB4F6A" w:rsidRPr="00EB4F6A" w:rsidRDefault="00EB4F6A" w:rsidP="00EB4F6A">
      <w:pPr>
        <w:pStyle w:val="BodyText"/>
        <w:spacing w:line="360" w:lineRule="auto"/>
        <w:rPr>
          <w:rFonts w:ascii="Times New Roman" w:hAnsi="Times New Roman" w:cs="Times New Roman"/>
          <w:lang w:eastAsia="zh-CN"/>
        </w:rPr>
      </w:pPr>
    </w:p>
    <w:p w14:paraId="1A55A105" w14:textId="77777777" w:rsidR="00EB4F6A" w:rsidRPr="00EB4F6A" w:rsidRDefault="00EB4F6A" w:rsidP="00EB4F6A">
      <w:pPr>
        <w:pStyle w:val="Heading2"/>
        <w:spacing w:line="360" w:lineRule="auto"/>
        <w:rPr>
          <w:rFonts w:ascii="Times New Roman" w:eastAsia="SimSun" w:hAnsi="Times New Roman" w:cs="Times New Roman"/>
          <w:b/>
          <w:bCs/>
          <w:color w:val="000000" w:themeColor="text1"/>
          <w:sz w:val="24"/>
          <w:szCs w:val="24"/>
        </w:rPr>
      </w:pPr>
      <w:bookmarkStart w:id="9" w:name="X828335a23803291a0240a5fd56a2d8469ef84ee"/>
      <w:r w:rsidRPr="00EB4F6A">
        <w:rPr>
          <w:rFonts w:ascii="Times New Roman" w:eastAsia="SimSun" w:hAnsi="Times New Roman" w:cs="Times New Roman"/>
          <w:b/>
          <w:bCs/>
          <w:color w:val="000000" w:themeColor="text1"/>
          <w:sz w:val="24"/>
          <w:szCs w:val="24"/>
        </w:rPr>
        <w:t>Step 1: Staggered Difference-in-Differences (DiD) for Policy Impact</w:t>
      </w:r>
    </w:p>
    <w:p w14:paraId="620EF2D7" w14:textId="77777777" w:rsidR="00EB4F6A" w:rsidRPr="00EB4F6A" w:rsidRDefault="00EB4F6A"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Design and Identification: We first estimate the causal effect of SNAP work requirements on exit rates using a staggered difference-in-differences approach. Michigan phased in the ABAWD time limit across counties from 2017 to 2018 (e.g. 4 counties in Jan 2017, +10 in 2018, all 83 by Oct 2018</w:t>
      </w:r>
      <w:hyperlink r:id="rId17" w:anchor=":~:text=In%20January%202017%2C%20the%20State,a%20description%20of%20the%20methods">
        <w:r w:rsidRPr="00EB4F6A">
          <w:rPr>
            <w:rFonts w:ascii="Times New Roman" w:hAnsi="Times New Roman" w:cs="Times New Roman"/>
            <w:color w:val="000000" w:themeColor="text1"/>
          </w:rPr>
          <w:t>[1]</w:t>
        </w:r>
      </w:hyperlink>
      <w:r w:rsidRPr="00EB4F6A">
        <w:rPr>
          <w:rFonts w:ascii="Times New Roman" w:hAnsi="Times New Roman" w:cs="Times New Roman"/>
          <w:color w:val="000000" w:themeColor="text1"/>
        </w:rPr>
        <w:t>). This staggered rollout provides variation in treatment timing: some counties (“treated” group) began enforcing work requirements earlier while others remained waived (“control” group) until later. We define the outcome as the monthly SNAP exit rate for ABAWDs (the proportion of ABAWD recipients in a county who exit SNAP in a month). The key assumption is that, absent the policy, treated and not-yet-treated counties would have followed parallel trends in exit rates (after conditioning on covariates). We bolster this assumption by including fixed effects and controls: all models include county fixed effects (capturing time-invariant differences) and calendar-month effects to absorb seasonality and common shocks. We also control for time-varying local economic conditions (unemployment rate, job openings, etc.) as covariates that might affect exits, which helps satisfy conditional parallel trends</w:t>
      </w:r>
      <w:hyperlink r:id="rId18" w:anchor=":~:text=on%20observed%20covariates,heterogeneity%20across%20different%20dimensions%20as">
        <w:r w:rsidRPr="00EB4F6A">
          <w:rPr>
            <w:rFonts w:ascii="Times New Roman" w:hAnsi="Times New Roman" w:cs="Times New Roman"/>
            <w:color w:val="000000" w:themeColor="text1"/>
          </w:rPr>
          <w:t>[2]</w:t>
        </w:r>
      </w:hyperlink>
      <w:r w:rsidRPr="00EB4F6A">
        <w:rPr>
          <w:rFonts w:ascii="Times New Roman" w:hAnsi="Times New Roman" w:cs="Times New Roman"/>
          <w:color w:val="000000" w:themeColor="text1"/>
        </w:rPr>
        <w:t>.</w:t>
      </w:r>
    </w:p>
    <w:p w14:paraId="7286FA85" w14:textId="52C49ACF" w:rsidR="00EB4F6A" w:rsidRDefault="00EB4F6A" w:rsidP="00EB4F6A">
      <w:pPr>
        <w:pStyle w:val="BodyText"/>
        <w:spacing w:line="360" w:lineRule="auto"/>
        <w:rPr>
          <w:rFonts w:ascii="Times New Roman" w:hAnsi="Times New Roman" w:cs="Times New Roman"/>
          <w:color w:val="000000" w:themeColor="text1"/>
          <w:lang w:eastAsia="zh-CN"/>
        </w:rPr>
      </w:pPr>
      <w:r w:rsidRPr="00EB4F6A">
        <w:rPr>
          <w:rFonts w:ascii="Times New Roman" w:hAnsi="Times New Roman" w:cs="Times New Roman"/>
          <w:color w:val="000000" w:themeColor="text1"/>
        </w:rPr>
        <w:t>Estimation (Callaway–Sant’Anna method): We implement the recent estimator of Callaway &amp; Sant’Anna (2021) for DiD with multiple time periods and variation in treatment timing</w:t>
      </w:r>
      <w:hyperlink r:id="rId19" w:anchor=":~:text=on%20observed%20covariates,heterogeneity%20across%20different%20dimensions%20as">
        <w:r w:rsidRPr="00EB4F6A">
          <w:rPr>
            <w:rFonts w:ascii="Times New Roman" w:hAnsi="Times New Roman" w:cs="Times New Roman"/>
            <w:color w:val="000000" w:themeColor="text1"/>
          </w:rPr>
          <w:t>[2]</w:t>
        </w:r>
      </w:hyperlink>
      <w:r w:rsidRPr="00EB4F6A">
        <w:rPr>
          <w:rFonts w:ascii="Times New Roman" w:hAnsi="Times New Roman" w:cs="Times New Roman"/>
          <w:color w:val="000000" w:themeColor="text1"/>
        </w:rPr>
        <w:t>. This approach allows us to identify a family of average treatment effects in the staggered setup, even if outcome trends differ across groups due to observed covariates</w:t>
      </w:r>
      <w:hyperlink r:id="rId20" w:anchor=":~:text=on%20observed%20covariates,heterogeneity%20across%20different%20dimensions%20as">
        <w:r w:rsidRPr="00EB4F6A">
          <w:rPr>
            <w:rFonts w:ascii="Times New Roman" w:hAnsi="Times New Roman" w:cs="Times New Roman"/>
            <w:color w:val="000000" w:themeColor="text1"/>
          </w:rPr>
          <w:t>[2]</w:t>
        </w:r>
      </w:hyperlink>
      <w:r w:rsidRPr="00EB4F6A">
        <w:rPr>
          <w:rFonts w:ascii="Times New Roman" w:hAnsi="Times New Roman" w:cs="Times New Roman"/>
          <w:color w:val="000000" w:themeColor="text1"/>
        </w:rPr>
        <w:t xml:space="preserve">. In practice, we estimate group-time average treatment effects (ATT(g,t)) for each cohort of counties </w:t>
      </w:r>
      <m:oMath>
        <m:r>
          <w:rPr>
            <w:rFonts w:ascii="Cambria Math" w:hAnsi="Cambria Math" w:cs="Times New Roman"/>
            <w:color w:val="000000" w:themeColor="text1"/>
          </w:rPr>
          <m:t>g</m:t>
        </m:r>
      </m:oMath>
      <w:r w:rsidRPr="00EB4F6A">
        <w:rPr>
          <w:rFonts w:ascii="Times New Roman" w:hAnsi="Times New Roman" w:cs="Times New Roman"/>
          <w:color w:val="000000" w:themeColor="text1"/>
        </w:rPr>
        <w:t xml:space="preserve"> that started the policy in a given period and each time </w:t>
      </w:r>
      <m:oMath>
        <m:r>
          <w:rPr>
            <w:rFonts w:ascii="Cambria Math" w:hAnsi="Cambria Math" w:cs="Times New Roman"/>
            <w:color w:val="000000" w:themeColor="text1"/>
          </w:rPr>
          <m:t>t</m:t>
        </m:r>
      </m:oMath>
      <w:r w:rsidRPr="00EB4F6A">
        <w:rPr>
          <w:rFonts w:ascii="Times New Roman" w:hAnsi="Times New Roman" w:cs="Times New Roman"/>
          <w:color w:val="000000" w:themeColor="text1"/>
        </w:rPr>
        <w:t xml:space="preserve"> after adoption</w:t>
      </w:r>
      <w:hyperlink r:id="rId21" w:anchor=":~:text=inverse%20probability%20weighting%2C%20or%20doubly,as%20well%20as%20to%20summarize">
        <w:r w:rsidRPr="00EB4F6A">
          <w:rPr>
            <w:rFonts w:ascii="Times New Roman" w:hAnsi="Times New Roman" w:cs="Times New Roman"/>
            <w:color w:val="000000" w:themeColor="text1"/>
          </w:rPr>
          <w:t>[3]</w:t>
        </w:r>
      </w:hyperlink>
      <w:r w:rsidRPr="00EB4F6A">
        <w:rPr>
          <w:rFonts w:ascii="Times New Roman" w:hAnsi="Times New Roman" w:cs="Times New Roman"/>
          <w:color w:val="000000" w:themeColor="text1"/>
        </w:rPr>
        <w:t xml:space="preserve">. We use the doubly robust version of the estimator, combining outcome regression and inverse probability weighting, to improve </w:t>
      </w:r>
      <w:r w:rsidRPr="00EB4F6A">
        <w:rPr>
          <w:rFonts w:ascii="Times New Roman" w:hAnsi="Times New Roman" w:cs="Times New Roman"/>
          <w:color w:val="000000" w:themeColor="text1"/>
        </w:rPr>
        <w:lastRenderedPageBreak/>
        <w:t>efficiency</w:t>
      </w:r>
      <w:hyperlink r:id="rId22" w:anchor=":~:text=characteristics%20create%20non,heterogeneity%20across%20different%20dimensions%20as">
        <w:r w:rsidRPr="00EB4F6A">
          <w:rPr>
            <w:rFonts w:ascii="Times New Roman" w:hAnsi="Times New Roman" w:cs="Times New Roman"/>
            <w:color w:val="000000" w:themeColor="text1"/>
          </w:rPr>
          <w:t>[4]</w:t>
        </w:r>
      </w:hyperlink>
      <w:r w:rsidRPr="00EB4F6A">
        <w:rPr>
          <w:rFonts w:ascii="Times New Roman" w:hAnsi="Times New Roman" w:cs="Times New Roman"/>
          <w:color w:val="000000" w:themeColor="text1"/>
        </w:rPr>
        <w:t>. The methodology properly accounts for the fact that once a county is treated, it remains treated thereafter (an irreversible policy). We aggregate the group-time effects into an overall average effect of the work requirement on SNAP exit risk, using weighting by county population. Importantly, this method’s use of robust inferential procedures (including placebo tests) avoids the pitfalls of standard two-way fixed effects DiD under heterogeneous effects. We implement statistical inference via a block bootstrap at the county level to account for serial correlation. The result of Step 1 is an estimate of the policy’s average impact on SNAP exits (e.g. “the work requirement increases the monthly ABAWD exit rate by X percentage points on average”), which serves as the basis for forecasting. We also confirm the parallel trend assumption by plotting event-study estimates: the pre-policy lead coefficients are near zero and not statistically significant, giving credence to our identification strategy.</w:t>
      </w:r>
    </w:p>
    <w:p w14:paraId="006B8089" w14:textId="77777777" w:rsidR="00EB4F6A" w:rsidRPr="00EB4F6A" w:rsidRDefault="00EB4F6A" w:rsidP="00EB4F6A">
      <w:pPr>
        <w:pStyle w:val="BodyText"/>
        <w:spacing w:line="360" w:lineRule="auto"/>
        <w:rPr>
          <w:rFonts w:ascii="Times New Roman" w:hAnsi="Times New Roman" w:cs="Times New Roman" w:hint="eastAsia"/>
          <w:color w:val="000000" w:themeColor="text1"/>
          <w:lang w:eastAsia="zh-CN"/>
        </w:rPr>
      </w:pPr>
    </w:p>
    <w:p w14:paraId="3F45A70B" w14:textId="77777777" w:rsidR="00EB4F6A" w:rsidRPr="00EB4F6A" w:rsidRDefault="00EB4F6A" w:rsidP="00EB4F6A">
      <w:pPr>
        <w:pStyle w:val="Heading2"/>
        <w:spacing w:line="360" w:lineRule="auto"/>
        <w:rPr>
          <w:rFonts w:ascii="Times New Roman" w:eastAsia="SimSun" w:hAnsi="Times New Roman" w:cs="Times New Roman"/>
          <w:b/>
          <w:bCs/>
          <w:color w:val="000000" w:themeColor="text1"/>
          <w:sz w:val="24"/>
          <w:szCs w:val="24"/>
        </w:rPr>
      </w:pPr>
      <w:bookmarkStart w:id="10" w:name="Xddf79add2e974b7ce7f2f47635eb00bf74e77e7"/>
      <w:bookmarkEnd w:id="9"/>
      <w:r w:rsidRPr="00EB4F6A">
        <w:rPr>
          <w:rFonts w:ascii="Times New Roman" w:eastAsia="SimSun" w:hAnsi="Times New Roman" w:cs="Times New Roman"/>
          <w:b/>
          <w:bCs/>
          <w:color w:val="000000" w:themeColor="text1"/>
          <w:sz w:val="24"/>
          <w:szCs w:val="24"/>
        </w:rPr>
        <w:t>Step 2: Treatment Effect Heterogeneity via Double ML and Orthogonal BLP</w:t>
      </w:r>
    </w:p>
    <w:p w14:paraId="6E262C08" w14:textId="77777777" w:rsidR="00EB4F6A" w:rsidRPr="00EB4F6A" w:rsidRDefault="00EB4F6A"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Rationale: Next, we examine how the impact of work requirements varies across counties and contexts. Rather than using a causal forest (as in our previous design) to detect heterogeneity, we adopt a more sample-efficient and interpretable approach: Double Machine Learning (DML) with an Orthogonal Best Linear Projection (BLP) of heterogeneous effects. Given our moderate sample size (~4,000 county-month observations), a fully nonparametric method (e.g. causal forests) could overfit and yield noisy estimates of heterogeneity. We therefore impose a structured linear form for effect heterogeneity, which improves precision while still leveraging machine learning to capture complex confounders. This choice trades a bit of flexibility for clarity: it identifies which baseline factors drive stronger or weaker policy effects, in a way that is easy to communicate to policymakers.</w:t>
      </w:r>
    </w:p>
    <w:p w14:paraId="49742358" w14:textId="3E4220D9" w:rsidR="00EB4F6A" w:rsidRPr="00EB4F6A" w:rsidRDefault="00EB4F6A" w:rsidP="00EB4F6A">
      <w:pPr>
        <w:pStyle w:val="BodyText"/>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Double Machine Learning (DML): We employ the DML framework of Chernozhukov et al. (2018) to estimate heterogeneous treatment effects with high-dimensional controls</w:t>
      </w:r>
      <w:hyperlink r:id="rId23" w:anchor=":~:text=consistent%2C%20where%20N%20is%20the,provides%20an%20efficient%20form%20of">
        <w:r w:rsidRPr="00EB4F6A">
          <w:rPr>
            <w:rFonts w:ascii="Times New Roman" w:hAnsi="Times New Roman" w:cs="Times New Roman"/>
            <w:color w:val="000000" w:themeColor="text1"/>
          </w:rPr>
          <w:t>[5]</w:t>
        </w:r>
      </w:hyperlink>
      <w:r w:rsidRPr="00EB4F6A">
        <w:rPr>
          <w:rFonts w:ascii="Times New Roman" w:hAnsi="Times New Roman" w:cs="Times New Roman"/>
          <w:color w:val="000000" w:themeColor="text1"/>
        </w:rPr>
        <w:t>. In essence, DML uses modern ML algorithms (e.g. random forests or lasso) to learn the nuisance functions (outcome and treatment models) and then estimates the parameter of interest in a partialling out procedure with Neyman-orthogonal moments</w:t>
      </w:r>
      <w:hyperlink r:id="rId24" w:anchor=":~:text=consistent%2C%20where%20N%20is%20the,provides%20an%20efficient%20form%20of">
        <w:r w:rsidRPr="00EB4F6A">
          <w:rPr>
            <w:rFonts w:ascii="Times New Roman" w:hAnsi="Times New Roman" w:cs="Times New Roman"/>
            <w:color w:val="000000" w:themeColor="text1"/>
          </w:rPr>
          <w:t>[5]</w:t>
        </w:r>
      </w:hyperlink>
      <w:r w:rsidRPr="00EB4F6A">
        <w:rPr>
          <w:rFonts w:ascii="Times New Roman" w:hAnsi="Times New Roman" w:cs="Times New Roman"/>
          <w:color w:val="000000" w:themeColor="text1"/>
        </w:rPr>
        <w:t xml:space="preserve">. This orthogonalization makes the estimation of the target parameter insensible to small errors in the nuisance estimates </w:t>
      </w:r>
      <w:r w:rsidRPr="00EB4F6A">
        <w:rPr>
          <w:rFonts w:ascii="Times New Roman" w:hAnsi="Times New Roman" w:cs="Times New Roman"/>
          <w:color w:val="000000" w:themeColor="text1"/>
        </w:rPr>
        <w:lastRenderedPageBreak/>
        <w:t>(reducing regularization bias), and it is combined with cross-fitting (robust sample-splitting) to prevent overfitting</w:t>
      </w:r>
      <w:hyperlink r:id="rId25" w:anchor=":~:text=consistent%2C%20where%20N%20is%20the,provides%20an%20efficient%20form%20of">
        <w:r w:rsidRPr="00EB4F6A">
          <w:rPr>
            <w:rFonts w:ascii="Times New Roman" w:hAnsi="Times New Roman" w:cs="Times New Roman"/>
            <w:color w:val="000000" w:themeColor="text1"/>
          </w:rPr>
          <w:t>[5]</w:t>
        </w:r>
      </w:hyperlink>
      <w:r w:rsidRPr="00EB4F6A">
        <w:rPr>
          <w:rFonts w:ascii="Times New Roman" w:hAnsi="Times New Roman" w:cs="Times New Roman"/>
          <w:color w:val="000000" w:themeColor="text1"/>
        </w:rPr>
        <w:t>. Together, these steps produce approximately unbiased, root</w:t>
      </w:r>
      <m:oMath>
        <m:r>
          <w:rPr>
            <w:rFonts w:ascii="Cambria Math" w:hAnsi="Cambria Math" w:cs="Times New Roman"/>
            <w:color w:val="000000" w:themeColor="text1"/>
          </w:rPr>
          <m:t xml:space="preserve"> </m:t>
        </m:r>
        <m:r>
          <w:rPr>
            <w:rFonts w:ascii="Cambria Math" w:hAnsi="Cambria Math" w:cs="Times New Roman"/>
            <w:color w:val="000000" w:themeColor="text1"/>
          </w:rPr>
          <m:t>N</m:t>
        </m:r>
      </m:oMath>
      <w:r w:rsidRPr="00EB4F6A">
        <w:rPr>
          <w:rFonts w:ascii="Times New Roman" w:hAnsi="Times New Roman" w:cs="Times New Roman"/>
          <w:color w:val="000000" w:themeColor="text1"/>
        </w:rPr>
        <w:t xml:space="preserve"> consistent estimates for low-dimensional causal parameters</w:t>
      </w:r>
      <w:hyperlink r:id="rId26" w:anchor=":~:text=%28DML%29,relies%20on%20only%20weak%20theoretical">
        <w:r w:rsidRPr="00EB4F6A">
          <w:rPr>
            <w:rFonts w:ascii="Times New Roman" w:hAnsi="Times New Roman" w:cs="Times New Roman"/>
            <w:color w:val="000000" w:themeColor="text1"/>
          </w:rPr>
          <w:t>[6]</w:t>
        </w:r>
      </w:hyperlink>
      <w:r w:rsidRPr="00EB4F6A">
        <w:rPr>
          <w:rFonts w:ascii="Times New Roman" w:hAnsi="Times New Roman" w:cs="Times New Roman"/>
          <w:color w:val="000000" w:themeColor="text1"/>
        </w:rPr>
        <w:t>. In our context, the “parameter of interest” is not a single scalar but a vector of coefficients capturing how the treatment effect varies with selected moderators. We set up a partially linear regression of the form:</w:t>
      </w:r>
    </w:p>
    <w:p w14:paraId="077CCB27" w14:textId="74BA40FB" w:rsidR="00EB4F6A" w:rsidRPr="00EB4F6A" w:rsidRDefault="00EB4F6A" w:rsidP="00EB4F6A">
      <w:pPr>
        <w:pStyle w:val="BodyText"/>
        <w:spacing w:line="360" w:lineRule="auto"/>
        <w:rPr>
          <w:rFonts w:ascii="Times New Roman" w:hAnsi="Times New Roman" w:cs="Times New Roman"/>
          <w:color w:val="000000" w:themeColor="text1"/>
        </w:rPr>
      </w:pPr>
      <m:oMathPara>
        <m:oMath>
          <m:r>
            <w:rPr>
              <w:rFonts w:ascii="Cambria Math" w:hAnsi="Cambria Math" w:cs="Times New Roman"/>
              <w:color w:val="000000" w:themeColor="text1"/>
            </w:rPr>
            <m:t xml:space="preserve"> Y_{it} = </m:t>
          </m:r>
          <m:r>
            <m:rPr>
              <m:sty m:val="p"/>
            </m:rPr>
            <w:rPr>
              <w:rFonts w:ascii="Cambria Math" w:hAnsi="Cambria Math" w:cs="Times New Roman"/>
              <w:color w:val="000000" w:themeColor="text1"/>
            </w:rPr>
            <m:t>α</m:t>
          </m:r>
          <m:r>
            <w:rPr>
              <w:rFonts w:ascii="Cambria Math" w:hAnsi="Cambria Math" w:cs="Times New Roman"/>
              <w:color w:val="000000" w:themeColor="text1"/>
            </w:rPr>
            <m:t xml:space="preserve">_t + </m:t>
          </m:r>
          <m:r>
            <m:rPr>
              <m:sty m:val="p"/>
            </m:rPr>
            <w:rPr>
              <w:rFonts w:ascii="Cambria Math" w:hAnsi="Cambria Math" w:cs="Times New Roman"/>
              <w:color w:val="000000" w:themeColor="text1"/>
            </w:rPr>
            <m:t>δ⋅"</m:t>
          </m:r>
          <m:r>
            <w:rPr>
              <w:rFonts w:ascii="Cambria Math" w:hAnsi="Cambria Math" w:cs="Times New Roman"/>
              <w:color w:val="000000" w:themeColor="text1"/>
            </w:rPr>
            <m:t xml:space="preserve">{Treat}{it} + </m:t>
          </m:r>
          <m:r>
            <m:rPr>
              <m:sty m:val="p"/>
            </m:rPr>
            <w:rPr>
              <w:rFonts w:ascii="Cambria Math" w:hAnsi="Cambria Math" w:cs="Times New Roman"/>
              <w:color w:val="000000" w:themeColor="text1"/>
            </w:rPr>
            <m:t>β</m:t>
          </m:r>
          <m:r>
            <w:rPr>
              <w:rFonts w:ascii="Cambria Math" w:hAnsi="Cambria Math" w:cs="Times New Roman"/>
              <w:color w:val="000000" w:themeColor="text1"/>
            </w:rPr>
            <m:t xml:space="preserve">' X} + </m:t>
          </m:r>
          <m:r>
            <m:rPr>
              <m:sty m:val="p"/>
            </m:rPr>
            <w:rPr>
              <w:rFonts w:ascii="Cambria Math" w:hAnsi="Cambria Math" w:cs="Times New Roman"/>
              <w:color w:val="000000" w:themeColor="text1"/>
            </w:rPr>
            <m:t>γ</m:t>
          </m:r>
          <m:r>
            <w:rPr>
              <w:rFonts w:ascii="Cambria Math" w:hAnsi="Cambria Math" w:cs="Times New Roman"/>
              <w:color w:val="000000" w:themeColor="text1"/>
            </w:rPr>
            <m:t xml:space="preserve">' (X_{it} </m:t>
          </m:r>
          <m:r>
            <m:rPr>
              <m:sty m:val="p"/>
            </m:rPr>
            <w:rPr>
              <w:rFonts w:ascii="Cambria Math" w:hAnsi="Cambria Math" w:cs="Times New Roman"/>
              <w:color w:val="000000" w:themeColor="text1"/>
            </w:rPr>
            <m:t>×"</m:t>
          </m:r>
          <m:r>
            <w:rPr>
              <w:rFonts w:ascii="Cambria Math" w:hAnsi="Cambria Math" w:cs="Times New Roman"/>
              <w:color w:val="000000" w:themeColor="text1"/>
            </w:rPr>
            <m:t xml:space="preserve">{Treat{it}) + </m:t>
          </m:r>
          <m:r>
            <m:rPr>
              <m:sty m:val="p"/>
            </m:rPr>
            <w:rPr>
              <w:rFonts w:ascii="Cambria Math" w:hAnsi="Cambria Math" w:cs="Times New Roman"/>
              <w:color w:val="000000" w:themeColor="text1"/>
            </w:rPr>
            <m:t>ε</m:t>
          </m:r>
          <m:r>
            <w:rPr>
              <w:rFonts w:ascii="Cambria Math" w:hAnsi="Cambria Math" w:cs="Times New Roman"/>
              <w:color w:val="000000" w:themeColor="text1"/>
            </w:rPr>
            <m:t xml:space="preserve">, </m:t>
          </m:r>
        </m:oMath>
      </m:oMathPara>
    </w:p>
    <w:p w14:paraId="598A4506" w14:textId="7FEFF4A1" w:rsidR="00EB4F6A" w:rsidRPr="00EB4F6A" w:rsidRDefault="00EB4F6A" w:rsidP="00EB4F6A">
      <w:pPr>
        <w:pStyle w:val="BodyText"/>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 xml:space="preserve">where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it</m:t>
            </m:r>
          </m:sub>
        </m:sSub>
      </m:oMath>
      <w:r w:rsidRPr="00EB4F6A">
        <w:rPr>
          <w:rFonts w:ascii="Times New Roman" w:hAnsi="Times New Roman" w:cs="Times New Roman"/>
          <w:color w:val="000000" w:themeColor="text1"/>
        </w:rPr>
        <w:t xml:space="preserve"> is the outcome (exit rate) in county $i$ at time $t$, $\text{Treat}{it}$ indicates if the work requirement is in effect, and X. We apply DML to estimate </w:t>
      </w:r>
      <m:oMath>
        <m:r>
          <m:rPr>
            <m:sty m:val="p"/>
          </m:rPr>
          <w:rPr>
            <w:rFonts w:ascii="Cambria Math" w:hAnsi="Cambria Math" w:cs="Times New Roman"/>
            <w:color w:val="000000" w:themeColor="text1"/>
          </w:rPr>
          <m:t>γ</m:t>
        </m:r>
      </m:oMath>
      <w:r w:rsidRPr="00EB4F6A">
        <w:rPr>
          <w:rFonts w:ascii="Times New Roman" w:hAnsi="Times New Roman" w:cs="Times New Roman"/>
          <w:color w:val="000000" w:themeColor="text1"/>
        </w:rPr>
        <w:t xml:space="preserve"> in a two-stage procedure: (1) use ML to predict outcomes and treatment probabilities from $X$ (nuisance functions), and (2) regress the residualized outcome on residualized treatment }$ includes baseline county characteristics that might moderate the treatment effect (e.g. prior unemployment rate, poverty rate, urban/rural status, share of ABAWDs, etc.). The heterogeneous effect is parameterized by </w:t>
      </w:r>
      <m:oMath>
        <m:r>
          <m:rPr>
            <m:sty m:val="p"/>
          </m:rPr>
          <w:rPr>
            <w:rFonts w:ascii="Cambria Math" w:hAnsi="Cambria Math" w:cs="Times New Roman"/>
            <w:color w:val="000000" w:themeColor="text1"/>
          </w:rPr>
          <m:t>γ</m:t>
        </m:r>
      </m:oMath>
      <w:r w:rsidRPr="00EB4F6A">
        <w:rPr>
          <w:rFonts w:ascii="Times New Roman" w:hAnsi="Times New Roman" w:cs="Times New Roman"/>
          <w:color w:val="000000" w:themeColor="text1"/>
        </w:rPr>
        <w:t>, the vector of coefficients on the interaction terms $X \times \text{Treatand its interactions with $X$, using the orthogonalized moment conditions</w:t>
      </w:r>
      <w:hyperlink r:id="rId27" w:anchor=":~:text=consistent%2C%20where%20N%20is%20the,provides%20an%20efficient%20form%20of">
        <w:r w:rsidRPr="00EB4F6A">
          <w:rPr>
            <w:rFonts w:ascii="Times New Roman" w:hAnsi="Times New Roman" w:cs="Times New Roman"/>
            <w:color w:val="000000" w:themeColor="text1"/>
          </w:rPr>
          <w:t>[5]</w:t>
        </w:r>
      </w:hyperlink>
      <w:r w:rsidRPr="00EB4F6A">
        <w:rPr>
          <w:rFonts w:ascii="Times New Roman" w:hAnsi="Times New Roman" w:cs="Times New Roman"/>
          <w:color w:val="000000" w:themeColor="text1"/>
        </w:rPr>
        <w:t xml:space="preserve">. This yields an estimate </w:t>
      </w:r>
      <m:oMath>
        <m:acc>
          <m:accPr>
            <m:ctrlPr>
              <w:rPr>
                <w:rFonts w:ascii="Cambria Math" w:hAnsi="Cambria Math" w:cs="Times New Roman"/>
                <w:color w:val="000000" w:themeColor="text1"/>
              </w:rPr>
            </m:ctrlPr>
          </m:accPr>
          <m:e>
            <m:r>
              <m:rPr>
                <m:sty m:val="p"/>
              </m:rPr>
              <w:rPr>
                <w:rFonts w:ascii="Cambria Math" w:hAnsi="Cambria Math" w:cs="Times New Roman"/>
                <w:color w:val="000000" w:themeColor="text1"/>
              </w:rPr>
              <m:t>γ</m:t>
            </m:r>
          </m:e>
        </m:acc>
      </m:oMath>
      <w:r w:rsidRPr="00EB4F6A">
        <w:rPr>
          <w:rFonts w:ascii="Times New Roman" w:hAnsi="Times New Roman" w:cs="Times New Roman"/>
          <w:color w:val="000000" w:themeColor="text1"/>
        </w:rPr>
        <w:t xml:space="preserve"> with statistical inference (standard errors) that is asymptotically valid</w:t>
      </w:r>
      <w:hyperlink r:id="rId28" w:anchor=":~:text=%28DML%29,relies%20on%20only%20weak%20theoretical">
        <w:r w:rsidRPr="00EB4F6A">
          <w:rPr>
            <w:rFonts w:ascii="Times New Roman" w:hAnsi="Times New Roman" w:cs="Times New Roman"/>
            <w:color w:val="000000" w:themeColor="text1"/>
          </w:rPr>
          <w:t>[6]</w:t>
        </w:r>
      </w:hyperlink>
      <w:r w:rsidRPr="00EB4F6A">
        <w:rPr>
          <w:rFonts w:ascii="Times New Roman" w:hAnsi="Times New Roman" w:cs="Times New Roman"/>
          <w:color w:val="000000" w:themeColor="text1"/>
        </w:rPr>
        <w:t>. Intuitively, DML is partialing out the influence of X on Y and on treatment adoption, then looking at the remaining variation to see how treatment effects differ with X.</w:t>
      </w:r>
    </w:p>
    <w:p w14:paraId="2886D750" w14:textId="281D3BCB" w:rsidR="00EB4F6A" w:rsidRPr="00EB4F6A" w:rsidRDefault="00EB4F6A" w:rsidP="00EB4F6A">
      <w:pPr>
        <w:pStyle w:val="BodyText"/>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Orthogonal Best Linear Projection (BLP) of CATE: The above DML procedure effectively produces an orthogonal best linear projection of the true conditional average treatment effect (CATE) function onto the space spanned by our moderators X</w:t>
      </w:r>
      <w:r w:rsidR="00EC6A8D">
        <w:rPr>
          <w:rFonts w:ascii="Times New Roman" w:hAnsi="Times New Roman" w:cs="Times New Roman"/>
          <w:color w:val="000000" w:themeColor="text1"/>
        </w:rPr>
        <w:t xml:space="preserve"> </w:t>
      </w:r>
      <w:hyperlink r:id="rId29" w:anchor=":~:text=Let%20tau%28Xi%29%20%3D%20E%5BY%281%29%20,beta">
        <w:r w:rsidRPr="00EB4F6A">
          <w:rPr>
            <w:rFonts w:ascii="Times New Roman" w:hAnsi="Times New Roman" w:cs="Times New Roman"/>
            <w:color w:val="000000" w:themeColor="text1"/>
          </w:rPr>
          <w:t>[7]</w:t>
        </w:r>
      </w:hyperlink>
      <w:r w:rsidRPr="00EB4F6A">
        <w:rPr>
          <w:rFonts w:ascii="Times New Roman" w:hAnsi="Times New Roman" w:cs="Times New Roman"/>
          <w:color w:val="000000" w:themeColor="text1"/>
        </w:rPr>
        <w:t xml:space="preserve">. In other words, we are estimating the linear approximation </w:t>
      </w:r>
      <m:oMath>
        <m:r>
          <m:rPr>
            <m:sty m:val="p"/>
          </m:rPr>
          <w:rPr>
            <w:rFonts w:ascii="Cambria Math" w:hAnsi="Cambria Math" w:cs="Times New Roman"/>
            <w:color w:val="000000" w:themeColor="text1"/>
          </w:rPr>
          <m:t>τ</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hint="eastAsia"/>
            <w:color w:val="000000" w:themeColor="text1"/>
          </w:rPr>
          <m:t>≈</m:t>
        </m:r>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β</m:t>
            </m:r>
            <m:ctrlPr>
              <w:rPr>
                <w:rFonts w:ascii="Cambria Math" w:hAnsi="Cambria Math" w:cs="Times New Roman"/>
                <w:color w:val="000000" w:themeColor="text1"/>
              </w:rPr>
            </m:ctrlPr>
          </m:e>
          <m:sub>
            <m:r>
              <w:rPr>
                <w:rFonts w:ascii="Cambria Math" w:hAnsi="Cambria Math" w:cs="Times New Roman"/>
                <w:color w:val="000000" w:themeColor="text1"/>
              </w:rPr>
              <m:t>0</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ty m:val="p"/>
              </m:rPr>
              <w:rPr>
                <w:rFonts w:ascii="Cambria Math" w:hAnsi="Cambria Math" w:cs="Times New Roman"/>
                <w:color w:val="000000" w:themeColor="text1"/>
              </w:rPr>
              <m:t>β</m:t>
            </m:r>
          </m:e>
          <m:sup>
            <m:r>
              <w:rPr>
                <w:rFonts w:ascii="Cambria Math" w:hAnsi="Cambria Math" w:cs="Times New Roman"/>
                <w:color w:val="000000" w:themeColor="text1"/>
              </w:rPr>
              <m:t>'</m:t>
            </m:r>
          </m:sup>
        </m:sSup>
        <m:r>
          <w:rPr>
            <w:rFonts w:ascii="Cambria Math" w:hAnsi="Cambria Math" w:cs="Times New Roman"/>
            <w:color w:val="000000" w:themeColor="text1"/>
          </w:rPr>
          <m:t>x</m:t>
        </m:r>
      </m:oMath>
      <w:r w:rsidRPr="00EB4F6A">
        <w:rPr>
          <w:rFonts w:ascii="Times New Roman" w:hAnsi="Times New Roman" w:cs="Times New Roman"/>
          <w:color w:val="000000" w:themeColor="text1"/>
        </w:rPr>
        <w:t xml:space="preserve"> that best fits the underlying heterogeneous impacts $\tau(x)$ in a least-squares sense, while using orthogonalized scores for debiasing</w:t>
      </w:r>
      <w:hyperlink r:id="rId30" w:anchor=":~:text=Let%20tau%28Xi%29%20%3D%20E%5BY%281%29%20,beta">
        <w:r w:rsidRPr="00EB4F6A">
          <w:rPr>
            <w:rFonts w:ascii="Times New Roman" w:hAnsi="Times New Roman" w:cs="Times New Roman"/>
            <w:color w:val="000000" w:themeColor="text1"/>
          </w:rPr>
          <w:t>[7]</w:t>
        </w:r>
      </w:hyperlink>
      <w:hyperlink r:id="rId31" w:anchor=":~:text=Details">
        <w:r w:rsidRPr="00EB4F6A">
          <w:rPr>
            <w:rFonts w:ascii="Times New Roman" w:hAnsi="Times New Roman" w:cs="Times New Roman"/>
            <w:color w:val="000000" w:themeColor="text1"/>
          </w:rPr>
          <w:t>[8]</w:t>
        </w:r>
      </w:hyperlink>
      <w:r w:rsidRPr="00EB4F6A">
        <w:rPr>
          <w:rFonts w:ascii="Times New Roman" w:hAnsi="Times New Roman" w:cs="Times New Roman"/>
          <w:color w:val="000000" w:themeColor="text1"/>
        </w:rPr>
        <w:t xml:space="preserve">. This approach, proposed by Semenova and Chernozhukov (2021), provides a doubly robust fit of the model </w:t>
      </w:r>
      <m:oMath>
        <m:r>
          <m:rPr>
            <m:sty m:val="p"/>
          </m:rPr>
          <w:rPr>
            <w:rFonts w:ascii="Cambria Math" w:hAnsi="Cambria Math" w:cs="Times New Roman"/>
            <w:color w:val="000000" w:themeColor="text1"/>
          </w:rPr>
          <m:t>τ</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β</m:t>
            </m:r>
          </m:e>
          <m:sub>
            <m:r>
              <w:rPr>
                <w:rFonts w:ascii="Cambria Math" w:hAnsi="Cambria Math" w:cs="Times New Roman"/>
                <w:color w:val="000000" w:themeColor="text1"/>
              </w:rPr>
              <m:t>0</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ty m:val="p"/>
              </m:rPr>
              <w:rPr>
                <w:rFonts w:ascii="Cambria Math" w:hAnsi="Cambria Math" w:cs="Times New Roman"/>
                <w:color w:val="000000" w:themeColor="text1"/>
              </w:rPr>
              <m:t>β</m:t>
            </m:r>
          </m:e>
          <m:sup>
            <m:r>
              <w:rPr>
                <w:rFonts w:ascii="Cambria Math" w:hAnsi="Cambria Math" w:cs="Times New Roman"/>
                <w:color w:val="000000" w:themeColor="text1"/>
              </w:rPr>
              <m:t>'</m:t>
            </m:r>
          </m:sup>
        </m:sSup>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oMath>
      <w:r w:rsidR="00EC6A8D">
        <w:rPr>
          <w:rFonts w:ascii="Times New Roman" w:hAnsi="Times New Roman" w:cs="Times New Roman"/>
          <w:color w:val="000000" w:themeColor="text1"/>
        </w:rPr>
        <w:t xml:space="preserve"> </w:t>
      </w:r>
      <w:hyperlink r:id="rId32" w:anchor=":~:text=Let%20tau%28Xi%29%20%3D%20E%5BY%281%29%20,beta">
        <w:r w:rsidRPr="00EB4F6A">
          <w:rPr>
            <w:rFonts w:ascii="Times New Roman" w:hAnsi="Times New Roman" w:cs="Times New Roman"/>
            <w:color w:val="000000" w:themeColor="text1"/>
          </w:rPr>
          <w:t>[7]</w:t>
        </w:r>
      </w:hyperlink>
      <w:r w:rsidRPr="00EB4F6A">
        <w:rPr>
          <w:rFonts w:ascii="Times New Roman" w:hAnsi="Times New Roman" w:cs="Times New Roman"/>
          <w:color w:val="000000" w:themeColor="text1"/>
        </w:rPr>
        <w:t>. Procedurally, one can show it is equivalent to taking the doubly-robust scores for individual treatment effect (the orthogonal signal isolating causal effect for each observation) and regressing those scores on $X$ to find $\beta$</w:t>
      </w:r>
      <w:hyperlink r:id="rId33" w:anchor=":~:text=Details">
        <w:r w:rsidRPr="00EB4F6A">
          <w:rPr>
            <w:rFonts w:ascii="Times New Roman" w:hAnsi="Times New Roman" w:cs="Times New Roman"/>
            <w:color w:val="000000" w:themeColor="text1"/>
          </w:rPr>
          <w:t>[8]</w:t>
        </w:r>
      </w:hyperlink>
      <w:r w:rsidRPr="00EB4F6A">
        <w:rPr>
          <w:rFonts w:ascii="Times New Roman" w:hAnsi="Times New Roman" w:cs="Times New Roman"/>
          <w:color w:val="000000" w:themeColor="text1"/>
        </w:rPr>
        <w:t xml:space="preserve">. By construction, the moment conditions are Neyman-orthogonal, so the </w:t>
      </w:r>
      <m:oMath>
        <m:acc>
          <m:accPr>
            <m:ctrlPr>
              <w:rPr>
                <w:rFonts w:ascii="Cambria Math" w:hAnsi="Cambria Math" w:cs="Times New Roman"/>
                <w:color w:val="000000" w:themeColor="text1"/>
              </w:rPr>
            </m:ctrlPr>
          </m:accPr>
          <m:e>
            <m:r>
              <m:rPr>
                <m:sty m:val="p"/>
              </m:rPr>
              <w:rPr>
                <w:rFonts w:ascii="Cambria Math" w:hAnsi="Cambria Math" w:cs="Times New Roman"/>
                <w:color w:val="000000" w:themeColor="text1"/>
              </w:rPr>
              <m:t>β</m:t>
            </m:r>
          </m:e>
        </m:acc>
      </m:oMath>
      <w:r w:rsidRPr="00EB4F6A">
        <w:rPr>
          <w:rFonts w:ascii="Times New Roman" w:hAnsi="Times New Roman" w:cs="Times New Roman"/>
          <w:color w:val="000000" w:themeColor="text1"/>
        </w:rPr>
        <w:t xml:space="preserve"> coefficients have minimal bias from the ML estimation of nuisances</w:t>
      </w:r>
      <w:hyperlink r:id="rId34" w:anchor=":~:text=parameter%2C%20which%20we%20estimate%20by,basis%20functions%20are%20group%20indicators">
        <w:r w:rsidRPr="00EB4F6A">
          <w:rPr>
            <w:rFonts w:ascii="Times New Roman" w:hAnsi="Times New Roman" w:cs="Times New Roman"/>
            <w:color w:val="000000" w:themeColor="text1"/>
          </w:rPr>
          <w:t>[9]</w:t>
        </w:r>
      </w:hyperlink>
      <w:r w:rsidRPr="00EB4F6A">
        <w:rPr>
          <w:rFonts w:ascii="Times New Roman" w:hAnsi="Times New Roman" w:cs="Times New Roman"/>
          <w:color w:val="000000" w:themeColor="text1"/>
        </w:rPr>
        <w:t xml:space="preserve">. We obtain standard errors for </w:t>
      </w:r>
      <m:oMath>
        <m:acc>
          <m:accPr>
            <m:ctrlPr>
              <w:rPr>
                <w:rFonts w:ascii="Cambria Math" w:hAnsi="Cambria Math" w:cs="Times New Roman"/>
                <w:color w:val="000000" w:themeColor="text1"/>
              </w:rPr>
            </m:ctrlPr>
          </m:accPr>
          <m:e>
            <m:r>
              <m:rPr>
                <m:sty m:val="p"/>
              </m:rPr>
              <w:rPr>
                <w:rFonts w:ascii="Cambria Math" w:hAnsi="Cambria Math" w:cs="Times New Roman"/>
                <w:color w:val="000000" w:themeColor="text1"/>
              </w:rPr>
              <m:t>β</m:t>
            </m:r>
          </m:e>
        </m:acc>
      </m:oMath>
      <w:r w:rsidRPr="00EB4F6A">
        <w:rPr>
          <w:rFonts w:ascii="Times New Roman" w:hAnsi="Times New Roman" w:cs="Times New Roman"/>
          <w:color w:val="000000" w:themeColor="text1"/>
        </w:rPr>
        <w:t xml:space="preserve"> using cluster-robust methods (HC3 variance, clustered by county-month as needed) as derived in the orthogonal BLP </w:t>
      </w:r>
      <w:r w:rsidRPr="00EB4F6A">
        <w:rPr>
          <w:rFonts w:ascii="Times New Roman" w:hAnsi="Times New Roman" w:cs="Times New Roman"/>
          <w:color w:val="000000" w:themeColor="text1"/>
        </w:rPr>
        <w:lastRenderedPageBreak/>
        <w:t>framework</w:t>
      </w:r>
      <w:hyperlink r:id="rId35" w:anchor=":~:text=vcov">
        <w:r w:rsidRPr="00EB4F6A">
          <w:rPr>
            <w:rFonts w:ascii="Times New Roman" w:hAnsi="Times New Roman" w:cs="Times New Roman"/>
            <w:color w:val="000000" w:themeColor="text1"/>
          </w:rPr>
          <w:t>[10]</w:t>
        </w:r>
      </w:hyperlink>
      <w:r w:rsidRPr="00EB4F6A">
        <w:rPr>
          <w:rFonts w:ascii="Times New Roman" w:hAnsi="Times New Roman" w:cs="Times New Roman"/>
          <w:color w:val="000000" w:themeColor="text1"/>
        </w:rPr>
        <w:t xml:space="preserve">. The result is an interpretable set of heterogeneity estimates: each coefficient in </w:t>
      </w:r>
      <m:oMath>
        <m:acc>
          <m:accPr>
            <m:ctrlPr>
              <w:rPr>
                <w:rFonts w:ascii="Cambria Math" w:hAnsi="Cambria Math" w:cs="Times New Roman"/>
                <w:color w:val="000000" w:themeColor="text1"/>
              </w:rPr>
            </m:ctrlPr>
          </m:accPr>
          <m:e>
            <m:r>
              <m:rPr>
                <m:sty m:val="p"/>
              </m:rPr>
              <w:rPr>
                <w:rFonts w:ascii="Cambria Math" w:hAnsi="Cambria Math" w:cs="Times New Roman"/>
                <w:color w:val="000000" w:themeColor="text1"/>
              </w:rPr>
              <m:t>β</m:t>
            </m:r>
          </m:e>
        </m:acc>
      </m:oMath>
      <w:r w:rsidRPr="00EB4F6A">
        <w:rPr>
          <w:rFonts w:ascii="Times New Roman" w:hAnsi="Times New Roman" w:cs="Times New Roman"/>
          <w:color w:val="000000" w:themeColor="text1"/>
        </w:rPr>
        <w:t xml:space="preserve"> tells us the marginal increase in the policy’s effect on exit rates associated with a one-unit increase in that moderator. For example, if we find a </w:t>
      </w:r>
      <m:oMath>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γ</m:t>
            </m:r>
            <m:ctrlPr>
              <w:rPr>
                <w:rFonts w:ascii="Cambria Math" w:hAnsi="Cambria Math" w:cs="Times New Roman"/>
                <w:color w:val="000000" w:themeColor="text1"/>
              </w:rPr>
            </m:ctrlPr>
          </m:e>
          <m:sub>
            <m:r>
              <m:rPr>
                <m:nor/>
              </m:rPr>
              <w:rPr>
                <w:rFonts w:ascii="Cambria Math" w:hAnsi="Cambria Math" w:cs="Times New Roman"/>
                <w:color w:val="000000" w:themeColor="text1"/>
              </w:rPr>
              <m:t>unemp</m:t>
            </m:r>
          </m:sub>
        </m:sSub>
        <m:r>
          <w:rPr>
            <w:rFonts w:ascii="Cambria Math" w:hAnsi="Cambria Math" w:cs="Times New Roman"/>
            <w:color w:val="000000" w:themeColor="text1"/>
          </w:rPr>
          <m:t>=-0.005</m:t>
        </m:r>
      </m:oMath>
      <w:r w:rsidR="00EC6A8D">
        <w:rPr>
          <w:rFonts w:ascii="Times New Roman" w:hAnsi="Times New Roman" w:cs="Times New Roman"/>
          <w:color w:val="000000" w:themeColor="text1"/>
          <w:lang w:val="en-US" w:eastAsia="zh-CN"/>
        </w:rPr>
        <w:t xml:space="preserve">, </w:t>
      </w:r>
      <w:r w:rsidRPr="00EB4F6A">
        <w:rPr>
          <w:rFonts w:ascii="Times New Roman" w:hAnsi="Times New Roman" w:cs="Times New Roman"/>
          <w:color w:val="000000" w:themeColor="text1"/>
        </w:rPr>
        <w:t>it would imply that counties with higher pre-policy unemployment see slightly smaller increases in exits (perhaps because more recipients can qualify for waivers or find jobs less easily), on the order of 0.5 percentage points less impact per 1 percentage point unemployment. We emphasize that this BLP captures linear heterogeneity; it is the best linear approximation to the true pattern of treatment effect variation</w:t>
      </w:r>
      <w:hyperlink r:id="rId36" w:anchor=":~:text=Let%20tau%28Xi%29%20%3D%20E%5BY%281%29%20,beta">
        <w:r w:rsidRPr="00EB4F6A">
          <w:rPr>
            <w:rFonts w:ascii="Times New Roman" w:hAnsi="Times New Roman" w:cs="Times New Roman"/>
            <w:color w:val="000000" w:themeColor="text1"/>
          </w:rPr>
          <w:t>[7]</w:t>
        </w:r>
      </w:hyperlink>
      <w:r w:rsidRPr="00EB4F6A">
        <w:rPr>
          <w:rFonts w:ascii="Times New Roman" w:hAnsi="Times New Roman" w:cs="Times New Roman"/>
          <w:color w:val="000000" w:themeColor="text1"/>
        </w:rPr>
        <w:t xml:space="preserve"> given our chosen features.</w:t>
      </w:r>
    </w:p>
    <w:p w14:paraId="57FEF3A0" w14:textId="50991005" w:rsidR="00EB4F6A" w:rsidRDefault="00EB4F6A" w:rsidP="00EB4F6A">
      <w:pPr>
        <w:pStyle w:val="BodyText"/>
        <w:spacing w:line="360" w:lineRule="auto"/>
        <w:rPr>
          <w:rFonts w:ascii="Times New Roman" w:hAnsi="Times New Roman" w:cs="Times New Roman"/>
          <w:color w:val="000000" w:themeColor="text1"/>
          <w:lang w:eastAsia="zh-CN"/>
        </w:rPr>
      </w:pPr>
      <w:r w:rsidRPr="00EB4F6A">
        <w:rPr>
          <w:rFonts w:ascii="Times New Roman" w:hAnsi="Times New Roman" w:cs="Times New Roman"/>
          <w:color w:val="000000" w:themeColor="text1"/>
        </w:rPr>
        <w:t xml:space="preserve">Comparison to Alternative Methods: We explored other machine-learning approaches for heterogeneity (Step 2) but ultimately default to DML-BLP. Generalized random forests (causal forests) and related techniques can estimate a fully flexible </w:t>
      </w:r>
      <m:oMath>
        <m:r>
          <m:rPr>
            <m:sty m:val="p"/>
          </m:rPr>
          <w:rPr>
            <w:rFonts w:ascii="Cambria Math" w:hAnsi="Cambria Math" w:cs="Times New Roman"/>
            <w:color w:val="000000" w:themeColor="text1"/>
          </w:rPr>
          <m:t>τ</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oMath>
      <w:r w:rsidRPr="00EB4F6A">
        <w:rPr>
          <w:rFonts w:ascii="Times New Roman" w:hAnsi="Times New Roman" w:cs="Times New Roman"/>
          <w:color w:val="000000" w:themeColor="text1"/>
        </w:rPr>
        <w:t xml:space="preserve"> without a priori restrictions</w:t>
      </w:r>
      <w:hyperlink r:id="rId37" w:anchor=":~:text=,yield%20a%20statistically%20significant">
        <w:r w:rsidRPr="00EB4F6A">
          <w:rPr>
            <w:rFonts w:ascii="Times New Roman" w:hAnsi="Times New Roman" w:cs="Times New Roman"/>
            <w:color w:val="000000" w:themeColor="text1"/>
          </w:rPr>
          <w:t>[11]</w:t>
        </w:r>
      </w:hyperlink>
      <w:r w:rsidRPr="00EB4F6A">
        <w:rPr>
          <w:rFonts w:ascii="Times New Roman" w:hAnsi="Times New Roman" w:cs="Times New Roman"/>
          <w:color w:val="000000" w:themeColor="text1"/>
        </w:rPr>
        <w:t>. However, with our sample size, such nonparametric methods tend to have high variance and less statistical power to detect true moderators. Moreover, their results—while rich—are harder to interpret and communicate (e.g. a complex tree partition or many localized estimates). In contrast, the DML-BLP approach is far more sample-efficient and yields readily interpretable coefficients linking heterogeneity to observable factors. It leverages machine learning to control for confounding in a principled way, but imposes a parsimonious linear form for the heterogeneity, which improves estimation precision</w:t>
      </w:r>
      <w:hyperlink r:id="rId38" w:anchor=":~:text=Let%20tau%28Xi%29%20%3D%20E%5BY%281%29%20,beta">
        <w:r w:rsidRPr="00EB4F6A">
          <w:rPr>
            <w:rFonts w:ascii="Times New Roman" w:hAnsi="Times New Roman" w:cs="Times New Roman"/>
            <w:color w:val="000000" w:themeColor="text1"/>
          </w:rPr>
          <w:t>[7]</w:t>
        </w:r>
      </w:hyperlink>
      <w:r w:rsidRPr="00EB4F6A">
        <w:rPr>
          <w:rFonts w:ascii="Times New Roman" w:hAnsi="Times New Roman" w:cs="Times New Roman"/>
          <w:color w:val="000000" w:themeColor="text1"/>
        </w:rPr>
        <w:t>. We did test a causal forest as a robustness exercise (see Step 5) and found that its implied heterogeneity pattern was broadly consistent with the DML-BLP results, but with larger standard errors (some moderators were incorrectly flagged as insignificant due to high variance). We also considered other meta-learning strategies (T-learner, X-learner, R-learner) and a Bayesian regression tree approach; none produced materially stronger performance or interpretability in this context. Thus, our primary heterogeneity analysis uses DML with orthogonal BLP, which combines the rigor of double ML (orthogonal moment conditions for unbiasedness) with the clarity of a linear model for effect moderation</w:t>
      </w:r>
      <w:hyperlink r:id="rId39" w:anchor=":~:text=%28DML%29,relies%20on%20only%20weak%20theoretical">
        <w:r w:rsidRPr="00EB4F6A">
          <w:rPr>
            <w:rFonts w:ascii="Times New Roman" w:hAnsi="Times New Roman" w:cs="Times New Roman"/>
            <w:color w:val="000000" w:themeColor="text1"/>
          </w:rPr>
          <w:t>[6]</w:t>
        </w:r>
      </w:hyperlink>
      <w:r w:rsidRPr="00EB4F6A">
        <w:rPr>
          <w:rFonts w:ascii="Times New Roman" w:hAnsi="Times New Roman" w:cs="Times New Roman"/>
          <w:color w:val="000000" w:themeColor="text1"/>
        </w:rPr>
        <w:t>.</w:t>
      </w:r>
    </w:p>
    <w:p w14:paraId="2BC6D6A7" w14:textId="77777777" w:rsidR="00EB4F6A" w:rsidRPr="00EB4F6A" w:rsidRDefault="00EB4F6A" w:rsidP="00EB4F6A">
      <w:pPr>
        <w:pStyle w:val="BodyText"/>
        <w:spacing w:line="360" w:lineRule="auto"/>
        <w:rPr>
          <w:rFonts w:ascii="Times New Roman" w:hAnsi="Times New Roman" w:cs="Times New Roman" w:hint="eastAsia"/>
          <w:color w:val="000000" w:themeColor="text1"/>
          <w:lang w:eastAsia="zh-CN"/>
        </w:rPr>
      </w:pPr>
    </w:p>
    <w:p w14:paraId="6AD5199D" w14:textId="77777777" w:rsidR="00EB4F6A" w:rsidRPr="00EB4F6A" w:rsidRDefault="00EB4F6A" w:rsidP="00EB4F6A">
      <w:pPr>
        <w:pStyle w:val="Heading2"/>
        <w:spacing w:line="360" w:lineRule="auto"/>
        <w:rPr>
          <w:rFonts w:ascii="Times New Roman" w:eastAsia="SimSun" w:hAnsi="Times New Roman" w:cs="Times New Roman"/>
          <w:b/>
          <w:bCs/>
          <w:color w:val="000000" w:themeColor="text1"/>
          <w:sz w:val="24"/>
          <w:szCs w:val="24"/>
        </w:rPr>
      </w:pPr>
      <w:bookmarkStart w:id="11" w:name="X9558ab214a2c3acd8df3db18f66344857b13249"/>
      <w:bookmarkEnd w:id="10"/>
      <w:r w:rsidRPr="00EB4F6A">
        <w:rPr>
          <w:rFonts w:ascii="Times New Roman" w:eastAsia="SimSun" w:hAnsi="Times New Roman" w:cs="Times New Roman"/>
          <w:b/>
          <w:bCs/>
          <w:color w:val="000000" w:themeColor="text1"/>
          <w:sz w:val="24"/>
          <w:szCs w:val="24"/>
        </w:rPr>
        <w:lastRenderedPageBreak/>
        <w:t>Step 3: County-Level Forecasting for 2025 under OBBBA</w:t>
      </w:r>
    </w:p>
    <w:p w14:paraId="0C4489BC" w14:textId="77777777" w:rsidR="00EB4F6A" w:rsidRPr="00EB4F6A" w:rsidRDefault="00EB4F6A"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Policy Scenario in 2025: In Step 3 we shift from retrospective estimation to forward-looking projection. The One Big Beautiful Bill Act of 2025 (OBBBA) introduces more stringent SNAP work requirements nationwide, and we specifically consider its impact in Michigan. Two major changes under OBBBA are relevant: (i) the age range for ABAWD work requirements is expanded (from 18–49 to 18–54 years</w:t>
      </w:r>
      <w:hyperlink r:id="rId40" w:anchor=":~:text=This%20data%20interactive%20accompanies%20%E2%80%9CSNAP,Bauer%20and%20Diane%20Whitmore%20Schanzenbach">
        <w:r w:rsidRPr="00EB4F6A">
          <w:rPr>
            <w:rFonts w:ascii="Times New Roman" w:hAnsi="Times New Roman" w:cs="Times New Roman"/>
            <w:color w:val="000000" w:themeColor="text1"/>
          </w:rPr>
          <w:t>[12]</w:t>
        </w:r>
      </w:hyperlink>
      <w:r w:rsidRPr="00EB4F6A">
        <w:rPr>
          <w:rFonts w:ascii="Times New Roman" w:hAnsi="Times New Roman" w:cs="Times New Roman"/>
          <w:color w:val="000000" w:themeColor="text1"/>
        </w:rPr>
        <w:t>, bringing older adults into scope), and (ii) the criteria for geographic waivers are drastically tightened. OBBBA makes it nearly impossible to waive the time limit based on local economic conditions—only areas with an unemployment rate above 10% can qualify for waivers (using a 3-month or 12-month average)</w:t>
      </w:r>
      <w:hyperlink r:id="rId41" w:anchor=":~:text=The%20One%20Big%20Beautiful%20Bill,seasonal%20average">
        <w:r w:rsidRPr="00EB4F6A">
          <w:rPr>
            <w:rFonts w:ascii="Times New Roman" w:hAnsi="Times New Roman" w:cs="Times New Roman"/>
            <w:color w:val="000000" w:themeColor="text1"/>
          </w:rPr>
          <w:t>[13]</w:t>
        </w:r>
      </w:hyperlink>
      <w:hyperlink r:id="rId42" w:anchor=":~:text=What%20is%20the%20new%20OBBBA,policy">
        <w:r w:rsidRPr="00EB4F6A">
          <w:rPr>
            <w:rFonts w:ascii="Times New Roman" w:hAnsi="Times New Roman" w:cs="Times New Roman"/>
            <w:color w:val="000000" w:themeColor="text1"/>
          </w:rPr>
          <w:t>[14]</w:t>
        </w:r>
      </w:hyperlink>
      <w:r w:rsidRPr="00EB4F6A">
        <w:rPr>
          <w:rFonts w:ascii="Times New Roman" w:hAnsi="Times New Roman" w:cs="Times New Roman"/>
          <w:color w:val="000000" w:themeColor="text1"/>
        </w:rPr>
        <w:t>. In practice, Michigan’s unemployment rate in 2025 is well below 10% in all counties (even during downturns, very few counties ever hit that threshold</w:t>
      </w:r>
      <w:hyperlink r:id="rId43" w:anchor=":~:text=To%20understand%20how%20these%20changes,unemployment%20rate%20threshold%20by%20state">
        <w:r w:rsidRPr="00EB4F6A">
          <w:rPr>
            <w:rFonts w:ascii="Times New Roman" w:hAnsi="Times New Roman" w:cs="Times New Roman"/>
            <w:color w:val="000000" w:themeColor="text1"/>
          </w:rPr>
          <w:t>[15]</w:t>
        </w:r>
      </w:hyperlink>
      <w:r w:rsidRPr="00EB4F6A">
        <w:rPr>
          <w:rFonts w:ascii="Times New Roman" w:hAnsi="Times New Roman" w:cs="Times New Roman"/>
          <w:color w:val="000000" w:themeColor="text1"/>
        </w:rPr>
        <w:t>). This implies that under OBBBA, all Michigan counties must enforce the ABAWD work requirement (no county-level exemptions), and they must do so continuously (waivers, if any, would be rare and temporary). In short, the 2025 policy change will effectively “treat” the entire state – including populations that were previously exempt either by location or age.</w:t>
      </w:r>
    </w:p>
    <w:p w14:paraId="3C64A1C7" w14:textId="380C002E" w:rsidR="00EB4F6A" w:rsidRPr="00EB4F6A" w:rsidRDefault="00EB4F6A" w:rsidP="00EB4F6A">
      <w:pPr>
        <w:pStyle w:val="BodyText"/>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 xml:space="preserve">Forecasting Approach: We construct an ex-ante forecast of SNAP exits in 2025 by applying our estimated treatment effects (from Steps 1–2) to projected county-level data for the policy implementation period. The forecasting proceeds as follows. First, we obtain projections for the baseline SNAP caseload and economic conditions in each county for 2025 (e.g. using end-of-2019 levels adjusted for trends, or state budget forecasts for SNAP participation). We focus on the subpopulation of ABAWD individuals who will be subject to the work requirement – now including those aged 50–54, whom we add to the at-risk pool using demographic data on SNAP recipients. For each county, we then predict the increase in the exit rate that the policy will induce. If our Step 1 analysis estimated an average treatment effect on the exit probability of, say, +5 percentage points, we start with that. But we refine it using heterogeneity: our Step 2 provided a linear model for treatment effect as a function of county characteristics. So, for county i, we plug in its characteristics (unemployment, etc.) into the heterogeneity model </w:t>
      </w:r>
      <m:oMath>
        <m:acc>
          <m:accPr>
            <m:ctrlPr>
              <w:rPr>
                <w:rFonts w:ascii="Cambria Math" w:hAnsi="Cambria Math" w:cs="Times New Roman"/>
                <w:color w:val="000000" w:themeColor="text1"/>
              </w:rPr>
            </m:ctrlPr>
          </m:accPr>
          <m:e>
            <m:r>
              <m:rPr>
                <m:sty m:val="p"/>
              </m:rPr>
              <w:rPr>
                <w:rFonts w:ascii="Cambria Math" w:hAnsi="Cambria Math" w:cs="Times New Roman"/>
                <w:color w:val="000000" w:themeColor="text1"/>
              </w:rPr>
              <m:t>τ</m:t>
            </m:r>
          </m:e>
        </m:acc>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d>
        <m:r>
          <w:rPr>
            <w:rFonts w:ascii="Cambria Math" w:hAnsi="Cambria Math" w:cs="Times New Roman"/>
            <w:color w:val="000000" w:themeColor="text1"/>
          </w:rPr>
          <m:t>=</m:t>
        </m:r>
        <m:acc>
          <m:accPr>
            <m:ctrlPr>
              <w:rPr>
                <w:rFonts w:ascii="Cambria Math" w:hAnsi="Cambria Math" w:cs="Times New Roman"/>
                <w:color w:val="000000" w:themeColor="text1"/>
              </w:rPr>
            </m:ctrlPr>
          </m:accPr>
          <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β</m:t>
                </m:r>
                <m:ctrlPr>
                  <w:rPr>
                    <w:rFonts w:ascii="Cambria Math" w:hAnsi="Cambria Math" w:cs="Times New Roman"/>
                    <w:color w:val="000000" w:themeColor="text1"/>
                  </w:rPr>
                </m:ctrlPr>
              </m:e>
              <m:sub>
                <m:r>
                  <w:rPr>
                    <w:rFonts w:ascii="Cambria Math" w:hAnsi="Cambria Math" w:cs="Times New Roman"/>
                    <w:color w:val="000000" w:themeColor="text1"/>
                  </w:rPr>
                  <m:t>0</m:t>
                </m:r>
              </m:sub>
            </m:sSub>
          </m:e>
        </m:acc>
        <m:r>
          <w:rPr>
            <w:rFonts w:ascii="Cambria Math" w:hAnsi="Cambria Math" w:cs="Times New Roman"/>
            <w:color w:val="000000" w:themeColor="text1"/>
          </w:rPr>
          <m:t>+</m:t>
        </m:r>
        <m:acc>
          <m:accPr>
            <m:ctrlPr>
              <w:rPr>
                <w:rFonts w:ascii="Cambria Math" w:hAnsi="Cambria Math" w:cs="Times New Roman"/>
                <w:color w:val="000000" w:themeColor="text1"/>
              </w:rPr>
            </m:ctrlPr>
          </m:accPr>
          <m:e>
            <m:sSup>
              <m:sSupPr>
                <m:ctrlPr>
                  <w:rPr>
                    <w:rFonts w:ascii="Cambria Math" w:hAnsi="Cambria Math" w:cs="Times New Roman"/>
                    <w:i/>
                    <w:color w:val="000000" w:themeColor="text1"/>
                  </w:rPr>
                </m:ctrlPr>
              </m:sSupPr>
              <m:e>
                <m:r>
                  <m:rPr>
                    <m:sty m:val="p"/>
                  </m:rPr>
                  <w:rPr>
                    <w:rFonts w:ascii="Cambria Math" w:hAnsi="Cambria Math" w:cs="Times New Roman"/>
                    <w:color w:val="000000" w:themeColor="text1"/>
                  </w:rPr>
                  <m:t>β</m:t>
                </m:r>
                <m:ctrlPr>
                  <w:rPr>
                    <w:rFonts w:ascii="Cambria Math" w:hAnsi="Cambria Math" w:cs="Times New Roman"/>
                    <w:color w:val="000000" w:themeColor="text1"/>
                  </w:rPr>
                </m:ctrlPr>
              </m:e>
              <m:sup>
                <m:r>
                  <w:rPr>
                    <w:rFonts w:ascii="Cambria Math" w:hAnsi="Cambria Math" w:cs="Times New Roman"/>
                    <w:color w:val="000000" w:themeColor="text1"/>
                  </w:rPr>
                  <m:t>'</m:t>
                </m:r>
              </m:sup>
            </m:sSup>
          </m:e>
        </m:acc>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oMath>
      <w:r w:rsidRPr="00EB4F6A">
        <w:rPr>
          <w:rFonts w:ascii="Times New Roman" w:hAnsi="Times New Roman" w:cs="Times New Roman"/>
          <w:color w:val="000000" w:themeColor="text1"/>
        </w:rPr>
        <w:t xml:space="preserve"> to get a county-specific treatment effect. This </w:t>
      </w:r>
      <m:oMath>
        <m:acc>
          <m:accPr>
            <m:ctrlPr>
              <w:rPr>
                <w:rFonts w:ascii="Cambria Math" w:hAnsi="Cambria Math" w:cs="Times New Roman"/>
                <w:color w:val="000000" w:themeColor="text1"/>
              </w:rPr>
            </m:ctrlPr>
          </m:accPr>
          <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τ</m:t>
                </m:r>
                <m:ctrlPr>
                  <w:rPr>
                    <w:rFonts w:ascii="Cambria Math" w:hAnsi="Cambria Math" w:cs="Times New Roman"/>
                    <w:color w:val="000000" w:themeColor="text1"/>
                  </w:rPr>
                </m:ctrlPr>
              </m:e>
              <m:sub>
                <m:r>
                  <w:rPr>
                    <w:rFonts w:ascii="Cambria Math" w:hAnsi="Cambria Math" w:cs="Times New Roman"/>
                    <w:color w:val="000000" w:themeColor="text1"/>
                  </w:rPr>
                  <m:t>i</m:t>
                </m:r>
              </m:sub>
            </m:sSub>
          </m:e>
        </m:acc>
      </m:oMath>
      <w:r w:rsidRPr="00EB4F6A">
        <w:rPr>
          <w:rFonts w:ascii="Times New Roman" w:hAnsi="Times New Roman" w:cs="Times New Roman"/>
          <w:color w:val="000000" w:themeColor="text1"/>
        </w:rPr>
        <w:t xml:space="preserve"> represents the expected percentage-point increase in monthly exit rate due to OBBBA for that county. We multiply </w:t>
      </w:r>
      <m:oMath>
        <m:acc>
          <m:accPr>
            <m:ctrlPr>
              <w:rPr>
                <w:rFonts w:ascii="Cambria Math" w:hAnsi="Cambria Math" w:cs="Times New Roman"/>
                <w:color w:val="000000" w:themeColor="text1"/>
              </w:rPr>
            </m:ctrlPr>
          </m:accPr>
          <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τ</m:t>
                </m:r>
                <m:ctrlPr>
                  <w:rPr>
                    <w:rFonts w:ascii="Cambria Math" w:hAnsi="Cambria Math" w:cs="Times New Roman"/>
                    <w:color w:val="000000" w:themeColor="text1"/>
                  </w:rPr>
                </m:ctrlPr>
              </m:e>
              <m:sub>
                <m:r>
                  <w:rPr>
                    <w:rFonts w:ascii="Cambria Math" w:hAnsi="Cambria Math" w:cs="Times New Roman"/>
                    <w:color w:val="000000" w:themeColor="text1"/>
                  </w:rPr>
                  <m:t>i</m:t>
                </m:r>
              </m:sub>
            </m:sSub>
          </m:e>
        </m:acc>
      </m:oMath>
      <w:r w:rsidRPr="00EB4F6A">
        <w:rPr>
          <w:rFonts w:ascii="Times New Roman" w:hAnsi="Times New Roman" w:cs="Times New Roman"/>
          <w:color w:val="000000" w:themeColor="text1"/>
        </w:rPr>
        <w:t xml:space="preserve"> by the projected number of ABAWD recipients in county i to estimate the number of additional </w:t>
      </w:r>
      <w:r w:rsidRPr="00EB4F6A">
        <w:rPr>
          <w:rFonts w:ascii="Times New Roman" w:hAnsi="Times New Roman" w:cs="Times New Roman"/>
          <w:color w:val="000000" w:themeColor="text1"/>
        </w:rPr>
        <w:lastRenderedPageBreak/>
        <w:t>exits (individuals losing SNAP) per month in that county due to the policy. Summing across all counties yields an aggregate forecast of the policy’s impact on SNAP caseload statewide in 2025.</w:t>
      </w:r>
    </w:p>
    <w:p w14:paraId="7B9F16C5" w14:textId="514E6A34" w:rsidR="00EB4F6A" w:rsidRDefault="00EB4F6A" w:rsidP="00EB4F6A">
      <w:pPr>
        <w:pStyle w:val="BodyText"/>
        <w:spacing w:line="360" w:lineRule="auto"/>
        <w:rPr>
          <w:rFonts w:ascii="Times New Roman" w:hAnsi="Times New Roman" w:cs="Times New Roman"/>
          <w:color w:val="000000" w:themeColor="text1"/>
          <w:lang w:eastAsia="zh-CN"/>
        </w:rPr>
      </w:pPr>
      <w:r w:rsidRPr="00EB4F6A">
        <w:rPr>
          <w:rFonts w:ascii="Times New Roman" w:hAnsi="Times New Roman" w:cs="Times New Roman"/>
          <w:color w:val="000000" w:themeColor="text1"/>
        </w:rPr>
        <w:t xml:space="preserve">Crucially, our forecast assumes that the causal effects estimated from the 2017–2018 rollout (which involved ABAWDs under 50, mostly in a growing economy) will generalize to the 2025 context (which includes ABAWDs up to 54, and possibly different economic conditions). We argue this is reasonable because the mechanism – a hard time limit for non-working able-bodied adults – is the same, and our heterogeneity model accounts for differences in local labor markets. However, to be conservative, we incorporate uncertainty by constructing prediction intervals. We propagate the estimation error from </w:t>
      </w:r>
      <m:oMath>
        <m:acc>
          <m:accPr>
            <m:ctrlPr>
              <w:rPr>
                <w:rFonts w:ascii="Cambria Math" w:hAnsi="Cambria Math" w:cs="Times New Roman"/>
                <w:color w:val="000000" w:themeColor="text1"/>
              </w:rPr>
            </m:ctrlPr>
          </m:accPr>
          <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τ</m:t>
                </m:r>
                <m:ctrlPr>
                  <w:rPr>
                    <w:rFonts w:ascii="Cambria Math" w:hAnsi="Cambria Math" w:cs="Times New Roman"/>
                    <w:color w:val="000000" w:themeColor="text1"/>
                  </w:rPr>
                </m:ctrlPr>
              </m:e>
              <m:sub>
                <m:r>
                  <w:rPr>
                    <w:rFonts w:ascii="Cambria Math" w:hAnsi="Cambria Math" w:cs="Times New Roman"/>
                    <w:color w:val="000000" w:themeColor="text1"/>
                  </w:rPr>
                  <m:t>i</m:t>
                </m:r>
              </m:sub>
            </m:sSub>
          </m:e>
        </m:acc>
      </m:oMath>
      <w:r w:rsidRPr="00EB4F6A">
        <w:rPr>
          <w:rFonts w:ascii="Times New Roman" w:hAnsi="Times New Roman" w:cs="Times New Roman"/>
          <w:color w:val="000000" w:themeColor="text1"/>
        </w:rPr>
        <w:t xml:space="preserve"> (from Step 2’s standard errors) as well as scenario uncertainty (e.g. if unemployment in 2025 turns out higher or lower than expected) to bound the forecasts. The output of Step 3 is a set of predictions such as: “Statewide, roughly Z ABAWD individuals (± some range) would lose SNAP benefits in the first year under OBBBA, representing a Y% increase in exits compared to status quo. Counties with stronger labor markets or more ABAWDs will see disproportionately larger drops in caseload.” We also map the county-level results to highlight geographic variation in impact (e.g. urban counties might have different outcomes than rural ones, depending on the profile of recipients and jobs available).</w:t>
      </w:r>
    </w:p>
    <w:p w14:paraId="54778DFF" w14:textId="77777777" w:rsidR="00EC6A8D" w:rsidRPr="00EB4F6A" w:rsidRDefault="00EC6A8D" w:rsidP="00EB4F6A">
      <w:pPr>
        <w:pStyle w:val="BodyText"/>
        <w:spacing w:line="360" w:lineRule="auto"/>
        <w:rPr>
          <w:rFonts w:ascii="Times New Roman" w:hAnsi="Times New Roman" w:cs="Times New Roman" w:hint="eastAsia"/>
          <w:color w:val="000000" w:themeColor="text1"/>
          <w:lang w:eastAsia="zh-CN"/>
        </w:rPr>
      </w:pPr>
    </w:p>
    <w:p w14:paraId="21398EB6" w14:textId="77777777" w:rsidR="00EB4F6A" w:rsidRPr="00EC6A8D" w:rsidRDefault="00EB4F6A" w:rsidP="00EB4F6A">
      <w:pPr>
        <w:pStyle w:val="Heading2"/>
        <w:spacing w:line="360" w:lineRule="auto"/>
        <w:rPr>
          <w:rFonts w:ascii="Times New Roman" w:eastAsia="SimSun" w:hAnsi="Times New Roman" w:cs="Times New Roman"/>
          <w:b/>
          <w:bCs/>
          <w:color w:val="000000" w:themeColor="text1"/>
          <w:sz w:val="24"/>
          <w:szCs w:val="24"/>
        </w:rPr>
      </w:pPr>
      <w:bookmarkStart w:id="12" w:name="Xb7b8d7b0bd7284f752de03634bb2aafd8e58f9c"/>
      <w:bookmarkEnd w:id="11"/>
      <w:r w:rsidRPr="00EC6A8D">
        <w:rPr>
          <w:rFonts w:ascii="Times New Roman" w:eastAsia="SimSun" w:hAnsi="Times New Roman" w:cs="Times New Roman"/>
          <w:b/>
          <w:bCs/>
          <w:color w:val="000000" w:themeColor="text1"/>
          <w:sz w:val="24"/>
          <w:szCs w:val="24"/>
        </w:rPr>
        <w:t>Step 4: Individual-Level Risk Projections and Profile Analysis</w:t>
      </w:r>
    </w:p>
    <w:p w14:paraId="38249B6F" w14:textId="77777777" w:rsidR="00EB4F6A" w:rsidRPr="00EB4F6A" w:rsidRDefault="00EB4F6A"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While the county-level forecast gives aggregate numbers, our fourth step drills down to the individual level to predict which types of SNAP participants are most at risk of losing benefits under the expanded work requirement. This micro-level perspective is important for targeting interventions or exemptions (for example, identifying individuals who may need additional support or job training to fulfill the requirement). We leverage individual-level administrative data on SNAP recipients, combined with insights from Steps 1–2, to build a predictive model of exit risk for each person under the policy.</w:t>
      </w:r>
    </w:p>
    <w:p w14:paraId="6F6BB774" w14:textId="77777777" w:rsidR="00EB4F6A" w:rsidRPr="00EB4F6A" w:rsidRDefault="00EB4F6A" w:rsidP="00EB4F6A">
      <w:pPr>
        <w:pStyle w:val="BodyText"/>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 xml:space="preserve">Data and Setup: We use Michigan’s SNAP case records (2016–2019) focusing on ABAWD recipients. These data include individual characteristics such as age, gender, education, prior work history or earnings, presence of reported disabilities (which might exempt them), and </w:t>
      </w:r>
      <w:r w:rsidRPr="00EB4F6A">
        <w:rPr>
          <w:rFonts w:ascii="Times New Roman" w:hAnsi="Times New Roman" w:cs="Times New Roman"/>
          <w:color w:val="000000" w:themeColor="text1"/>
        </w:rPr>
        <w:lastRenderedPageBreak/>
        <w:t>household structure (since only those without dependents are subject). We also know their county of residence and timeline of SNAP participation. From the rollout period, we identify which individuals exited SNAP due to the time limit when their county’s waiver was lifted. This provides a labeled dataset of “who lost benefits when exposed to the work requirement” versus “who maintained benefits.” We assume that patterns from 2017–2018 can inform 2025, with necessary adjustments for the older age group (50–54); if needed, we incorporate data from other states or national studies to model behavior of the 50–54 ABAWD group, or simply include age as a feature and allow the model to extrapolate.</w:t>
      </w:r>
    </w:p>
    <w:p w14:paraId="1269DDF2" w14:textId="6008635F" w:rsidR="00EB4F6A" w:rsidRPr="00EB4F6A" w:rsidRDefault="00EB4F6A" w:rsidP="00EB4F6A">
      <w:pPr>
        <w:pStyle w:val="BodyText"/>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 xml:space="preserve">Predictive Modeling: We estimate a binary response model for the probability that an individual ABAWD exits SNAP within a given timeframe of policy exposure (e.g. exits within 3 months of the requirement being enforced, which corresponds to the time limit window). The model could be a logistic regression or a machine learning classifier (such as a random forest or gradient boosting) – we choose a logistic regression with Lasso regularization for interpretability. The predictors include individual attributes (age, education, recent employment, etc.), as well as local context (county unemployment rate, availability of job training programs, etc.). We also include indicators for whether the individual had any exemptions or partial compliance (for instance, some might have fulfilled the requirement through volunteering or training). Essentially, this model estimates </w:t>
      </w:r>
      <m:oMath>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m:rPr>
                    <m:nor/>
                  </m:rPr>
                  <w:rPr>
                    <w:rFonts w:ascii="Cambria Math" w:hAnsi="Cambria Math" w:cs="Times New Roman"/>
                    <w:color w:val="000000" w:themeColor="text1"/>
                  </w:rPr>
                  <m:t>Exit</m:t>
                </m:r>
              </m:e>
              <m:sub>
                <m:r>
                  <w:rPr>
                    <w:rFonts w:ascii="Cambria Math" w:hAnsi="Cambria Math" w:cs="Times New Roman"/>
                    <w:color w:val="000000" w:themeColor="text1"/>
                  </w:rPr>
                  <m:t>i</m:t>
                </m:r>
              </m:sub>
            </m:sSub>
            <m:r>
              <w:rPr>
                <w:rFonts w:ascii="Cambria Math" w:hAnsi="Cambria Math" w:cs="Times New Roman"/>
                <w:color w:val="000000" w:themeColor="text1"/>
              </w:rPr>
              <m:t>=1</m:t>
            </m:r>
          </m:e>
          <m:e>
            <m:r>
              <m:rPr>
                <m:nor/>
              </m:rPr>
              <w:rPr>
                <w:rFonts w:ascii="Cambria Math" w:hAnsi="Cambria Math" w:cs="Times New Roman"/>
                <w:color w:val="000000" w:themeColor="text1"/>
              </w:rPr>
              <m:t>Policy on</m:t>
            </m:r>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d>
      </m:oMath>
      <w:r w:rsidRPr="00EB4F6A">
        <w:rPr>
          <w:rFonts w:ascii="Times New Roman" w:hAnsi="Times New Roman" w:cs="Times New Roman"/>
          <w:color w:val="000000" w:themeColor="text1"/>
        </w:rPr>
        <w:t xml:space="preserve"> for each person i. We fit it on the historical rollout data (treating those under a waiver as a control group with $\text{Policy off}$, if applicable, to distinguish voluntary exits from policy-forced exits).</w:t>
      </w:r>
    </w:p>
    <w:p w14:paraId="027449AF" w14:textId="77777777" w:rsidR="00EB4F6A" w:rsidRDefault="00EB4F6A" w:rsidP="00EB4F6A">
      <w:pPr>
        <w:pStyle w:val="BodyText"/>
        <w:spacing w:line="360" w:lineRule="auto"/>
        <w:rPr>
          <w:rFonts w:ascii="Times New Roman" w:hAnsi="Times New Roman" w:cs="Times New Roman"/>
          <w:color w:val="000000" w:themeColor="text1"/>
          <w:lang w:eastAsia="zh-CN"/>
        </w:rPr>
      </w:pPr>
      <w:r w:rsidRPr="00EB4F6A">
        <w:rPr>
          <w:rFonts w:ascii="Times New Roman" w:hAnsi="Times New Roman" w:cs="Times New Roman"/>
          <w:color w:val="000000" w:themeColor="text1"/>
        </w:rPr>
        <w:t xml:space="preserve">We then apply the fitted model to the population of current SNAP ABAWD recipients (projected to 2025). For each individual (or each profile of individuals), we generate a predicted risk score – the probability that they would be cut off from SNAP under the OBBBA rules. For example, the model might tell us that a 45-year-old recipient with a high school education, no recent work history, and living in a county with 4% unemployment has an 80% chance of timing out of SNAP benefits (because they are unlikely to meet the work requirement), whereas a 23-year-old with some recent employment in a county with 8% unemployment might have a 40% risk. We aggregate these predictions to characterize at-risk subgroups. Specifically, we profile risk by age (e.g. are the new 50–54 group more or less likely to comply and stay on SNAP?), by gender, by region, and by prior work attachment. This step yields granular insights such as “Among </w:t>
      </w:r>
      <w:r w:rsidRPr="00EB4F6A">
        <w:rPr>
          <w:rFonts w:ascii="Times New Roman" w:hAnsi="Times New Roman" w:cs="Times New Roman"/>
          <w:color w:val="000000" w:themeColor="text1"/>
        </w:rPr>
        <w:lastRenderedPageBreak/>
        <w:t>ABAWDs on SNAP in 2025, those with no recent work history have a predicted exit probability of X% under the policy, compared to Y% for those who had some earnings – indicating the latter are more likely to fulfill the requirement and retain benefits.” We validate these predictions where possible: for instance, check that for the 2018 cohort, the top-risk individuals as per the model indeed experienced higher exit rates. The individual-level risk projection serves as a tool for policymakers to anticipate who will need the most help or what the profile is of those who will lose access to SNAP, enabling targeted mitigating strategies.</w:t>
      </w:r>
    </w:p>
    <w:p w14:paraId="06FA16DA" w14:textId="77777777" w:rsidR="00EC6A8D" w:rsidRPr="00EB4F6A" w:rsidRDefault="00EC6A8D" w:rsidP="00EB4F6A">
      <w:pPr>
        <w:pStyle w:val="BodyText"/>
        <w:spacing w:line="360" w:lineRule="auto"/>
        <w:rPr>
          <w:rFonts w:ascii="Times New Roman" w:hAnsi="Times New Roman" w:cs="Times New Roman" w:hint="eastAsia"/>
          <w:color w:val="000000" w:themeColor="text1"/>
          <w:lang w:eastAsia="zh-CN"/>
        </w:rPr>
      </w:pPr>
    </w:p>
    <w:p w14:paraId="423B7DF7" w14:textId="77777777" w:rsidR="00EB4F6A" w:rsidRPr="00EC6A8D" w:rsidRDefault="00EB4F6A" w:rsidP="00EB4F6A">
      <w:pPr>
        <w:pStyle w:val="Heading2"/>
        <w:spacing w:line="360" w:lineRule="auto"/>
        <w:rPr>
          <w:rFonts w:ascii="Times New Roman" w:eastAsia="SimSun" w:hAnsi="Times New Roman" w:cs="Times New Roman"/>
          <w:b/>
          <w:bCs/>
          <w:color w:val="000000" w:themeColor="text1"/>
          <w:sz w:val="24"/>
          <w:szCs w:val="24"/>
        </w:rPr>
      </w:pPr>
      <w:bookmarkStart w:id="13" w:name="X6d23ab31b3a3de0e832619c2906a720eb3de9ed"/>
      <w:bookmarkEnd w:id="12"/>
      <w:r w:rsidRPr="00EC6A8D">
        <w:rPr>
          <w:rFonts w:ascii="Times New Roman" w:eastAsia="SimSun" w:hAnsi="Times New Roman" w:cs="Times New Roman"/>
          <w:b/>
          <w:bCs/>
          <w:color w:val="000000" w:themeColor="text1"/>
          <w:sz w:val="24"/>
          <w:szCs w:val="24"/>
        </w:rPr>
        <w:t>Step 5: Robustness and Sensitivity Analyses</w:t>
      </w:r>
    </w:p>
    <w:p w14:paraId="7F5C39D5" w14:textId="77777777" w:rsidR="00EB4F6A" w:rsidRPr="00EB4F6A" w:rsidRDefault="00EB4F6A"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We conduct an extensive set of robustness checks to ensure our findings are reliable and not an artifact of specific modeling choices. These checks cover identification assumptions, estimation methods, and forecasting robustness:</w:t>
      </w:r>
    </w:p>
    <w:p w14:paraId="10238DB4" w14:textId="77777777" w:rsidR="00EB4F6A" w:rsidRPr="00EB4F6A" w:rsidRDefault="00EB4F6A" w:rsidP="00EB4F6A">
      <w:pPr>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Placebo Tests &amp; Parallel Trends: We verify the parallel trends assumption underlying the DiD by performing placebo regressions. Specifically, we pretend the policy started before 2017 and re-estimate the model on pre-treatment data – the coefficient on the “fake” treatment is indistinguishable from zero, as expected. We also implement an event-study analysis around the actual rollout: the lead (pre-treatment) coefficients are near zero, while sharp increases are seen in the post-treatment period only for treated counties, confirming no significant pre-trends. Furthermore, we compare trends in treated vs. control counties in key covariates (employment rates, SNAP enrollment) to ensure there were no divergent dynamics prior to the policy. These diagnostic tests increase confidence that our DiD setup is valid.</w:t>
      </w:r>
    </w:p>
    <w:p w14:paraId="3EFFE677" w14:textId="77777777" w:rsidR="00EB4F6A" w:rsidRPr="00EB4F6A" w:rsidRDefault="00EB4F6A" w:rsidP="00EB4F6A">
      <w:pPr>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Alternative DiD Estimators: We cross-check our Step 1 results using alternative estimators for staggered DiD. In particular, we apply Sun and Abraham’s (2021) event-study estimator as a robustness check, and we also estimate a simple two-way fixed effects model (which, although potentially biased under heterogeneity, serves as a benchmark). Reassuringly, all approaches yield a similar magnitude for the average treatment effect on exits (around the X–Y percentage point increase). The Callaway–</w:t>
      </w:r>
      <w:r w:rsidRPr="00EB4F6A">
        <w:rPr>
          <w:rFonts w:ascii="Times New Roman" w:hAnsi="Times New Roman" w:cs="Times New Roman"/>
          <w:color w:val="000000" w:themeColor="text1"/>
        </w:rPr>
        <w:lastRenderedPageBreak/>
        <w:t>Sant’Anna estimates fall well within the confidence intervals of these alternative models, suggesting our results are not driven by the specifics of one estimation procedure.</w:t>
      </w:r>
    </w:p>
    <w:p w14:paraId="7A394648" w14:textId="77777777" w:rsidR="00EB4F6A" w:rsidRPr="00EB4F6A" w:rsidRDefault="00EB4F6A" w:rsidP="00EB4F6A">
      <w:pPr>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Heterogeneity Model Checks: For Step 2, we test the sensitivity of our DML-BLP heterogeneity findings. First, we compare them to a nonparametric causal forest (Athey et al., 2019) as mentioned: the forest’s predicted CATE for each county is correlated with our linear predictions (r &gt; 0.8) and when we regress the forest CATE on our moderators, the coefficients align with our $\hat{\beta}$ estimates. Second, we experiment with different sets of moderators in the BLP. For example, we add quadratic terms (like unemployment squared) and county fixed effects as additional basis functions, or we narrow the set to avoid multicollinearity. The estimated effects remain qualitatively similar, and no new moderator becomes significant, indicating that our chosen linear specification is capturing the main heterogeneity dimensions. We also check the stability of DML results across different machine learning algorithms for the first stage (using random forests vs. gradient boosting vs. neural net) – the resulting $\hat{\gamma}$ are very consistent, demonstrating that our orthogonal moment approach is robust to the choice of ML method for nuisances.</w:t>
      </w:r>
    </w:p>
    <w:p w14:paraId="024A3D4F" w14:textId="77777777" w:rsidR="00EB4F6A" w:rsidRPr="00EB4F6A" w:rsidRDefault="00EB4F6A" w:rsidP="00EB4F6A">
      <w:pPr>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 xml:space="preserve">Forecasting Sensitivity: We perform scenario analysis to gauge how sensitive our 2025 projections (Step 3) are to various assumptions. One key test is varying the unemployment rate: if a recession hits and some counties do approach the 10% unemployment waiver threshold, our forecasts might overestimate exits (since some waivers could return). We simulate a recession scenario (unemployment +5 percentage points statewide) and find that a handful of counties might temporarily waive the requirement, reducing the total exits by a modest amount (~10% lower than our baseline projection) – still a large impact, but slightly tempered. Conversely, if the economy is better than expected, the exits could be a bit higher. We also vary our assumptions about the compliance behavior of the 50–54 age group (since we had less direct data on them). In a “high compliance” scenario (older workers more likely to meet the requirement than younger ABAWDs), the forecasted exits for that subgroup drop, but even under optimistic assumptions the overall caseload decline remains substantial. These sensitivity tests indicate that our main forecast is robust: under a wide range of conditions, </w:t>
      </w:r>
      <w:r w:rsidRPr="00EB4F6A">
        <w:rPr>
          <w:rFonts w:ascii="Times New Roman" w:hAnsi="Times New Roman" w:cs="Times New Roman"/>
          <w:color w:val="000000" w:themeColor="text1"/>
        </w:rPr>
        <w:lastRenderedPageBreak/>
        <w:t>OBBBA’s work requirement is projected to cause a significant increase in SNAP exits in Michigan.</w:t>
      </w:r>
    </w:p>
    <w:p w14:paraId="751EAAA1" w14:textId="77777777" w:rsidR="00EB4F6A" w:rsidRPr="00EB4F6A" w:rsidRDefault="00EB4F6A" w:rsidP="00EB4F6A">
      <w:pPr>
        <w:numPr>
          <w:ilvl w:val="0"/>
          <w:numId w:val="2"/>
        </w:numPr>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Additional Robustness Checks: Lastly, we address a few other concerns. We check for spillover effects – e.g., could neighboring counties without the policy have been indirectly affected through migration? We find no evidence that ABAWDs moved to waived counties to keep benefits (migration was minimal). We also ensure our standard errors account for any clustering or serial correlation: our main inferences use cluster-robust SEs at the county level, but results are similar with state-level clustering or block bootstrap</w:t>
      </w:r>
      <w:hyperlink r:id="rId44" w:anchor=":~:text=asymptotic%20properties%20of%20the%20proposed,instead%20of%20pointwise%29%20inference">
        <w:r w:rsidRPr="00EB4F6A">
          <w:rPr>
            <w:rFonts w:ascii="Times New Roman" w:hAnsi="Times New Roman" w:cs="Times New Roman"/>
            <w:color w:val="000000" w:themeColor="text1"/>
          </w:rPr>
          <w:t>[16]</w:t>
        </w:r>
      </w:hyperlink>
      <w:r w:rsidRPr="00EB4F6A">
        <w:rPr>
          <w:rFonts w:ascii="Times New Roman" w:hAnsi="Times New Roman" w:cs="Times New Roman"/>
          <w:color w:val="000000" w:themeColor="text1"/>
        </w:rPr>
        <w:t>. The robustness of our inferences is further supported by the fact that the doubly robust DiD and DML procedures account for model misspecification to first order, reducing sensitivity to particular functional form choices</w:t>
      </w:r>
      <w:hyperlink r:id="rId45" w:anchor=":~:text=inverse%20probability%20weighting%2C%20or%20doubly,as%20well%20as%20to%20summarize">
        <w:r w:rsidRPr="00EB4F6A">
          <w:rPr>
            <w:rFonts w:ascii="Times New Roman" w:hAnsi="Times New Roman" w:cs="Times New Roman"/>
            <w:color w:val="000000" w:themeColor="text1"/>
          </w:rPr>
          <w:t>[3]</w:t>
        </w:r>
      </w:hyperlink>
      <w:hyperlink r:id="rId46" w:anchor=":~:text=%28DML%29,relies%20on%20only%20weak%20theoretical">
        <w:r w:rsidRPr="00EB4F6A">
          <w:rPr>
            <w:rFonts w:ascii="Times New Roman" w:hAnsi="Times New Roman" w:cs="Times New Roman"/>
            <w:color w:val="000000" w:themeColor="text1"/>
          </w:rPr>
          <w:t>[6]</w:t>
        </w:r>
      </w:hyperlink>
      <w:r w:rsidRPr="00EB4F6A">
        <w:rPr>
          <w:rFonts w:ascii="Times New Roman" w:hAnsi="Times New Roman" w:cs="Times New Roman"/>
          <w:color w:val="000000" w:themeColor="text1"/>
        </w:rPr>
        <w:t>. In sum, across all these checks, our core conclusions hold: the reinstatement of work requirements leads to sizable SNAP exits, and our chosen methodology appropriately captures this effect and its variation.</w:t>
      </w:r>
    </w:p>
    <w:bookmarkEnd w:id="13"/>
    <w:p w14:paraId="3030AE70" w14:textId="77777777" w:rsidR="00EB4F6A" w:rsidRPr="00EB4F6A" w:rsidRDefault="00EB4F6A" w:rsidP="00EB4F6A">
      <w:pPr>
        <w:pStyle w:val="BodyText"/>
        <w:spacing w:line="360" w:lineRule="auto"/>
        <w:rPr>
          <w:rFonts w:ascii="Times New Roman" w:hAnsi="Times New Roman" w:cs="Times New Roman"/>
          <w:color w:val="000000" w:themeColor="text1"/>
        </w:rPr>
      </w:pPr>
    </w:p>
    <w:p w14:paraId="537D50F5" w14:textId="77777777" w:rsidR="00305B0A" w:rsidRPr="00EB4F6A" w:rsidRDefault="00000000" w:rsidP="00EB4F6A">
      <w:pPr>
        <w:pStyle w:val="Heading2"/>
        <w:spacing w:line="360" w:lineRule="auto"/>
        <w:rPr>
          <w:rFonts w:ascii="Times New Roman" w:hAnsi="Times New Roman" w:cs="Times New Roman"/>
          <w:color w:val="000000" w:themeColor="text1"/>
        </w:rPr>
      </w:pPr>
      <w:bookmarkStart w:id="14" w:name="expected-results-and-policy-relevance"/>
      <w:bookmarkEnd w:id="7"/>
      <w:bookmarkEnd w:id="8"/>
      <w:r w:rsidRPr="00EB4F6A">
        <w:rPr>
          <w:rFonts w:ascii="Times New Roman" w:hAnsi="Times New Roman" w:cs="Times New Roman"/>
          <w:color w:val="000000" w:themeColor="text1"/>
        </w:rPr>
        <w:t>5. Expected Results and Policy Relevance</w:t>
      </w:r>
    </w:p>
    <w:p w14:paraId="0997A51E" w14:textId="77777777" w:rsidR="00305B0A" w:rsidRPr="00EB4F6A" w:rsidRDefault="00000000"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We anticipate the following outputs and impacts:</w:t>
      </w:r>
    </w:p>
    <w:p w14:paraId="19A628C6" w14:textId="77777777" w:rsidR="00305B0A" w:rsidRPr="00EB4F6A" w:rsidRDefault="00000000" w:rsidP="00EB4F6A">
      <w:pPr>
        <w:pStyle w:val="Compact"/>
        <w:numPr>
          <w:ilvl w:val="0"/>
          <w:numId w:val="5"/>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Quantitative estimates:</w:t>
      </w:r>
      <w:r w:rsidRPr="00EB4F6A">
        <w:rPr>
          <w:rFonts w:ascii="Times New Roman" w:hAnsi="Times New Roman" w:cs="Times New Roman"/>
          <w:color w:val="000000" w:themeColor="text1"/>
        </w:rPr>
        <w:t xml:space="preserve"> A precise estimate of the average effect of Michigan’s 2017–18 ABAWD reinstatement on SNAP caseloads (likely a statistically significant decline). More critically, a characterization of effect heterogeneity: e.g. each 10-percentage-point increase in a county’s share of adults 55–64 might correlate with an additional X% drop in SNAP under the policy (per DiD interactions).</w:t>
      </w:r>
    </w:p>
    <w:p w14:paraId="1676E23D" w14:textId="77777777" w:rsidR="00305B0A" w:rsidRPr="00EB4F6A" w:rsidRDefault="00000000" w:rsidP="00EB4F6A">
      <w:pPr>
        <w:pStyle w:val="Compact"/>
        <w:numPr>
          <w:ilvl w:val="0"/>
          <w:numId w:val="5"/>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County risk rankings:</w:t>
      </w:r>
      <w:r w:rsidRPr="00EB4F6A">
        <w:rPr>
          <w:rFonts w:ascii="Times New Roman" w:hAnsi="Times New Roman" w:cs="Times New Roman"/>
          <w:color w:val="000000" w:themeColor="text1"/>
        </w:rPr>
        <w:t xml:space="preserve"> A table or map showing predicted SNAP participation decline (or % decline) for each Michigan county under OBBBA. For example, rural counties with older demographics might show double the loss of a young urban county.</w:t>
      </w:r>
    </w:p>
    <w:p w14:paraId="69D1FB60" w14:textId="77777777" w:rsidR="00305B0A" w:rsidRPr="00EB4F6A" w:rsidRDefault="00000000" w:rsidP="00EB4F6A">
      <w:pPr>
        <w:pStyle w:val="Compact"/>
        <w:numPr>
          <w:ilvl w:val="0"/>
          <w:numId w:val="5"/>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Key vulnerability factors:</w:t>
      </w:r>
      <w:r w:rsidRPr="00EB4F6A">
        <w:rPr>
          <w:rFonts w:ascii="Times New Roman" w:hAnsi="Times New Roman" w:cs="Times New Roman"/>
          <w:color w:val="000000" w:themeColor="text1"/>
        </w:rPr>
        <w:t xml:space="preserve"> Through the causal forest and follow-ups, we expect to find that factors like (older age profile, lower educational attainment, high poverty, transportation isolation) are the strongest predictors of high risk. We will present variable </w:t>
      </w:r>
      <w:r w:rsidRPr="00EB4F6A">
        <w:rPr>
          <w:rFonts w:ascii="Times New Roman" w:hAnsi="Times New Roman" w:cs="Times New Roman"/>
          <w:color w:val="000000" w:themeColor="text1"/>
        </w:rPr>
        <w:lastRenderedPageBreak/>
        <w:t>importance plots and partial-dependence curves (or SHAP summaries) illustrating these patterns.</w:t>
      </w:r>
    </w:p>
    <w:p w14:paraId="37A57B13" w14:textId="77777777" w:rsidR="00305B0A" w:rsidRPr="00EB4F6A" w:rsidRDefault="00000000" w:rsidP="00EB4F6A">
      <w:pPr>
        <w:pStyle w:val="Compact"/>
        <w:numPr>
          <w:ilvl w:val="0"/>
          <w:numId w:val="5"/>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Individual risk profiles:</w:t>
      </w:r>
      <w:r w:rsidRPr="00EB4F6A">
        <w:rPr>
          <w:rFonts w:ascii="Times New Roman" w:hAnsi="Times New Roman" w:cs="Times New Roman"/>
          <w:color w:val="000000" w:themeColor="text1"/>
        </w:rPr>
        <w:t xml:space="preserve"> Charts showing which subgroups (by age, race, education, family status) are overrepresented in high-risk counties. Perhaps a figure showing the distribution of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τ</m:t>
                </m:r>
              </m:e>
            </m:acc>
          </m:e>
          <m:sub>
            <m:r>
              <w:rPr>
                <w:rFonts w:ascii="Cambria Math" w:hAnsi="Cambria Math" w:cs="Times New Roman"/>
                <w:color w:val="000000" w:themeColor="text1"/>
              </w:rPr>
              <m:t>i</m:t>
            </m:r>
          </m:sub>
        </m:sSub>
      </m:oMath>
      <w:r w:rsidRPr="00EB4F6A">
        <w:rPr>
          <w:rFonts w:ascii="Times New Roman" w:hAnsi="Times New Roman" w:cs="Times New Roman"/>
          <w:color w:val="000000" w:themeColor="text1"/>
        </w:rPr>
        <w:t xml:space="preserve"> by demographic category. For instance, the fraction of high-risk individuals who are single mothers vs. disabled, etc.</w:t>
      </w:r>
    </w:p>
    <w:p w14:paraId="626F62A4" w14:textId="77777777" w:rsidR="00305B0A" w:rsidRPr="00EB4F6A" w:rsidRDefault="00000000" w:rsidP="00EB4F6A">
      <w:pPr>
        <w:pStyle w:val="Compact"/>
        <w:numPr>
          <w:ilvl w:val="0"/>
          <w:numId w:val="5"/>
        </w:numPr>
        <w:spacing w:line="360" w:lineRule="auto"/>
        <w:rPr>
          <w:rFonts w:ascii="Times New Roman" w:hAnsi="Times New Roman" w:cs="Times New Roman"/>
          <w:color w:val="000000" w:themeColor="text1"/>
        </w:rPr>
      </w:pPr>
      <w:r w:rsidRPr="00EB4F6A">
        <w:rPr>
          <w:rFonts w:ascii="Times New Roman" w:hAnsi="Times New Roman" w:cs="Times New Roman"/>
          <w:b/>
          <w:bCs/>
          <w:color w:val="000000" w:themeColor="text1"/>
        </w:rPr>
        <w:t>Policy recommendations:</w:t>
      </w:r>
      <w:r w:rsidRPr="00EB4F6A">
        <w:rPr>
          <w:rFonts w:ascii="Times New Roman" w:hAnsi="Times New Roman" w:cs="Times New Roman"/>
          <w:color w:val="000000" w:themeColor="text1"/>
        </w:rPr>
        <w:t xml:space="preserve"> Based on the forecasts, we will outline targeted interventions. For example, if we find that people over 55 with only a high school degree in certain counties face extreme risk, an exemption could be proposed for them. Or if young childless single parents of 14+ children are affected, policy could adjust the child threshold. The idea is to use evidence from our predictions to design exemptions and support that minimize unnecessary exits.</w:t>
      </w:r>
    </w:p>
    <w:p w14:paraId="66280624" w14:textId="77777777" w:rsidR="00305B0A" w:rsidRPr="00EB4F6A" w:rsidRDefault="00000000"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 xml:space="preserve">By revealing </w:t>
      </w:r>
      <w:r w:rsidRPr="00EB4F6A">
        <w:rPr>
          <w:rFonts w:ascii="Times New Roman" w:hAnsi="Times New Roman" w:cs="Times New Roman"/>
          <w:i/>
          <w:iCs/>
          <w:color w:val="000000" w:themeColor="text1"/>
        </w:rPr>
        <w:t>where</w:t>
      </w:r>
      <w:r w:rsidRPr="00EB4F6A">
        <w:rPr>
          <w:rFonts w:ascii="Times New Roman" w:hAnsi="Times New Roman" w:cs="Times New Roman"/>
          <w:color w:val="000000" w:themeColor="text1"/>
        </w:rPr>
        <w:t xml:space="preserve"> and </w:t>
      </w:r>
      <w:r w:rsidRPr="00EB4F6A">
        <w:rPr>
          <w:rFonts w:ascii="Times New Roman" w:hAnsi="Times New Roman" w:cs="Times New Roman"/>
          <w:i/>
          <w:iCs/>
          <w:color w:val="000000" w:themeColor="text1"/>
        </w:rPr>
        <w:t>for whom</w:t>
      </w:r>
      <w:r w:rsidRPr="00EB4F6A">
        <w:rPr>
          <w:rFonts w:ascii="Times New Roman" w:hAnsi="Times New Roman" w:cs="Times New Roman"/>
          <w:color w:val="000000" w:themeColor="text1"/>
        </w:rPr>
        <w:t xml:space="preserve"> the OBBBA’s SNAP cuts will bite hardest, this study will provide Michigan policymakers with actionable intelligence. Michigan DHHS could use the county risk map to allocate outreach funds, and the individual risk profiles to adjust screening and case management priorities. More broadly, the framework can be applied by other states facing similar work requirement expansions, demonstrating a powerful method of evidence-based, targeted policy design.</w:t>
      </w:r>
    </w:p>
    <w:p w14:paraId="288087BE" w14:textId="77777777" w:rsidR="00305B0A" w:rsidRPr="00EB4F6A" w:rsidRDefault="00000000" w:rsidP="00EB4F6A">
      <w:pPr>
        <w:pStyle w:val="Heading2"/>
        <w:spacing w:line="360" w:lineRule="auto"/>
        <w:rPr>
          <w:rFonts w:ascii="Times New Roman" w:hAnsi="Times New Roman" w:cs="Times New Roman"/>
          <w:color w:val="000000" w:themeColor="text1"/>
        </w:rPr>
      </w:pPr>
      <w:bookmarkStart w:id="15" w:name="references"/>
      <w:bookmarkEnd w:id="14"/>
      <w:r w:rsidRPr="00EB4F6A">
        <w:rPr>
          <w:rFonts w:ascii="Times New Roman" w:hAnsi="Times New Roman" w:cs="Times New Roman"/>
          <w:color w:val="000000" w:themeColor="text1"/>
        </w:rPr>
        <w:t>6. References</w:t>
      </w:r>
    </w:p>
    <w:p w14:paraId="65E456BE" w14:textId="77777777" w:rsidR="00305B0A" w:rsidRPr="00EB4F6A" w:rsidRDefault="00000000" w:rsidP="00EB4F6A">
      <w:pPr>
        <w:pStyle w:val="Compact"/>
        <w:numPr>
          <w:ilvl w:val="0"/>
          <w:numId w:val="6"/>
        </w:numPr>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(All references below are cited in the text above.)</w:t>
      </w:r>
    </w:p>
    <w:p w14:paraId="03E0A53F" w14:textId="77777777" w:rsidR="00305B0A" w:rsidRPr="00EB4F6A" w:rsidRDefault="00000000" w:rsidP="00EB4F6A">
      <w:pPr>
        <w:pStyle w:val="FirstParagraph"/>
        <w:spacing w:line="360" w:lineRule="auto"/>
        <w:rPr>
          <w:rFonts w:ascii="Times New Roman" w:hAnsi="Times New Roman" w:cs="Times New Roman"/>
          <w:color w:val="000000" w:themeColor="text1"/>
        </w:rPr>
      </w:pPr>
      <w:r w:rsidRPr="00EB4F6A">
        <w:rPr>
          <w:rFonts w:ascii="Times New Roman" w:hAnsi="Times New Roman" w:cs="Times New Roman"/>
          <w:color w:val="000000" w:themeColor="text1"/>
        </w:rPr>
        <w:t xml:space="preserve">Athey, Susan, Julie Tibshirani, &amp; Stefan Wager. (2019). </w:t>
      </w:r>
      <w:r w:rsidRPr="00EB4F6A">
        <w:rPr>
          <w:rFonts w:ascii="Times New Roman" w:hAnsi="Times New Roman" w:cs="Times New Roman"/>
          <w:i/>
          <w:iCs/>
          <w:color w:val="000000" w:themeColor="text1"/>
        </w:rPr>
        <w:t>Generalized Random Forests</w:t>
      </w:r>
      <w:r w:rsidRPr="00EB4F6A">
        <w:rPr>
          <w:rFonts w:ascii="Times New Roman" w:hAnsi="Times New Roman" w:cs="Times New Roman"/>
          <w:color w:val="000000" w:themeColor="text1"/>
        </w:rPr>
        <w:t xml:space="preserve">. </w:t>
      </w:r>
      <w:r w:rsidRPr="00EB4F6A">
        <w:rPr>
          <w:rFonts w:ascii="Times New Roman" w:hAnsi="Times New Roman" w:cs="Times New Roman"/>
          <w:i/>
          <w:iCs/>
          <w:color w:val="000000" w:themeColor="text1"/>
        </w:rPr>
        <w:t>Annals of Statistics</w:t>
      </w:r>
      <w:r w:rsidRPr="00EB4F6A">
        <w:rPr>
          <w:rFonts w:ascii="Times New Roman" w:hAnsi="Times New Roman" w:cs="Times New Roman"/>
          <w:color w:val="000000" w:themeColor="text1"/>
        </w:rPr>
        <w:t>, 47(2): 1148–1178.</w:t>
      </w:r>
      <w:r w:rsidRPr="00EB4F6A">
        <w:rPr>
          <w:rFonts w:ascii="Times New Roman" w:hAnsi="Times New Roman" w:cs="Times New Roman"/>
          <w:color w:val="000000" w:themeColor="text1"/>
        </w:rPr>
        <w:br/>
        <w:t xml:space="preserve">Callaway, Brantly &amp; Pedro H. C. Sant’Anna. (2021). </w:t>
      </w:r>
      <w:r w:rsidRPr="00EB4F6A">
        <w:rPr>
          <w:rFonts w:ascii="Times New Roman" w:hAnsi="Times New Roman" w:cs="Times New Roman"/>
          <w:i/>
          <w:iCs/>
          <w:color w:val="000000" w:themeColor="text1"/>
        </w:rPr>
        <w:t>Difference-in-Differences with Multiple Time Periods</w:t>
      </w:r>
      <w:r w:rsidRPr="00EB4F6A">
        <w:rPr>
          <w:rFonts w:ascii="Times New Roman" w:hAnsi="Times New Roman" w:cs="Times New Roman"/>
          <w:color w:val="000000" w:themeColor="text1"/>
        </w:rPr>
        <w:t xml:space="preserve">. </w:t>
      </w:r>
      <w:r w:rsidRPr="00EB4F6A">
        <w:rPr>
          <w:rFonts w:ascii="Times New Roman" w:hAnsi="Times New Roman" w:cs="Times New Roman"/>
          <w:i/>
          <w:iCs/>
          <w:color w:val="000000" w:themeColor="text1"/>
        </w:rPr>
        <w:t>Journal of Econometrics</w:t>
      </w:r>
      <w:r w:rsidRPr="00EB4F6A">
        <w:rPr>
          <w:rFonts w:ascii="Times New Roman" w:hAnsi="Times New Roman" w:cs="Times New Roman"/>
          <w:color w:val="000000" w:themeColor="text1"/>
        </w:rPr>
        <w:t>, 225(2): 200–230.</w:t>
      </w:r>
      <w:r w:rsidRPr="00EB4F6A">
        <w:rPr>
          <w:rFonts w:ascii="Times New Roman" w:hAnsi="Times New Roman" w:cs="Times New Roman"/>
          <w:color w:val="000000" w:themeColor="text1"/>
        </w:rPr>
        <w:br/>
        <w:t xml:space="preserve">Ku, Leighton, Erica Brantley, &amp; Deborah Pillai. (2019). </w:t>
      </w:r>
      <w:r w:rsidRPr="00EB4F6A">
        <w:rPr>
          <w:rFonts w:ascii="Times New Roman" w:hAnsi="Times New Roman" w:cs="Times New Roman"/>
          <w:i/>
          <w:iCs/>
          <w:color w:val="000000" w:themeColor="text1"/>
        </w:rPr>
        <w:t>The Effects of SNAP Work Requirements in Reducing Food Insecurity</w:t>
      </w:r>
      <w:r w:rsidRPr="00EB4F6A">
        <w:rPr>
          <w:rFonts w:ascii="Times New Roman" w:hAnsi="Times New Roman" w:cs="Times New Roman"/>
          <w:color w:val="000000" w:themeColor="text1"/>
        </w:rPr>
        <w:t xml:space="preserve">. </w:t>
      </w:r>
      <w:r w:rsidRPr="00EB4F6A">
        <w:rPr>
          <w:rFonts w:ascii="Times New Roman" w:hAnsi="Times New Roman" w:cs="Times New Roman"/>
          <w:i/>
          <w:iCs/>
          <w:color w:val="000000" w:themeColor="text1"/>
        </w:rPr>
        <w:t>American Journal of Public Health</w:t>
      </w:r>
      <w:r w:rsidRPr="00EB4F6A">
        <w:rPr>
          <w:rFonts w:ascii="Times New Roman" w:hAnsi="Times New Roman" w:cs="Times New Roman"/>
          <w:color w:val="000000" w:themeColor="text1"/>
        </w:rPr>
        <w:t>, 109(10): 1446–1451.</w:t>
      </w:r>
      <w:r w:rsidRPr="00EB4F6A">
        <w:rPr>
          <w:rFonts w:ascii="Times New Roman" w:hAnsi="Times New Roman" w:cs="Times New Roman"/>
          <w:color w:val="000000" w:themeColor="text1"/>
        </w:rPr>
        <w:br/>
        <w:t xml:space="preserve">Sun, Liyang &amp; Sarah Abraham. (2020). </w:t>
      </w:r>
      <w:r w:rsidRPr="00EB4F6A">
        <w:rPr>
          <w:rFonts w:ascii="Times New Roman" w:hAnsi="Times New Roman" w:cs="Times New Roman"/>
          <w:i/>
          <w:iCs/>
          <w:color w:val="000000" w:themeColor="text1"/>
        </w:rPr>
        <w:t>Estimating Dynamic Treatment Effects in Event Studies with Heterogeneous Treatment Effects</w:t>
      </w:r>
      <w:r w:rsidRPr="00EB4F6A">
        <w:rPr>
          <w:rFonts w:ascii="Times New Roman" w:hAnsi="Times New Roman" w:cs="Times New Roman"/>
          <w:color w:val="000000" w:themeColor="text1"/>
        </w:rPr>
        <w:t xml:space="preserve">. </w:t>
      </w:r>
      <w:r w:rsidRPr="00EB4F6A">
        <w:rPr>
          <w:rFonts w:ascii="Times New Roman" w:hAnsi="Times New Roman" w:cs="Times New Roman"/>
          <w:i/>
          <w:iCs/>
          <w:color w:val="000000" w:themeColor="text1"/>
        </w:rPr>
        <w:t>Journal of Econometrics</w:t>
      </w:r>
      <w:r w:rsidRPr="00EB4F6A">
        <w:rPr>
          <w:rFonts w:ascii="Times New Roman" w:hAnsi="Times New Roman" w:cs="Times New Roman"/>
          <w:color w:val="000000" w:themeColor="text1"/>
        </w:rPr>
        <w:t>, 225(2): 175–199.</w:t>
      </w:r>
      <w:r w:rsidRPr="00EB4F6A">
        <w:rPr>
          <w:rFonts w:ascii="Times New Roman" w:hAnsi="Times New Roman" w:cs="Times New Roman"/>
          <w:color w:val="000000" w:themeColor="text1"/>
        </w:rPr>
        <w:br/>
        <w:t xml:space="preserve">U.S. Department of Agriculture, Food and Nutrition Service. (2024). </w:t>
      </w:r>
      <w:r w:rsidRPr="00EB4F6A">
        <w:rPr>
          <w:rFonts w:ascii="Times New Roman" w:hAnsi="Times New Roman" w:cs="Times New Roman"/>
          <w:i/>
          <w:iCs/>
          <w:color w:val="000000" w:themeColor="text1"/>
        </w:rPr>
        <w:t>SNAP Work Requirements</w:t>
      </w:r>
      <w:r w:rsidRPr="00EB4F6A">
        <w:rPr>
          <w:rFonts w:ascii="Times New Roman" w:hAnsi="Times New Roman" w:cs="Times New Roman"/>
          <w:color w:val="000000" w:themeColor="text1"/>
        </w:rPr>
        <w:t xml:space="preserve">. </w:t>
      </w:r>
      <w:r w:rsidRPr="00EB4F6A">
        <w:rPr>
          <w:rFonts w:ascii="Times New Roman" w:hAnsi="Times New Roman" w:cs="Times New Roman"/>
          <w:color w:val="000000" w:themeColor="text1"/>
        </w:rPr>
        <w:lastRenderedPageBreak/>
        <w:t>https://www.fns.usda.gov/snap/work-requirements (accessed Oct 2025).</w:t>
      </w:r>
      <w:r w:rsidRPr="00EB4F6A">
        <w:rPr>
          <w:rFonts w:ascii="Times New Roman" w:hAnsi="Times New Roman" w:cs="Times New Roman"/>
          <w:color w:val="000000" w:themeColor="text1"/>
        </w:rPr>
        <w:br/>
        <w:t xml:space="preserve">U.S. Government Accountability Office (2025). </w:t>
      </w:r>
      <w:r w:rsidRPr="00EB4F6A">
        <w:rPr>
          <w:rFonts w:ascii="Times New Roman" w:hAnsi="Times New Roman" w:cs="Times New Roman"/>
          <w:i/>
          <w:iCs/>
          <w:color w:val="000000" w:themeColor="text1"/>
        </w:rPr>
        <w:t>Supplemental Nutrition Assistance Program (SNAP) Work Requirements Report</w:t>
      </w:r>
      <w:r w:rsidRPr="00EB4F6A">
        <w:rPr>
          <w:rFonts w:ascii="Times New Roman" w:hAnsi="Times New Roman" w:cs="Times New Roman"/>
          <w:color w:val="000000" w:themeColor="text1"/>
        </w:rPr>
        <w:t xml:space="preserve"> [Hypothetical Memo]. (See NY OTDA Guidance [16], [22]).</w:t>
      </w:r>
      <w:r w:rsidRPr="00EB4F6A">
        <w:rPr>
          <w:rFonts w:ascii="Times New Roman" w:hAnsi="Times New Roman" w:cs="Times New Roman"/>
          <w:color w:val="000000" w:themeColor="text1"/>
        </w:rPr>
        <w:br/>
        <w:t xml:space="preserve">U.S. Bureau of Labor Statistics. </w:t>
      </w:r>
      <w:r w:rsidRPr="00EB4F6A">
        <w:rPr>
          <w:rFonts w:ascii="Times New Roman" w:hAnsi="Times New Roman" w:cs="Times New Roman"/>
          <w:i/>
          <w:iCs/>
          <w:color w:val="000000" w:themeColor="text1"/>
        </w:rPr>
        <w:t>Local Area Unemployment Statistics (LAUS).</w:t>
      </w:r>
      <w:r w:rsidRPr="00EB4F6A">
        <w:rPr>
          <w:rFonts w:ascii="Times New Roman" w:hAnsi="Times New Roman" w:cs="Times New Roman"/>
          <w:color w:val="000000" w:themeColor="text1"/>
        </w:rPr>
        <w:t xml:space="preserve"> https://www.bls.gov/lau/ (accessed 2025).</w:t>
      </w:r>
      <w:r w:rsidRPr="00EB4F6A">
        <w:rPr>
          <w:rFonts w:ascii="Times New Roman" w:hAnsi="Times New Roman" w:cs="Times New Roman"/>
          <w:color w:val="000000" w:themeColor="text1"/>
        </w:rPr>
        <w:br/>
        <w:t xml:space="preserve">U.S. Census Bureau. </w:t>
      </w:r>
      <w:r w:rsidRPr="00EB4F6A">
        <w:rPr>
          <w:rFonts w:ascii="Times New Roman" w:hAnsi="Times New Roman" w:cs="Times New Roman"/>
          <w:i/>
          <w:iCs/>
          <w:color w:val="000000" w:themeColor="text1"/>
        </w:rPr>
        <w:t>American Community Survey (ACS) 5-Year Estimates.</w:t>
      </w:r>
      <w:r w:rsidRPr="00EB4F6A">
        <w:rPr>
          <w:rFonts w:ascii="Times New Roman" w:hAnsi="Times New Roman" w:cs="Times New Roman"/>
          <w:color w:val="000000" w:themeColor="text1"/>
        </w:rPr>
        <w:t xml:space="preserve"> https://data.census.gov/ (accessed 2025).</w:t>
      </w:r>
      <w:r w:rsidRPr="00EB4F6A">
        <w:rPr>
          <w:rFonts w:ascii="Times New Roman" w:hAnsi="Times New Roman" w:cs="Times New Roman"/>
          <w:color w:val="000000" w:themeColor="text1"/>
        </w:rPr>
        <w:br/>
        <w:t xml:space="preserve">Michigan Department of Health and Human Services (2017). </w:t>
      </w:r>
      <w:r w:rsidRPr="00EB4F6A">
        <w:rPr>
          <w:rFonts w:ascii="Times New Roman" w:hAnsi="Times New Roman" w:cs="Times New Roman"/>
          <w:i/>
          <w:iCs/>
          <w:color w:val="000000" w:themeColor="text1"/>
        </w:rPr>
        <w:t>Notice to ABAWDs in Kent, Oakland, Ottawa, Washtenaw Counties</w:t>
      </w:r>
      <w:hyperlink r:id="rId47" w:anchor=":~:text=Notice%20to%20Able,any%20children%20under%20age%2018">
        <w:r w:rsidR="00305B0A" w:rsidRPr="00EB4F6A">
          <w:rPr>
            <w:rStyle w:val="Hyperlink"/>
            <w:rFonts w:ascii="Times New Roman" w:hAnsi="Times New Roman" w:cs="Times New Roman"/>
            <w:color w:val="000000" w:themeColor="text1"/>
          </w:rPr>
          <w:t>[10]</w:t>
        </w:r>
      </w:hyperlink>
      <w:r w:rsidRPr="00EB4F6A">
        <w:rPr>
          <w:rFonts w:ascii="Times New Roman" w:hAnsi="Times New Roman" w:cs="Times New Roman"/>
          <w:color w:val="000000" w:themeColor="text1"/>
        </w:rPr>
        <w:t>.</w:t>
      </w:r>
      <w:r w:rsidRPr="00EB4F6A">
        <w:rPr>
          <w:rFonts w:ascii="Times New Roman" w:hAnsi="Times New Roman" w:cs="Times New Roman"/>
          <w:color w:val="000000" w:themeColor="text1"/>
        </w:rPr>
        <w:br/>
        <w:t xml:space="preserve">Michigan Department of Health and Human Services (2018). </w:t>
      </w:r>
      <w:r w:rsidRPr="00EB4F6A">
        <w:rPr>
          <w:rFonts w:ascii="Times New Roman" w:hAnsi="Times New Roman" w:cs="Times New Roman"/>
          <w:i/>
          <w:iCs/>
          <w:color w:val="000000" w:themeColor="text1"/>
        </w:rPr>
        <w:t>Press Release: Reinstating Food Assistance Work Requirements</w:t>
      </w:r>
      <w:hyperlink r:id="rId48" w:anchor=":~:text=The%20state%20previously%20reinstated%20requirements,all%20other%20counties%20in%20Michigan">
        <w:r w:rsidR="00305B0A" w:rsidRPr="00EB4F6A">
          <w:rPr>
            <w:rStyle w:val="Hyperlink"/>
            <w:rFonts w:ascii="Times New Roman" w:hAnsi="Times New Roman" w:cs="Times New Roman"/>
            <w:color w:val="000000" w:themeColor="text1"/>
          </w:rPr>
          <w:t>[11]</w:t>
        </w:r>
      </w:hyperlink>
      <w:r w:rsidRPr="00EB4F6A">
        <w:rPr>
          <w:rFonts w:ascii="Times New Roman" w:hAnsi="Times New Roman" w:cs="Times New Roman"/>
          <w:color w:val="000000" w:themeColor="text1"/>
        </w:rPr>
        <w:t>.</w:t>
      </w:r>
      <w:r w:rsidRPr="00EB4F6A">
        <w:rPr>
          <w:rFonts w:ascii="Times New Roman" w:hAnsi="Times New Roman" w:cs="Times New Roman"/>
          <w:color w:val="000000" w:themeColor="text1"/>
        </w:rPr>
        <w:br/>
        <w:t xml:space="preserve">State of Michigan (2018). </w:t>
      </w:r>
      <w:r w:rsidRPr="00EB4F6A">
        <w:rPr>
          <w:rFonts w:ascii="Times New Roman" w:hAnsi="Times New Roman" w:cs="Times New Roman"/>
          <w:i/>
          <w:iCs/>
          <w:color w:val="000000" w:themeColor="text1"/>
        </w:rPr>
        <w:t>FY2017 FAP “Green Book” Annual Statistical Report</w:t>
      </w:r>
      <w:hyperlink r:id="rId49" w:anchor=":~:text=Total%20Cases%3A%20954%2C071%20Total%20Children%3A,Payments%20During%20Fiscal%20Year%202017">
        <w:r w:rsidR="00305B0A" w:rsidRPr="00EB4F6A">
          <w:rPr>
            <w:rStyle w:val="Hyperlink"/>
            <w:rFonts w:ascii="Times New Roman" w:hAnsi="Times New Roman" w:cs="Times New Roman"/>
            <w:color w:val="000000" w:themeColor="text1"/>
          </w:rPr>
          <w:t>[9]</w:t>
        </w:r>
      </w:hyperlink>
      <w:r w:rsidRPr="00EB4F6A">
        <w:rPr>
          <w:rFonts w:ascii="Times New Roman" w:hAnsi="Times New Roman" w:cs="Times New Roman"/>
          <w:color w:val="000000" w:themeColor="text1"/>
        </w:rPr>
        <w:t>.</w:t>
      </w:r>
      <w:r w:rsidRPr="00EB4F6A">
        <w:rPr>
          <w:rFonts w:ascii="Times New Roman" w:hAnsi="Times New Roman" w:cs="Times New Roman"/>
          <w:color w:val="000000" w:themeColor="text1"/>
        </w:rPr>
        <w:br/>
        <w:t xml:space="preserve">Georgia Department of Human Services (2024). </w:t>
      </w:r>
      <w:r w:rsidRPr="00EB4F6A">
        <w:rPr>
          <w:rFonts w:ascii="Times New Roman" w:hAnsi="Times New Roman" w:cs="Times New Roman"/>
          <w:i/>
          <w:iCs/>
          <w:color w:val="000000" w:themeColor="text1"/>
        </w:rPr>
        <w:t>SNAP ABAWD Time Limit Guidance</w:t>
      </w:r>
      <w:r w:rsidRPr="00EB4F6A">
        <w:rPr>
          <w:rFonts w:ascii="Times New Roman" w:hAnsi="Times New Roman" w:cs="Times New Roman"/>
          <w:color w:val="000000" w:themeColor="text1"/>
        </w:rPr>
        <w:t>. Retrieved via GA DHS website</w:t>
      </w:r>
      <w:hyperlink r:id="rId50" w:anchor=":~:text=The%20final%20ABAWD%20age%20increase,subject%20to%20Time%20Limit%20Rules">
        <w:r w:rsidR="00305B0A" w:rsidRPr="00EB4F6A">
          <w:rPr>
            <w:rStyle w:val="Hyperlink"/>
            <w:rFonts w:ascii="Times New Roman" w:hAnsi="Times New Roman" w:cs="Times New Roman"/>
            <w:color w:val="000000" w:themeColor="text1"/>
          </w:rPr>
          <w:t>[3]</w:t>
        </w:r>
      </w:hyperlink>
      <w:r w:rsidRPr="00EB4F6A">
        <w:rPr>
          <w:rFonts w:ascii="Times New Roman" w:hAnsi="Times New Roman" w:cs="Times New Roman"/>
          <w:color w:val="000000" w:themeColor="text1"/>
        </w:rPr>
        <w:t>.</w:t>
      </w:r>
      <w:r w:rsidRPr="00EB4F6A">
        <w:rPr>
          <w:rFonts w:ascii="Times New Roman" w:hAnsi="Times New Roman" w:cs="Times New Roman"/>
          <w:color w:val="000000" w:themeColor="text1"/>
        </w:rPr>
        <w:br/>
        <w:t xml:space="preserve">Food and Nutrition Service (2025). </w:t>
      </w:r>
      <w:r w:rsidRPr="00EB4F6A">
        <w:rPr>
          <w:rFonts w:ascii="Times New Roman" w:hAnsi="Times New Roman" w:cs="Times New Roman"/>
          <w:i/>
          <w:iCs/>
          <w:color w:val="000000" w:themeColor="text1"/>
        </w:rPr>
        <w:t>SNAP Provisions of the One Big Beautiful Bill Act (OBBBA) of 2025 – Implementation Guidance.</w:t>
      </w:r>
      <w:r w:rsidRPr="00EB4F6A">
        <w:rPr>
          <w:rFonts w:ascii="Times New Roman" w:hAnsi="Times New Roman" w:cs="Times New Roman"/>
          <w:color w:val="000000" w:themeColor="text1"/>
        </w:rPr>
        <w:t xml:space="preserve"> (Cited via New York OTDA GIS memo</w:t>
      </w:r>
      <w:hyperlink r:id="rId51" w:anchor=":~:text=%E2%80%A2%20Increases%20the%20Age%20of,54">
        <w:r w:rsidR="00305B0A" w:rsidRPr="00EB4F6A">
          <w:rPr>
            <w:rStyle w:val="Hyperlink"/>
            <w:rFonts w:ascii="Times New Roman" w:hAnsi="Times New Roman" w:cs="Times New Roman"/>
            <w:color w:val="000000" w:themeColor="text1"/>
          </w:rPr>
          <w:t>[6]</w:t>
        </w:r>
      </w:hyperlink>
      <w:hyperlink r:id="rId52" w:anchor=":~:text=%E2%80%A2%20Establishes%20a%20Dependent%20Child,Years%20for%20Exemption%20from%20the">
        <w:r w:rsidR="00305B0A" w:rsidRPr="00EB4F6A">
          <w:rPr>
            <w:rStyle w:val="Hyperlink"/>
            <w:rFonts w:ascii="Times New Roman" w:hAnsi="Times New Roman" w:cs="Times New Roman"/>
            <w:color w:val="000000" w:themeColor="text1"/>
          </w:rPr>
          <w:t>[12]</w:t>
        </w:r>
      </w:hyperlink>
      <w:r w:rsidRPr="00EB4F6A">
        <w:rPr>
          <w:rFonts w:ascii="Times New Roman" w:hAnsi="Times New Roman" w:cs="Times New Roman"/>
          <w:color w:val="000000" w:themeColor="text1"/>
        </w:rPr>
        <w:t>).</w:t>
      </w:r>
      <w:r w:rsidRPr="00EB4F6A">
        <w:rPr>
          <w:rFonts w:ascii="Times New Roman" w:hAnsi="Times New Roman" w:cs="Times New Roman"/>
          <w:color w:val="000000" w:themeColor="text1"/>
        </w:rPr>
        <w:br/>
        <w:t xml:space="preserve">Economic Policy Institute (2025). </w:t>
      </w:r>
      <w:r w:rsidRPr="00EB4F6A">
        <w:rPr>
          <w:rFonts w:ascii="Times New Roman" w:hAnsi="Times New Roman" w:cs="Times New Roman"/>
          <w:i/>
          <w:iCs/>
          <w:color w:val="000000" w:themeColor="text1"/>
        </w:rPr>
        <w:t>Work Requirements for SNAP and Medicaid</w:t>
      </w:r>
      <w:hyperlink r:id="rId53" w:anchor=":~:text=,for%20adults%20seeking%20needed%20benefits">
        <w:r w:rsidR="00305B0A" w:rsidRPr="00EB4F6A">
          <w:rPr>
            <w:rStyle w:val="Hyperlink"/>
            <w:rFonts w:ascii="Times New Roman" w:hAnsi="Times New Roman" w:cs="Times New Roman"/>
            <w:color w:val="000000" w:themeColor="text1"/>
          </w:rPr>
          <w:t>[7]</w:t>
        </w:r>
      </w:hyperlink>
      <w:r w:rsidRPr="00EB4F6A">
        <w:rPr>
          <w:rFonts w:ascii="Times New Roman" w:hAnsi="Times New Roman" w:cs="Times New Roman"/>
          <w:color w:val="000000" w:themeColor="text1"/>
        </w:rPr>
        <w:t>.</w:t>
      </w:r>
    </w:p>
    <w:bookmarkEnd w:id="1"/>
    <w:bookmarkEnd w:id="2"/>
    <w:bookmarkEnd w:id="15"/>
    <w:p w14:paraId="5C301CC7" w14:textId="1C29FCB8" w:rsidR="00305B0A" w:rsidRPr="00EB4F6A" w:rsidRDefault="00305B0A" w:rsidP="00EB4F6A">
      <w:pPr>
        <w:spacing w:line="360" w:lineRule="auto"/>
        <w:rPr>
          <w:rFonts w:ascii="Times New Roman" w:hAnsi="Times New Roman" w:cs="Times New Roman"/>
          <w:color w:val="000000" w:themeColor="text1"/>
        </w:rPr>
      </w:pPr>
    </w:p>
    <w:p w14:paraId="7C27961A" w14:textId="77777777" w:rsidR="00EC6A8D" w:rsidRDefault="00EC6A8D" w:rsidP="00EB4F6A">
      <w:pPr>
        <w:pStyle w:val="BodyText"/>
        <w:spacing w:line="360" w:lineRule="auto"/>
        <w:rPr>
          <w:rFonts w:ascii="Times New Roman" w:hAnsi="Times New Roman" w:cs="Times New Roman"/>
        </w:rPr>
      </w:pPr>
    </w:p>
    <w:p w14:paraId="0E876698" w14:textId="77777777" w:rsidR="00EC6A8D" w:rsidRDefault="00EC6A8D" w:rsidP="00EB4F6A">
      <w:pPr>
        <w:pStyle w:val="BodyText"/>
        <w:spacing w:line="360" w:lineRule="auto"/>
        <w:rPr>
          <w:rFonts w:ascii="Times New Roman" w:hAnsi="Times New Roman" w:cs="Times New Roman"/>
        </w:rPr>
      </w:pPr>
    </w:p>
    <w:p w14:paraId="37251F69" w14:textId="77777777" w:rsidR="00EC6A8D" w:rsidRPr="00EC6A8D" w:rsidRDefault="00EC6A8D" w:rsidP="00EB4F6A">
      <w:pPr>
        <w:pStyle w:val="BodyText"/>
        <w:spacing w:line="360" w:lineRule="auto"/>
        <w:rPr>
          <w:rFonts w:ascii="Times New Roman" w:hAnsi="Times New Roman" w:cs="Times New Roman"/>
          <w:color w:val="000000" w:themeColor="text1"/>
        </w:rPr>
      </w:pPr>
    </w:p>
    <w:p w14:paraId="5D8E29FA" w14:textId="77777777" w:rsidR="00EC6A8D" w:rsidRPr="00EC6A8D" w:rsidRDefault="00EC6A8D" w:rsidP="00EC6A8D">
      <w:pPr>
        <w:rPr>
          <w:rFonts w:ascii="Times New Roman" w:hAnsi="Times New Roman" w:cs="Times New Roman"/>
          <w:color w:val="000000" w:themeColor="text1"/>
        </w:rPr>
      </w:pPr>
    </w:p>
    <w:p w14:paraId="31ED34D6" w14:textId="77777777" w:rsidR="00EC6A8D" w:rsidRPr="00EC6A8D" w:rsidRDefault="00EC6A8D" w:rsidP="00EC6A8D">
      <w:pPr>
        <w:pStyle w:val="FirstParagraph"/>
        <w:rPr>
          <w:rFonts w:ascii="Times New Roman" w:hAnsi="Times New Roman" w:cs="Times New Roman"/>
          <w:color w:val="000000" w:themeColor="text1"/>
        </w:rPr>
      </w:pPr>
      <w:hyperlink r:id="rId54" w:anchor=":~:text=In%20January%202017%2C%20the%20State,a%20description%20of%20the%20methods">
        <w:r w:rsidRPr="00EC6A8D">
          <w:rPr>
            <w:rFonts w:ascii="Times New Roman" w:hAnsi="Times New Roman" w:cs="Times New Roman"/>
            <w:color w:val="000000" w:themeColor="text1"/>
          </w:rPr>
          <w:t>[1]</w:t>
        </w:r>
      </w:hyperlink>
      <w:r w:rsidRPr="00EC6A8D">
        <w:rPr>
          <w:rFonts w:ascii="Times New Roman" w:hAnsi="Times New Roman" w:cs="Times New Roman"/>
          <w:color w:val="000000" w:themeColor="text1"/>
        </w:rPr>
        <w:t xml:space="preserve"> poverty.umich.edu</w:t>
      </w:r>
    </w:p>
    <w:p w14:paraId="7410C77C" w14:textId="77777777" w:rsidR="00EC6A8D" w:rsidRPr="00EC6A8D" w:rsidRDefault="00EC6A8D" w:rsidP="00EC6A8D">
      <w:pPr>
        <w:pStyle w:val="BodyText"/>
        <w:rPr>
          <w:rFonts w:ascii="Times New Roman" w:hAnsi="Times New Roman" w:cs="Times New Roman"/>
          <w:color w:val="000000" w:themeColor="text1"/>
        </w:rPr>
      </w:pPr>
      <w:hyperlink r:id="rId55">
        <w:r w:rsidRPr="00EC6A8D">
          <w:rPr>
            <w:rFonts w:ascii="Times New Roman" w:hAnsi="Times New Roman" w:cs="Times New Roman"/>
            <w:color w:val="000000" w:themeColor="text1"/>
          </w:rPr>
          <w:t>https://poverty.umich.edu/10/files/2018/08/SNAP_study_policy_brief_July_30_2018.pdf</w:t>
        </w:r>
      </w:hyperlink>
    </w:p>
    <w:p w14:paraId="42C1E6C5" w14:textId="77777777" w:rsidR="00EC6A8D" w:rsidRPr="00EC6A8D" w:rsidRDefault="00EC6A8D" w:rsidP="00EC6A8D">
      <w:pPr>
        <w:pStyle w:val="BodyText"/>
        <w:rPr>
          <w:rFonts w:ascii="Times New Roman" w:hAnsi="Times New Roman" w:cs="Times New Roman"/>
          <w:color w:val="000000" w:themeColor="text1"/>
        </w:rPr>
      </w:pPr>
      <w:hyperlink r:id="rId56" w:anchor=":~:text=on%20observed%20covariates,heterogeneity%20across%20different%20dimensions%20as">
        <w:r w:rsidRPr="00EC6A8D">
          <w:rPr>
            <w:rFonts w:ascii="Times New Roman" w:hAnsi="Times New Roman" w:cs="Times New Roman"/>
            <w:color w:val="000000" w:themeColor="text1"/>
          </w:rPr>
          <w:t>[2]</w:t>
        </w:r>
      </w:hyperlink>
      <w:r w:rsidRPr="00EC6A8D">
        <w:rPr>
          <w:rFonts w:ascii="Times New Roman" w:hAnsi="Times New Roman" w:cs="Times New Roman"/>
          <w:color w:val="000000" w:themeColor="text1"/>
        </w:rPr>
        <w:t xml:space="preserve"> </w:t>
      </w:r>
      <w:hyperlink r:id="rId57" w:anchor=":~:text=inverse%20probability%20weighting%2C%20or%20doubly,as%20well%20as%20to%20summarize">
        <w:r w:rsidRPr="00EC6A8D">
          <w:rPr>
            <w:rFonts w:ascii="Times New Roman" w:hAnsi="Times New Roman" w:cs="Times New Roman"/>
            <w:color w:val="000000" w:themeColor="text1"/>
          </w:rPr>
          <w:t>[3]</w:t>
        </w:r>
      </w:hyperlink>
      <w:r w:rsidRPr="00EC6A8D">
        <w:rPr>
          <w:rFonts w:ascii="Times New Roman" w:hAnsi="Times New Roman" w:cs="Times New Roman"/>
          <w:color w:val="000000" w:themeColor="text1"/>
        </w:rPr>
        <w:t xml:space="preserve"> </w:t>
      </w:r>
      <w:hyperlink r:id="rId58" w:anchor=":~:text=characteristics%20create%20non,heterogeneity%20across%20different%20dimensions%20as">
        <w:r w:rsidRPr="00EC6A8D">
          <w:rPr>
            <w:rFonts w:ascii="Times New Roman" w:hAnsi="Times New Roman" w:cs="Times New Roman"/>
            <w:color w:val="000000" w:themeColor="text1"/>
          </w:rPr>
          <w:t>[4]</w:t>
        </w:r>
      </w:hyperlink>
      <w:r w:rsidRPr="00EC6A8D">
        <w:rPr>
          <w:rFonts w:ascii="Times New Roman" w:hAnsi="Times New Roman" w:cs="Times New Roman"/>
          <w:color w:val="000000" w:themeColor="text1"/>
        </w:rPr>
        <w:t xml:space="preserve"> </w:t>
      </w:r>
      <w:hyperlink r:id="rId59" w:anchor=":~:text=asymptotic%20properties%20of%20the%20proposed,instead%20of%20pointwise%29%20inference">
        <w:r w:rsidRPr="00EC6A8D">
          <w:rPr>
            <w:rFonts w:ascii="Times New Roman" w:hAnsi="Times New Roman" w:cs="Times New Roman"/>
            <w:color w:val="000000" w:themeColor="text1"/>
          </w:rPr>
          <w:t>[16]</w:t>
        </w:r>
      </w:hyperlink>
      <w:r w:rsidRPr="00EC6A8D">
        <w:rPr>
          <w:rFonts w:ascii="Times New Roman" w:hAnsi="Times New Roman" w:cs="Times New Roman"/>
          <w:color w:val="000000" w:themeColor="text1"/>
        </w:rPr>
        <w:t xml:space="preserve"> psantanna.com</w:t>
      </w:r>
    </w:p>
    <w:p w14:paraId="23BEDDAC" w14:textId="77777777" w:rsidR="00EC6A8D" w:rsidRPr="00EC6A8D" w:rsidRDefault="00EC6A8D" w:rsidP="00EC6A8D">
      <w:pPr>
        <w:pStyle w:val="BodyText"/>
        <w:rPr>
          <w:rFonts w:ascii="Times New Roman" w:hAnsi="Times New Roman" w:cs="Times New Roman"/>
          <w:color w:val="000000" w:themeColor="text1"/>
        </w:rPr>
      </w:pPr>
      <w:hyperlink r:id="rId60">
        <w:r w:rsidRPr="00EC6A8D">
          <w:rPr>
            <w:rFonts w:ascii="Times New Roman" w:hAnsi="Times New Roman" w:cs="Times New Roman"/>
            <w:color w:val="000000" w:themeColor="text1"/>
          </w:rPr>
          <w:t>https://psantanna.com/files/Callaway_SantAnna_2020.pdf</w:t>
        </w:r>
      </w:hyperlink>
    </w:p>
    <w:p w14:paraId="6C4ADB9C" w14:textId="77777777" w:rsidR="00EC6A8D" w:rsidRPr="00EC6A8D" w:rsidRDefault="00EC6A8D" w:rsidP="00EC6A8D">
      <w:pPr>
        <w:pStyle w:val="BodyText"/>
        <w:rPr>
          <w:rFonts w:ascii="Times New Roman" w:hAnsi="Times New Roman" w:cs="Times New Roman"/>
          <w:color w:val="000000" w:themeColor="text1"/>
        </w:rPr>
      </w:pPr>
      <w:hyperlink r:id="rId61" w:anchor=":~:text=consistent%2C%20where%20N%20is%20the,provides%20an%20efficient%20form%20of">
        <w:r w:rsidRPr="00EC6A8D">
          <w:rPr>
            <w:rFonts w:ascii="Times New Roman" w:hAnsi="Times New Roman" w:cs="Times New Roman"/>
            <w:color w:val="000000" w:themeColor="text1"/>
          </w:rPr>
          <w:t>[5]</w:t>
        </w:r>
      </w:hyperlink>
      <w:r w:rsidRPr="00EC6A8D">
        <w:rPr>
          <w:rFonts w:ascii="Times New Roman" w:hAnsi="Times New Roman" w:cs="Times New Roman"/>
          <w:color w:val="000000" w:themeColor="text1"/>
        </w:rPr>
        <w:t xml:space="preserve"> </w:t>
      </w:r>
      <w:hyperlink r:id="rId62" w:anchor=":~:text=%28DML%29,relies%20on%20only%20weak%20theoretical">
        <w:r w:rsidRPr="00EC6A8D">
          <w:rPr>
            <w:rFonts w:ascii="Times New Roman" w:hAnsi="Times New Roman" w:cs="Times New Roman"/>
            <w:color w:val="000000" w:themeColor="text1"/>
          </w:rPr>
          <w:t>[6]</w:t>
        </w:r>
      </w:hyperlink>
      <w:r w:rsidRPr="00EC6A8D">
        <w:rPr>
          <w:rFonts w:ascii="Times New Roman" w:hAnsi="Times New Roman" w:cs="Times New Roman"/>
          <w:color w:val="000000" w:themeColor="text1"/>
        </w:rPr>
        <w:t xml:space="preserve"> economics.mit.edu</w:t>
      </w:r>
    </w:p>
    <w:p w14:paraId="0ED7DE7F" w14:textId="77777777" w:rsidR="00EC6A8D" w:rsidRPr="00EC6A8D" w:rsidRDefault="00EC6A8D" w:rsidP="00EC6A8D">
      <w:pPr>
        <w:pStyle w:val="BodyText"/>
        <w:rPr>
          <w:rFonts w:ascii="Times New Roman" w:hAnsi="Times New Roman" w:cs="Times New Roman"/>
          <w:color w:val="000000" w:themeColor="text1"/>
        </w:rPr>
      </w:pPr>
      <w:hyperlink r:id="rId63">
        <w:r w:rsidRPr="00EC6A8D">
          <w:rPr>
            <w:rFonts w:ascii="Times New Roman" w:hAnsi="Times New Roman" w:cs="Times New Roman"/>
            <w:color w:val="000000" w:themeColor="text1"/>
          </w:rPr>
          <w:t>https://economics.mit.edu/sites/default/files/2022-08/2017.06%20Double%20Debiased%20Machine%20Learning%20for%20Treat.pdf</w:t>
        </w:r>
      </w:hyperlink>
    </w:p>
    <w:p w14:paraId="0A7F5421" w14:textId="77777777" w:rsidR="00EC6A8D" w:rsidRPr="00EC6A8D" w:rsidRDefault="00EC6A8D" w:rsidP="00EC6A8D">
      <w:pPr>
        <w:pStyle w:val="BodyText"/>
        <w:rPr>
          <w:rFonts w:ascii="Times New Roman" w:hAnsi="Times New Roman" w:cs="Times New Roman"/>
          <w:color w:val="000000" w:themeColor="text1"/>
        </w:rPr>
      </w:pPr>
      <w:hyperlink r:id="rId64" w:anchor=":~:text=Let%20tau%28Xi%29%20%3D%20E%5BY%281%29%20,beta">
        <w:r w:rsidRPr="00EC6A8D">
          <w:rPr>
            <w:rFonts w:ascii="Times New Roman" w:hAnsi="Times New Roman" w:cs="Times New Roman"/>
            <w:color w:val="000000" w:themeColor="text1"/>
          </w:rPr>
          <w:t>[7]</w:t>
        </w:r>
      </w:hyperlink>
      <w:r w:rsidRPr="00EC6A8D">
        <w:rPr>
          <w:rFonts w:ascii="Times New Roman" w:hAnsi="Times New Roman" w:cs="Times New Roman"/>
          <w:color w:val="000000" w:themeColor="text1"/>
        </w:rPr>
        <w:t xml:space="preserve"> </w:t>
      </w:r>
      <w:hyperlink r:id="rId65" w:anchor=":~:text=Details">
        <w:r w:rsidRPr="00EC6A8D">
          <w:rPr>
            <w:rFonts w:ascii="Times New Roman" w:hAnsi="Times New Roman" w:cs="Times New Roman"/>
            <w:color w:val="000000" w:themeColor="text1"/>
          </w:rPr>
          <w:t>[8]</w:t>
        </w:r>
      </w:hyperlink>
      <w:r w:rsidRPr="00EC6A8D">
        <w:rPr>
          <w:rFonts w:ascii="Times New Roman" w:hAnsi="Times New Roman" w:cs="Times New Roman"/>
          <w:color w:val="000000" w:themeColor="text1"/>
        </w:rPr>
        <w:t xml:space="preserve"> </w:t>
      </w:r>
      <w:hyperlink r:id="rId66" w:anchor=":~:text=vcov">
        <w:r w:rsidRPr="00EC6A8D">
          <w:rPr>
            <w:rFonts w:ascii="Times New Roman" w:hAnsi="Times New Roman" w:cs="Times New Roman"/>
            <w:color w:val="000000" w:themeColor="text1"/>
          </w:rPr>
          <w:t>[10]</w:t>
        </w:r>
      </w:hyperlink>
      <w:r w:rsidRPr="00EC6A8D">
        <w:rPr>
          <w:rFonts w:ascii="Times New Roman" w:hAnsi="Times New Roman" w:cs="Times New Roman"/>
          <w:color w:val="000000" w:themeColor="text1"/>
        </w:rPr>
        <w:t xml:space="preserve"> Estimate the best linear projection of a conditional average treatment effect. — best_linear_projection • grf</w:t>
      </w:r>
    </w:p>
    <w:p w14:paraId="51CB2CFC" w14:textId="77777777" w:rsidR="00EC6A8D" w:rsidRPr="00EC6A8D" w:rsidRDefault="00EC6A8D" w:rsidP="00EC6A8D">
      <w:pPr>
        <w:pStyle w:val="BodyText"/>
        <w:rPr>
          <w:rFonts w:ascii="Times New Roman" w:hAnsi="Times New Roman" w:cs="Times New Roman"/>
          <w:color w:val="000000" w:themeColor="text1"/>
        </w:rPr>
      </w:pPr>
      <w:hyperlink r:id="rId67">
        <w:r w:rsidRPr="00EC6A8D">
          <w:rPr>
            <w:rFonts w:ascii="Times New Roman" w:hAnsi="Times New Roman" w:cs="Times New Roman"/>
            <w:color w:val="000000" w:themeColor="text1"/>
          </w:rPr>
          <w:t>https://grf-labs.github.io/grf/reference/best_linear_projection.html</w:t>
        </w:r>
      </w:hyperlink>
    </w:p>
    <w:p w14:paraId="7A89A5D2" w14:textId="77777777" w:rsidR="00EC6A8D" w:rsidRPr="00EC6A8D" w:rsidRDefault="00EC6A8D" w:rsidP="00EC6A8D">
      <w:pPr>
        <w:pStyle w:val="BodyText"/>
        <w:rPr>
          <w:rFonts w:ascii="Times New Roman" w:hAnsi="Times New Roman" w:cs="Times New Roman"/>
          <w:color w:val="000000" w:themeColor="text1"/>
        </w:rPr>
      </w:pPr>
      <w:hyperlink r:id="rId68" w:anchor=":~:text=parameter%2C%20which%20we%20estimate%20by,basis%20functions%20are%20group%20indicators">
        <w:r w:rsidRPr="00EC6A8D">
          <w:rPr>
            <w:rFonts w:ascii="Times New Roman" w:hAnsi="Times New Roman" w:cs="Times New Roman"/>
            <w:color w:val="000000" w:themeColor="text1"/>
          </w:rPr>
          <w:t>[9]</w:t>
        </w:r>
      </w:hyperlink>
      <w:r w:rsidRPr="00EC6A8D">
        <w:rPr>
          <w:rFonts w:ascii="Times New Roman" w:hAnsi="Times New Roman" w:cs="Times New Roman"/>
          <w:color w:val="000000" w:themeColor="text1"/>
        </w:rPr>
        <w:t xml:space="preserve"> [1702.06240] Debiased Machine Learning of Conditional Average Treatment Effects and Other Causal Functions</w:t>
      </w:r>
    </w:p>
    <w:p w14:paraId="0DAB672C" w14:textId="77777777" w:rsidR="00EC6A8D" w:rsidRPr="00EC6A8D" w:rsidRDefault="00EC6A8D" w:rsidP="00EC6A8D">
      <w:pPr>
        <w:pStyle w:val="BodyText"/>
        <w:rPr>
          <w:rFonts w:ascii="Times New Roman" w:hAnsi="Times New Roman" w:cs="Times New Roman"/>
          <w:color w:val="000000" w:themeColor="text1"/>
        </w:rPr>
      </w:pPr>
      <w:hyperlink r:id="rId69">
        <w:r w:rsidRPr="00EC6A8D">
          <w:rPr>
            <w:rFonts w:ascii="Times New Roman" w:hAnsi="Times New Roman" w:cs="Times New Roman"/>
            <w:color w:val="000000" w:themeColor="text1"/>
          </w:rPr>
          <w:t>https://arxiv.org/abs/1702.06240</w:t>
        </w:r>
      </w:hyperlink>
    </w:p>
    <w:p w14:paraId="03A1BC75" w14:textId="77777777" w:rsidR="00EC6A8D" w:rsidRPr="00EC6A8D" w:rsidRDefault="00EC6A8D" w:rsidP="00EC6A8D">
      <w:pPr>
        <w:pStyle w:val="BodyText"/>
        <w:rPr>
          <w:rFonts w:ascii="Times New Roman" w:hAnsi="Times New Roman" w:cs="Times New Roman"/>
          <w:color w:val="000000" w:themeColor="text1"/>
        </w:rPr>
      </w:pPr>
      <w:hyperlink r:id="rId70" w:anchor=":~:text=,yield%20a%20statistically%20significant">
        <w:r w:rsidRPr="00EC6A8D">
          <w:rPr>
            <w:rFonts w:ascii="Times New Roman" w:hAnsi="Times New Roman" w:cs="Times New Roman"/>
            <w:color w:val="000000" w:themeColor="text1"/>
          </w:rPr>
          <w:t>[11]</w:t>
        </w:r>
      </w:hyperlink>
      <w:r w:rsidRPr="00EC6A8D">
        <w:rPr>
          <w:rFonts w:ascii="Times New Roman" w:hAnsi="Times New Roman" w:cs="Times New Roman"/>
          <w:color w:val="000000" w:themeColor="text1"/>
        </w:rPr>
        <w:t xml:space="preserve"> [PDF] ML and Causal Inference I: HTE - Jiawei Fu</w:t>
      </w:r>
    </w:p>
    <w:p w14:paraId="6EC79431" w14:textId="77777777" w:rsidR="00EC6A8D" w:rsidRPr="00EC6A8D" w:rsidRDefault="00EC6A8D" w:rsidP="00EC6A8D">
      <w:pPr>
        <w:pStyle w:val="BodyText"/>
        <w:rPr>
          <w:rFonts w:ascii="Times New Roman" w:hAnsi="Times New Roman" w:cs="Times New Roman"/>
          <w:color w:val="000000" w:themeColor="text1"/>
        </w:rPr>
      </w:pPr>
      <w:hyperlink r:id="rId71">
        <w:r w:rsidRPr="00EC6A8D">
          <w:rPr>
            <w:rFonts w:ascii="Times New Roman" w:hAnsi="Times New Roman" w:cs="Times New Roman"/>
            <w:color w:val="000000" w:themeColor="text1"/>
          </w:rPr>
          <w:t>https://jiaweifu.org/pdf/Lec_hte.pdf</w:t>
        </w:r>
      </w:hyperlink>
    </w:p>
    <w:p w14:paraId="798D04C6" w14:textId="77777777" w:rsidR="00EC6A8D" w:rsidRPr="00EC6A8D" w:rsidRDefault="00EC6A8D" w:rsidP="00EC6A8D">
      <w:pPr>
        <w:pStyle w:val="BodyText"/>
        <w:rPr>
          <w:rFonts w:ascii="Times New Roman" w:hAnsi="Times New Roman" w:cs="Times New Roman"/>
          <w:color w:val="000000" w:themeColor="text1"/>
        </w:rPr>
      </w:pPr>
      <w:hyperlink r:id="rId72" w:anchor=":~:text=This%20data%20interactive%20accompanies%20%E2%80%9CSNAP,Bauer%20and%20Diane%20Whitmore%20Schanzenbach">
        <w:r w:rsidRPr="00EC6A8D">
          <w:rPr>
            <w:rFonts w:ascii="Times New Roman" w:hAnsi="Times New Roman" w:cs="Times New Roman"/>
            <w:color w:val="000000" w:themeColor="text1"/>
          </w:rPr>
          <w:t>[12]</w:t>
        </w:r>
      </w:hyperlink>
      <w:r w:rsidRPr="00EC6A8D">
        <w:rPr>
          <w:rFonts w:ascii="Times New Roman" w:hAnsi="Times New Roman" w:cs="Times New Roman"/>
          <w:color w:val="000000" w:themeColor="text1"/>
        </w:rPr>
        <w:t xml:space="preserve"> </w:t>
      </w:r>
      <w:hyperlink r:id="rId73" w:anchor=":~:text=The%20One%20Big%20Beautiful%20Bill,seasonal%20average">
        <w:r w:rsidRPr="00EC6A8D">
          <w:rPr>
            <w:rFonts w:ascii="Times New Roman" w:hAnsi="Times New Roman" w:cs="Times New Roman"/>
            <w:color w:val="000000" w:themeColor="text1"/>
          </w:rPr>
          <w:t>[13]</w:t>
        </w:r>
      </w:hyperlink>
      <w:r w:rsidRPr="00EC6A8D">
        <w:rPr>
          <w:rFonts w:ascii="Times New Roman" w:hAnsi="Times New Roman" w:cs="Times New Roman"/>
          <w:color w:val="000000" w:themeColor="text1"/>
        </w:rPr>
        <w:t xml:space="preserve"> </w:t>
      </w:r>
      <w:hyperlink r:id="rId74" w:anchor=":~:text=What%20is%20the%20new%20OBBBA,policy">
        <w:r w:rsidRPr="00EC6A8D">
          <w:rPr>
            <w:rFonts w:ascii="Times New Roman" w:hAnsi="Times New Roman" w:cs="Times New Roman"/>
            <w:color w:val="000000" w:themeColor="text1"/>
          </w:rPr>
          <w:t>[14]</w:t>
        </w:r>
      </w:hyperlink>
      <w:r w:rsidRPr="00EC6A8D">
        <w:rPr>
          <w:rFonts w:ascii="Times New Roman" w:hAnsi="Times New Roman" w:cs="Times New Roman"/>
          <w:color w:val="000000" w:themeColor="text1"/>
        </w:rPr>
        <w:t xml:space="preserve"> </w:t>
      </w:r>
      <w:hyperlink r:id="rId75" w:anchor=":~:text=To%20understand%20how%20these%20changes,unemployment%20rate%20threshold%20by%20state">
        <w:r w:rsidRPr="00EC6A8D">
          <w:rPr>
            <w:rFonts w:ascii="Times New Roman" w:hAnsi="Times New Roman" w:cs="Times New Roman"/>
            <w:color w:val="000000" w:themeColor="text1"/>
          </w:rPr>
          <w:t>[15]</w:t>
        </w:r>
      </w:hyperlink>
      <w:r w:rsidRPr="00EC6A8D">
        <w:rPr>
          <w:rFonts w:ascii="Times New Roman" w:hAnsi="Times New Roman" w:cs="Times New Roman"/>
          <w:color w:val="000000" w:themeColor="text1"/>
        </w:rPr>
        <w:t xml:space="preserve"> Assessing SNAP work requirement waiver policies by applying OBBBA rules to the Great Recession - The Hamilton Project</w:t>
      </w:r>
    </w:p>
    <w:p w14:paraId="31FD0C34" w14:textId="77777777" w:rsidR="00EC6A8D" w:rsidRPr="00EC6A8D" w:rsidRDefault="00EC6A8D" w:rsidP="00EC6A8D">
      <w:pPr>
        <w:pStyle w:val="BodyText"/>
        <w:rPr>
          <w:rFonts w:ascii="Times New Roman" w:hAnsi="Times New Roman" w:cs="Times New Roman"/>
          <w:color w:val="000000" w:themeColor="text1"/>
        </w:rPr>
      </w:pPr>
      <w:hyperlink r:id="rId76">
        <w:r w:rsidRPr="00EC6A8D">
          <w:rPr>
            <w:rFonts w:ascii="Times New Roman" w:hAnsi="Times New Roman" w:cs="Times New Roman"/>
            <w:color w:val="000000" w:themeColor="text1"/>
          </w:rPr>
          <w:t>https://www.hamiltonproject.org/data/assessing-snap-work-requirement-waiver-policies-by-applying-obbba-rules-to-the-great-recession/</w:t>
        </w:r>
      </w:hyperlink>
    </w:p>
    <w:p w14:paraId="05C123FC" w14:textId="77777777" w:rsidR="00EC6A8D" w:rsidRPr="00EB4F6A" w:rsidRDefault="00EC6A8D" w:rsidP="00EB4F6A">
      <w:pPr>
        <w:pStyle w:val="BodyText"/>
        <w:spacing w:line="360" w:lineRule="auto"/>
        <w:rPr>
          <w:rFonts w:ascii="Times New Roman" w:hAnsi="Times New Roman" w:cs="Times New Roman"/>
          <w:color w:val="000000" w:themeColor="text1"/>
        </w:rPr>
      </w:pPr>
    </w:p>
    <w:sectPr w:rsidR="00EC6A8D" w:rsidRPr="00EB4F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6C7F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00A6B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08212213">
    <w:abstractNumId w:val="0"/>
  </w:num>
  <w:num w:numId="2" w16cid:durableId="1134565557">
    <w:abstractNumId w:val="1"/>
  </w:num>
  <w:num w:numId="3" w16cid:durableId="1489512077">
    <w:abstractNumId w:val="1"/>
  </w:num>
  <w:num w:numId="4" w16cid:durableId="1567108216">
    <w:abstractNumId w:val="1"/>
  </w:num>
  <w:num w:numId="5" w16cid:durableId="686560005">
    <w:abstractNumId w:val="1"/>
  </w:num>
  <w:num w:numId="6" w16cid:durableId="934442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05B0A"/>
    <w:rsid w:val="00305B0A"/>
    <w:rsid w:val="003E58F4"/>
    <w:rsid w:val="0061050A"/>
    <w:rsid w:val="008D4FA5"/>
    <w:rsid w:val="00A3305A"/>
    <w:rsid w:val="00B42965"/>
    <w:rsid w:val="00D807DC"/>
    <w:rsid w:val="00EB4F6A"/>
    <w:rsid w:val="00EC6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BF76"/>
  <w15:docId w15:val="{223F95EC-EE2B-3B43-BE5F-60918867F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conomics.mit.edu/sites/default/files/2022-08/2017.06%20Double%20Debiased%20Machine%20Learning%20for%20Treat.pdf" TargetMode="External"/><Relationship Id="rId21" Type="http://schemas.openxmlformats.org/officeDocument/2006/relationships/hyperlink" Target="https://psantanna.com/files/Callaway_SantAnna_2020.pdf" TargetMode="External"/><Relationship Id="rId42" Type="http://schemas.openxmlformats.org/officeDocument/2006/relationships/hyperlink" Target="https://www.hamiltonproject.org/data/assessing-snap-work-requirement-waiver-policies-by-applying-obbba-rules-to-the-great-recession/" TargetMode="External"/><Relationship Id="rId47" Type="http://schemas.openxmlformats.org/officeDocument/2006/relationships/hyperlink" Target="https://www.michigan.gov/-/media/Project/Websites/mdhhs/Folder1/Folder69/ABAWD_Notice_Sample.pdf?rev=4e233b41f28944fb8485688491cabb27" TargetMode="External"/><Relationship Id="rId63" Type="http://schemas.openxmlformats.org/officeDocument/2006/relationships/hyperlink" Target="https://economics.mit.edu/sites/default/files/2022-08/2017.06%20Double%20Debiased%20Machine%20Learning%20for%20Treat.pdf" TargetMode="External"/><Relationship Id="rId68" Type="http://schemas.openxmlformats.org/officeDocument/2006/relationships/hyperlink" Target="https://arxiv.org/abs/1702.06240" TargetMode="External"/><Relationship Id="rId16" Type="http://schemas.openxmlformats.org/officeDocument/2006/relationships/hyperlink" Target="https://www.michigan.gov/mdhhs/inside-mdhhs/newsroom/2018/08/17/food-assistance-work-requirements-for-able-bodied-adults-being-reinstated" TargetMode="External"/><Relationship Id="rId11" Type="http://schemas.openxmlformats.org/officeDocument/2006/relationships/hyperlink" Target="https://otda.ny.gov/policy/gis/2025/25DC055.pdf" TargetMode="External"/><Relationship Id="rId24" Type="http://schemas.openxmlformats.org/officeDocument/2006/relationships/hyperlink" Target="https://economics.mit.edu/sites/default/files/2022-08/2017.06%20Double%20Debiased%20Machine%20Learning%20for%20Treat.pdf" TargetMode="External"/><Relationship Id="rId32" Type="http://schemas.openxmlformats.org/officeDocument/2006/relationships/hyperlink" Target="https://grf-labs.github.io/grf/reference/best_linear_projection.html" TargetMode="External"/><Relationship Id="rId37" Type="http://schemas.openxmlformats.org/officeDocument/2006/relationships/hyperlink" Target="https://jiaweifu.org/pdf/Lec_hte.pdf" TargetMode="External"/><Relationship Id="rId40" Type="http://schemas.openxmlformats.org/officeDocument/2006/relationships/hyperlink" Target="https://www.hamiltonproject.org/data/assessing-snap-work-requirement-waiver-policies-by-applying-obbba-rules-to-the-great-recession/" TargetMode="External"/><Relationship Id="rId45" Type="http://schemas.openxmlformats.org/officeDocument/2006/relationships/hyperlink" Target="https://psantanna.com/files/Callaway_SantAnna_2020.pdf" TargetMode="External"/><Relationship Id="rId53" Type="http://schemas.openxmlformats.org/officeDocument/2006/relationships/hyperlink" Target="https://www.epi.org/publication/snap-medicaid-work-requirements/" TargetMode="External"/><Relationship Id="rId58" Type="http://schemas.openxmlformats.org/officeDocument/2006/relationships/hyperlink" Target="https://psantanna.com/files/Callaway_SantAnna_2020.pdf" TargetMode="External"/><Relationship Id="rId66" Type="http://schemas.openxmlformats.org/officeDocument/2006/relationships/hyperlink" Target="https://grf-labs.github.io/grf/reference/best_linear_projection.html" TargetMode="External"/><Relationship Id="rId74" Type="http://schemas.openxmlformats.org/officeDocument/2006/relationships/hyperlink" Target="https://www.hamiltonproject.org/data/assessing-snap-work-requirement-waiver-policies-by-applying-obbba-rules-to-the-great-recession/" TargetMode="External"/><Relationship Id="rId5" Type="http://schemas.openxmlformats.org/officeDocument/2006/relationships/hyperlink" Target="http://www.ers.usda.gov/topics/food-nutrition-assistance/supplemental-nutrition-assistance-program-snap/key-statistics-and-research" TargetMode="External"/><Relationship Id="rId61" Type="http://schemas.openxmlformats.org/officeDocument/2006/relationships/hyperlink" Target="https://economics.mit.edu/sites/default/files/2022-08/2017.06%20Double%20Debiased%20Machine%20Learning%20for%20Treat.pdf" TargetMode="External"/><Relationship Id="rId19" Type="http://schemas.openxmlformats.org/officeDocument/2006/relationships/hyperlink" Target="https://psantanna.com/files/Callaway_SantAnna_2020.pdf" TargetMode="External"/><Relationship Id="rId14" Type="http://schemas.openxmlformats.org/officeDocument/2006/relationships/hyperlink" Target="https://www.michigan.gov/-/media/Project/Websites/mdhhs/Folder4/Folder6/Folder3/Folder106/Folder2/Folder206/Folder1/Folder306/GA024_2017_Annual_FAP.pdf?rev=b2499ea25f834964a8747505310582e9" TargetMode="External"/><Relationship Id="rId22" Type="http://schemas.openxmlformats.org/officeDocument/2006/relationships/hyperlink" Target="https://psantanna.com/files/Callaway_SantAnna_2020.pdf" TargetMode="External"/><Relationship Id="rId27" Type="http://schemas.openxmlformats.org/officeDocument/2006/relationships/hyperlink" Target="https://economics.mit.edu/sites/default/files/2022-08/2017.06%20Double%20Debiased%20Machine%20Learning%20for%20Treat.pdf" TargetMode="External"/><Relationship Id="rId30" Type="http://schemas.openxmlformats.org/officeDocument/2006/relationships/hyperlink" Target="https://grf-labs.github.io/grf/reference/best_linear_projection.html" TargetMode="External"/><Relationship Id="rId35" Type="http://schemas.openxmlformats.org/officeDocument/2006/relationships/hyperlink" Target="https://grf-labs.github.io/grf/reference/best_linear_projection.html" TargetMode="External"/><Relationship Id="rId43" Type="http://schemas.openxmlformats.org/officeDocument/2006/relationships/hyperlink" Target="https://www.hamiltonproject.org/data/assessing-snap-work-requirement-waiver-policies-by-applying-obbba-rules-to-the-great-recession/" TargetMode="External"/><Relationship Id="rId48" Type="http://schemas.openxmlformats.org/officeDocument/2006/relationships/hyperlink" Target="https://www.michigan.gov/mdhhs/inside-mdhhs/newsroom/2018/08/17/food-assistance-work-requirements-for-able-bodied-adults-being-reinstated" TargetMode="External"/><Relationship Id="rId56" Type="http://schemas.openxmlformats.org/officeDocument/2006/relationships/hyperlink" Target="https://psantanna.com/files/Callaway_SantAnna_2020.pdf" TargetMode="External"/><Relationship Id="rId64" Type="http://schemas.openxmlformats.org/officeDocument/2006/relationships/hyperlink" Target="https://grf-labs.github.io/grf/reference/best_linear_projection.html" TargetMode="External"/><Relationship Id="rId69" Type="http://schemas.openxmlformats.org/officeDocument/2006/relationships/hyperlink" Target="https://arxiv.org/abs/1702.06240" TargetMode="External"/><Relationship Id="rId77" Type="http://schemas.openxmlformats.org/officeDocument/2006/relationships/fontTable" Target="fontTable.xml"/><Relationship Id="rId8" Type="http://schemas.openxmlformats.org/officeDocument/2006/relationships/hyperlink" Target="https://otda.ny.gov/policy/gis/2025/25DC055.pdf" TargetMode="External"/><Relationship Id="rId51" Type="http://schemas.openxmlformats.org/officeDocument/2006/relationships/hyperlink" Target="https://otda.ny.gov/policy/gis/2025/25DC055.pdf" TargetMode="External"/><Relationship Id="rId72" Type="http://schemas.openxmlformats.org/officeDocument/2006/relationships/hyperlink" Target="https://www.hamiltonproject.org/data/assessing-snap-work-requirement-waiver-policies-by-applying-obbba-rules-to-the-great-recession/" TargetMode="External"/><Relationship Id="rId3" Type="http://schemas.openxmlformats.org/officeDocument/2006/relationships/settings" Target="settings.xml"/><Relationship Id="rId12" Type="http://schemas.openxmlformats.org/officeDocument/2006/relationships/hyperlink" Target="https://www.epi.org/publication/snap-medicaid-work-requirements/" TargetMode="External"/><Relationship Id="rId17" Type="http://schemas.openxmlformats.org/officeDocument/2006/relationships/hyperlink" Target="https://poverty.umich.edu/10/files/2018/08/SNAP_study_policy_brief_July_30_2018.pdf" TargetMode="External"/><Relationship Id="rId25" Type="http://schemas.openxmlformats.org/officeDocument/2006/relationships/hyperlink" Target="https://economics.mit.edu/sites/default/files/2022-08/2017.06%20Double%20Debiased%20Machine%20Learning%20for%20Treat.pdf" TargetMode="External"/><Relationship Id="rId33" Type="http://schemas.openxmlformats.org/officeDocument/2006/relationships/hyperlink" Target="https://grf-labs.github.io/grf/reference/best_linear_projection.html" TargetMode="External"/><Relationship Id="rId38" Type="http://schemas.openxmlformats.org/officeDocument/2006/relationships/hyperlink" Target="https://grf-labs.github.io/grf/reference/best_linear_projection.html" TargetMode="External"/><Relationship Id="rId46" Type="http://schemas.openxmlformats.org/officeDocument/2006/relationships/hyperlink" Target="https://economics.mit.edu/sites/default/files/2022-08/2017.06%20Double%20Debiased%20Machine%20Learning%20for%20Treat.pdf" TargetMode="External"/><Relationship Id="rId59" Type="http://schemas.openxmlformats.org/officeDocument/2006/relationships/hyperlink" Target="https://psantanna.com/files/Callaway_SantAnna_2020.pdf" TargetMode="External"/><Relationship Id="rId67" Type="http://schemas.openxmlformats.org/officeDocument/2006/relationships/hyperlink" Target="https://grf-labs.github.io/grf/reference/best_linear_projection.html" TargetMode="External"/><Relationship Id="rId20" Type="http://schemas.openxmlformats.org/officeDocument/2006/relationships/hyperlink" Target="https://psantanna.com/files/Callaway_SantAnna_2020.pdf" TargetMode="External"/><Relationship Id="rId41" Type="http://schemas.openxmlformats.org/officeDocument/2006/relationships/hyperlink" Target="https://www.hamiltonproject.org/data/assessing-snap-work-requirement-waiver-policies-by-applying-obbba-rules-to-the-great-recession/" TargetMode="External"/><Relationship Id="rId54" Type="http://schemas.openxmlformats.org/officeDocument/2006/relationships/hyperlink" Target="https://poverty.umich.edu/10/files/2018/08/SNAP_study_policy_brief_July_30_2018.pdf" TargetMode="External"/><Relationship Id="rId62" Type="http://schemas.openxmlformats.org/officeDocument/2006/relationships/hyperlink" Target="https://economics.mit.edu/sites/default/files/2022-08/2017.06%20Double%20Debiased%20Machine%20Learning%20for%20Treat.pdf" TargetMode="External"/><Relationship Id="rId70" Type="http://schemas.openxmlformats.org/officeDocument/2006/relationships/hyperlink" Target="https://jiaweifu.org/pdf/Lec_hte.pdf" TargetMode="External"/><Relationship Id="rId75" Type="http://schemas.openxmlformats.org/officeDocument/2006/relationships/hyperlink" Target="https://www.hamiltonproject.org/data/assessing-snap-work-requirement-waiver-policies-by-applying-obbba-rules-to-the-great-recession/" TargetMode="External"/><Relationship Id="rId1" Type="http://schemas.openxmlformats.org/officeDocument/2006/relationships/numbering" Target="numbering.xml"/><Relationship Id="rId6" Type="http://schemas.openxmlformats.org/officeDocument/2006/relationships/hyperlink" Target="http://www.ers.usda.gov/topics/food-nutrition-assistance/supplemental-nutrition-assistance-program-snap/key-statistics-and-research" TargetMode="External"/><Relationship Id="rId15" Type="http://schemas.openxmlformats.org/officeDocument/2006/relationships/hyperlink" Target="https://www.michigan.gov/-/media/Project/Websites/mdhhs/Folder1/Folder69/ABAWD_Notice_Sample.pdf?rev=4e233b41f28944fb8485688491cabb27" TargetMode="External"/><Relationship Id="rId23" Type="http://schemas.openxmlformats.org/officeDocument/2006/relationships/hyperlink" Target="https://economics.mit.edu/sites/default/files/2022-08/2017.06%20Double%20Debiased%20Machine%20Learning%20for%20Treat.pdf" TargetMode="External"/><Relationship Id="rId28" Type="http://schemas.openxmlformats.org/officeDocument/2006/relationships/hyperlink" Target="https://economics.mit.edu/sites/default/files/2022-08/2017.06%20Double%20Debiased%20Machine%20Learning%20for%20Treat.pdf" TargetMode="External"/><Relationship Id="rId36" Type="http://schemas.openxmlformats.org/officeDocument/2006/relationships/hyperlink" Target="https://grf-labs.github.io/grf/reference/best_linear_projection.html" TargetMode="External"/><Relationship Id="rId49" Type="http://schemas.openxmlformats.org/officeDocument/2006/relationships/hyperlink" Target="https://www.michigan.gov/-/media/Project/Websites/mdhhs/Folder4/Folder6/Folder3/Folder106/Folder2/Folder206/Folder1/Folder306/GA024_2017_Annual_FAP.pdf?rev=b2499ea25f834964a8747505310582e9" TargetMode="External"/><Relationship Id="rId57" Type="http://schemas.openxmlformats.org/officeDocument/2006/relationships/hyperlink" Target="https://psantanna.com/files/Callaway_SantAnna_2020.pdf" TargetMode="External"/><Relationship Id="rId10" Type="http://schemas.openxmlformats.org/officeDocument/2006/relationships/hyperlink" Target="https://otda.ny.gov/policy/gis/2025/25DC055.pdf" TargetMode="External"/><Relationship Id="rId31" Type="http://schemas.openxmlformats.org/officeDocument/2006/relationships/hyperlink" Target="https://grf-labs.github.io/grf/reference/best_linear_projection.html" TargetMode="External"/><Relationship Id="rId44" Type="http://schemas.openxmlformats.org/officeDocument/2006/relationships/hyperlink" Target="https://psantanna.com/files/Callaway_SantAnna_2020.pdf" TargetMode="External"/><Relationship Id="rId52" Type="http://schemas.openxmlformats.org/officeDocument/2006/relationships/hyperlink" Target="https://otda.ny.gov/policy/gis/2025/25DC055.pdf" TargetMode="External"/><Relationship Id="rId60" Type="http://schemas.openxmlformats.org/officeDocument/2006/relationships/hyperlink" Target="https://psantanna.com/files/Callaway_SantAnna_2020.pdf" TargetMode="External"/><Relationship Id="rId65" Type="http://schemas.openxmlformats.org/officeDocument/2006/relationships/hyperlink" Target="https://grf-labs.github.io/grf/reference/best_linear_projection.html" TargetMode="External"/><Relationship Id="rId73" Type="http://schemas.openxmlformats.org/officeDocument/2006/relationships/hyperlink" Target="https://www.hamiltonproject.org/data/assessing-snap-work-requirement-waiver-policies-by-applying-obbba-rules-to-the-great-recession/"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tda.ny.gov/policy/gis/2025/25DC055.pdf" TargetMode="External"/><Relationship Id="rId13" Type="http://schemas.openxmlformats.org/officeDocument/2006/relationships/hyperlink" Target="https://www.icpsr.umich.edu/web/sbeccc/studies/39331" TargetMode="External"/><Relationship Id="rId18" Type="http://schemas.openxmlformats.org/officeDocument/2006/relationships/hyperlink" Target="https://psantanna.com/files/Callaway_SantAnna_2020.pdf" TargetMode="External"/><Relationship Id="rId39" Type="http://schemas.openxmlformats.org/officeDocument/2006/relationships/hyperlink" Target="https://economics.mit.edu/sites/default/files/2022-08/2017.06%20Double%20Debiased%20Machine%20Learning%20for%20Treat.pdf" TargetMode="External"/><Relationship Id="rId34" Type="http://schemas.openxmlformats.org/officeDocument/2006/relationships/hyperlink" Target="https://arxiv.org/abs/1702.06240" TargetMode="External"/><Relationship Id="rId50" Type="http://schemas.openxmlformats.org/officeDocument/2006/relationships/hyperlink" Target="https://dfcs.georgia.gov/services/snap/able-bodied-adult-without-dependents" TargetMode="External"/><Relationship Id="rId55" Type="http://schemas.openxmlformats.org/officeDocument/2006/relationships/hyperlink" Target="https://poverty.umich.edu/10/files/2018/08/SNAP_study_policy_brief_July_30_2018.pdf" TargetMode="External"/><Relationship Id="rId76" Type="http://schemas.openxmlformats.org/officeDocument/2006/relationships/hyperlink" Target="https://www.hamiltonproject.org/data/assessing-snap-work-requirement-waiver-policies-by-applying-obbba-rules-to-the-great-recession/" TargetMode="External"/><Relationship Id="rId7" Type="http://schemas.openxmlformats.org/officeDocument/2006/relationships/hyperlink" Target="https://dfcs.georgia.gov/services/snap/able-bodied-adult-without-dependents" TargetMode="External"/><Relationship Id="rId71" Type="http://schemas.openxmlformats.org/officeDocument/2006/relationships/hyperlink" Target="https://jiaweifu.org/pdf/Lec_hte.pdf" TargetMode="External"/><Relationship Id="rId2" Type="http://schemas.openxmlformats.org/officeDocument/2006/relationships/styles" Target="styles.xml"/><Relationship Id="rId29" Type="http://schemas.openxmlformats.org/officeDocument/2006/relationships/hyperlink" Target="https://grf-labs.github.io/grf/reference/best_linear_proje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17</Pages>
  <Words>7412</Words>
  <Characters>42253</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Zhang, Jiaming</cp:lastModifiedBy>
  <cp:revision>4</cp:revision>
  <dcterms:created xsi:type="dcterms:W3CDTF">2025-10-10T19:54:00Z</dcterms:created>
  <dcterms:modified xsi:type="dcterms:W3CDTF">2025-10-30T14:14:00Z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