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603" w14:textId="77777777" w:rsidR="004B458B" w:rsidRPr="00BF3452" w:rsidRDefault="004B458B" w:rsidP="004B458B">
      <w:pPr>
        <w:pStyle w:val="NormalWeb"/>
        <w:rPr>
          <w:b/>
          <w:bCs/>
        </w:rPr>
      </w:pPr>
      <w:r w:rsidRPr="00BF3452">
        <w:rPr>
          <w:b/>
          <w:bCs/>
        </w:rPr>
        <w:t>Projected SNAP Caseload Losses under Expanded ABAWD Work Requirements:</w:t>
      </w:r>
      <w:r w:rsidRPr="00BF3452">
        <w:rPr>
          <w:b/>
          <w:bCs/>
        </w:rPr>
        <w:br/>
        <w:t>Evidence from Michigan’s Staggered Reinstatement and Ex-Ante Risk Mapping</w:t>
      </w:r>
    </w:p>
    <w:p w14:paraId="420323F6" w14:textId="77777777" w:rsidR="004B458B" w:rsidRDefault="004B458B" w:rsidP="004B458B">
      <w:pPr>
        <w:pStyle w:val="NormalWeb"/>
      </w:pPr>
      <w:r>
        <w:rPr>
          <w:rFonts w:eastAsiaTheme="minorEastAsia" w:hint="eastAsia"/>
        </w:rPr>
        <w:t>T</w:t>
      </w:r>
      <w:r>
        <w:t>he Supplemental Nutrition</w:t>
      </w:r>
      <w:r>
        <w:rPr>
          <w:rFonts w:eastAsiaTheme="minorEastAsia" w:hint="eastAsia"/>
        </w:rPr>
        <w:t xml:space="preserve"> </w:t>
      </w:r>
      <w:r>
        <w:t>Assistance Program (SNAP)</w:t>
      </w:r>
      <w:r>
        <w:rPr>
          <w:rFonts w:eastAsiaTheme="minorEastAsia" w:hint="eastAsia"/>
        </w:rPr>
        <w:t xml:space="preserve"> is a major federal program to provide financial support for families with low income to buy certain products, mostly food.  Certain requirements need to be satisfied in order for ones to qualify as SNAP </w:t>
      </w:r>
      <w:r>
        <w:rPr>
          <w:rFonts w:eastAsiaTheme="minorEastAsia"/>
        </w:rPr>
        <w:t>recipients</w:t>
      </w:r>
      <w:r>
        <w:rPr>
          <w:rFonts w:eastAsiaTheme="minorEastAsia" w:hint="eastAsia"/>
        </w:rPr>
        <w:t>, and w</w:t>
      </w:r>
      <w:r>
        <w:t xml:space="preserve">ork requirements for able-bodied adults without dependents (ABAWDs) remain one of the most controversial instruments. While intended to encourage labor market attachment, evidence from past implementations indicates that observed </w:t>
      </w:r>
      <w:r>
        <w:rPr>
          <w:rFonts w:eastAsiaTheme="minorEastAsia" w:hint="eastAsia"/>
        </w:rPr>
        <w:t xml:space="preserve">program </w:t>
      </w:r>
      <w:r>
        <w:t xml:space="preserve">caseload declines often reflect </w:t>
      </w:r>
      <w:r w:rsidRPr="00972939">
        <w:rPr>
          <w:rStyle w:val="Strong"/>
          <w:rFonts w:eastAsiaTheme="majorEastAsia"/>
          <w:b w:val="0"/>
          <w:bCs w:val="0"/>
        </w:rPr>
        <w:t>compliance costs, information frictions, and administrative burden</w:t>
      </w:r>
      <w:r w:rsidRPr="00972939">
        <w:t>,</w:t>
      </w:r>
      <w:r>
        <w:t xml:space="preserve"> rather than sustained increases in employment. As </w:t>
      </w:r>
      <w:r>
        <w:rPr>
          <w:rFonts w:eastAsiaTheme="minorEastAsia" w:hint="eastAsia"/>
        </w:rPr>
        <w:t xml:space="preserve">current </w:t>
      </w:r>
      <w:r>
        <w:t>federal policymakers consider expanding ABAWD requirements by increasing the covered age range and sharply limiting geographic waivers, a central policy question emerges: if expanded requirements were imposed, where would SNAP participation decline the most, and which local conditions predict vulnerability to administratively driven exits? Existing projections largely emphasize aggregate caseload changes and provide limited guidance for targeted outreach, exemption design, or administrative capacity planning.</w:t>
      </w:r>
    </w:p>
    <w:p w14:paraId="0D876A2A" w14:textId="77777777" w:rsidR="004B458B" w:rsidRDefault="004B458B" w:rsidP="004B458B">
      <w:pPr>
        <w:pStyle w:val="NormalWeb"/>
      </w:pPr>
      <w:r>
        <w:t xml:space="preserve">This paper develops an applied empirical framework to generate ex-ante forecasts of heterogeneous SNAP caseload losses under an expanded ABAWD regime, using Michigan’s 2017–2018 phased reinstatement of ABAWD time limits as a natural experiment. Michigan provides a useful setting because </w:t>
      </w:r>
      <w:r>
        <w:rPr>
          <w:rFonts w:eastAsiaTheme="minorEastAsia" w:hint="eastAsia"/>
        </w:rPr>
        <w:t xml:space="preserve">its </w:t>
      </w:r>
      <w:r>
        <w:t>counties reintroduced the time limit at different dates, creating policy-driven timing variation in exposure while holding state-level rules and administration fixed. We use this rollout to estimate the causal impact of reinstatement on county SNAP participation, characterize systematic heterogeneity across counties, and translate that structure into forecasts for a 2025 policy scenario with expanded coverage and limited waiver availability.</w:t>
      </w:r>
    </w:p>
    <w:p w14:paraId="60F86ADB" w14:textId="36D38091" w:rsidR="00B144DE" w:rsidRDefault="00B144DE" w:rsidP="004B458B">
      <w:pPr>
        <w:pStyle w:val="NormalWeb"/>
        <w:rPr>
          <w:rFonts w:hint="eastAsia"/>
        </w:rPr>
      </w:pPr>
      <w:r>
        <w:t>Our analysis draws on publicly available county-month data for Michigan from 2016–2020, combining SNAP enrollment records with the county-level ABAWD reinstatement schedule and local covariates. The primary dependent variable is county-month SNAP participation, measured as total SNAP recipients (and, in robustness, recipients per capita and log caseloads). The main explanatory variable is ABAWD time-limit exposure, assigned by each county’s reinstatement date in the 2017–2018 phased rollout and modeled dynamically in an event-study design. To capture and forecast heterogeneity, we incorporate baseline county conditions and moderators including unemployment and labor force indicators (BLS), rurality, demographic composition, social vulnerability measures, and pre-policy SNAP intensity; for the risk-mapping stage, we additionally use ACS PUMS microdata to translate county-level projections into individual exposure profiles.</w:t>
      </w:r>
    </w:p>
    <w:p w14:paraId="7137DF63" w14:textId="77777777" w:rsidR="004B458B" w:rsidRDefault="004B458B" w:rsidP="004B458B">
      <w:pPr>
        <w:pStyle w:val="NormalWeb"/>
      </w:pPr>
      <w:r>
        <w:t xml:space="preserve">We estimate dynamic causal effects using modern staggered difference-in-differences designs that accommodate treatment effect heterogeneity under staggered adoption, controlling for county and calendar-month fixed effects and local labor market conditions. Identification is assessed using standard event-study diagnostics and robustness checks. Beyond average effects, the core contribution of the paper is to characterize and forecast heterogeneity in participation responses across counties. We estimate an interpretable mapping from baseline county characteristics to the magnitude of the policy effect, incorporating moderators such as labor </w:t>
      </w:r>
      <w:r>
        <w:lastRenderedPageBreak/>
        <w:t>market conditions, rurality, social vulnerability, demographic composition, and baseline SNAP intensity.</w:t>
      </w:r>
    </w:p>
    <w:p w14:paraId="0781DFB1" w14:textId="77777777" w:rsidR="004B458B" w:rsidRDefault="004B458B" w:rsidP="004B458B">
      <w:pPr>
        <w:pStyle w:val="NormalWeb"/>
      </w:pPr>
      <w:r>
        <w:t>We then translate this heterogeneity structure into scenario-based ex-ante projections under a 2025 policy environment with expanded ABAWD coverage and minimal waiver availability, implying near-universal county exposure in Michigan. Under alternative labor market scenarios, we generate county-specific projected changes in SNAP participation and corresponding caseload losses, propagating estimation uncertainty to construct confidence bands for county rankings and aggregate impacts. The resulting risk map identifies which counties are most exposed under expanded requirements and how sensitive those rankings are to economic conditions.</w:t>
      </w:r>
    </w:p>
    <w:p w14:paraId="1C6F2D0B" w14:textId="77777777" w:rsidR="004B458B" w:rsidRDefault="004B458B" w:rsidP="004B458B">
      <w:pPr>
        <w:pStyle w:val="NormalWeb"/>
      </w:pPr>
      <w:r>
        <w:t>Consistent with binding time limits and compliance frictions, reinstatement is expected to generate sharp, near-term reductions in SNAP participation. More importantly, the analysis highlights substantial cross-county heterogeneity: counties with particular combinations of economic conditions and social vulnerability are likely to experience disproportionately large participation losses. By moving from retrospective evaluation to forward-looking risk mapping, the paper provides policy-relevant evidence on the distributional consequences of expanded SNAP work requirements and the local contexts in which participation losses are most likely to arise.</w:t>
      </w:r>
    </w:p>
    <w:p w14:paraId="0E6FF8BE" w14:textId="77777777" w:rsidR="00972939" w:rsidRDefault="00972939"/>
    <w:sectPr w:rsidR="00972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1BA"/>
    <w:multiLevelType w:val="multilevel"/>
    <w:tmpl w:val="175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92B55"/>
    <w:multiLevelType w:val="multilevel"/>
    <w:tmpl w:val="2DD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56FED"/>
    <w:multiLevelType w:val="multilevel"/>
    <w:tmpl w:val="44F6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74DC0"/>
    <w:multiLevelType w:val="multilevel"/>
    <w:tmpl w:val="1F40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9745EF"/>
    <w:multiLevelType w:val="multilevel"/>
    <w:tmpl w:val="24A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666D4"/>
    <w:multiLevelType w:val="multilevel"/>
    <w:tmpl w:val="37C2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01883"/>
    <w:multiLevelType w:val="multilevel"/>
    <w:tmpl w:val="05AC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417832">
    <w:abstractNumId w:val="5"/>
  </w:num>
  <w:num w:numId="2" w16cid:durableId="1305740715">
    <w:abstractNumId w:val="6"/>
  </w:num>
  <w:num w:numId="3" w16cid:durableId="1638560980">
    <w:abstractNumId w:val="0"/>
  </w:num>
  <w:num w:numId="4" w16cid:durableId="758986918">
    <w:abstractNumId w:val="1"/>
  </w:num>
  <w:num w:numId="5" w16cid:durableId="2098869229">
    <w:abstractNumId w:val="4"/>
  </w:num>
  <w:num w:numId="6" w16cid:durableId="180553242">
    <w:abstractNumId w:val="2"/>
  </w:num>
  <w:num w:numId="7" w16cid:durableId="568733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9E"/>
    <w:rsid w:val="000842B8"/>
    <w:rsid w:val="0027714F"/>
    <w:rsid w:val="002E16C6"/>
    <w:rsid w:val="00383A78"/>
    <w:rsid w:val="004A1C09"/>
    <w:rsid w:val="004B458B"/>
    <w:rsid w:val="00511991"/>
    <w:rsid w:val="005D1B9E"/>
    <w:rsid w:val="007371CD"/>
    <w:rsid w:val="007C194C"/>
    <w:rsid w:val="007C236C"/>
    <w:rsid w:val="00972939"/>
    <w:rsid w:val="00B144DE"/>
    <w:rsid w:val="00C40529"/>
    <w:rsid w:val="00C71813"/>
    <w:rsid w:val="00E31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26278"/>
  <w15:chartTrackingRefBased/>
  <w15:docId w15:val="{73346D18-1A01-9E44-BF6B-A1DEE4D8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9E"/>
    <w:rPr>
      <w:rFonts w:eastAsiaTheme="majorEastAsia" w:cstheme="majorBidi"/>
      <w:color w:val="272727" w:themeColor="text1" w:themeTint="D8"/>
    </w:rPr>
  </w:style>
  <w:style w:type="paragraph" w:styleId="Title">
    <w:name w:val="Title"/>
    <w:basedOn w:val="Normal"/>
    <w:next w:val="Normal"/>
    <w:link w:val="TitleChar"/>
    <w:uiPriority w:val="10"/>
    <w:qFormat/>
    <w:rsid w:val="005D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9E"/>
    <w:pPr>
      <w:spacing w:before="160"/>
      <w:jc w:val="center"/>
    </w:pPr>
    <w:rPr>
      <w:i/>
      <w:iCs/>
      <w:color w:val="404040" w:themeColor="text1" w:themeTint="BF"/>
    </w:rPr>
  </w:style>
  <w:style w:type="character" w:customStyle="1" w:styleId="QuoteChar">
    <w:name w:val="Quote Char"/>
    <w:basedOn w:val="DefaultParagraphFont"/>
    <w:link w:val="Quote"/>
    <w:uiPriority w:val="29"/>
    <w:rsid w:val="005D1B9E"/>
    <w:rPr>
      <w:i/>
      <w:iCs/>
      <w:color w:val="404040" w:themeColor="text1" w:themeTint="BF"/>
    </w:rPr>
  </w:style>
  <w:style w:type="paragraph" w:styleId="ListParagraph">
    <w:name w:val="List Paragraph"/>
    <w:basedOn w:val="Normal"/>
    <w:uiPriority w:val="34"/>
    <w:qFormat/>
    <w:rsid w:val="005D1B9E"/>
    <w:pPr>
      <w:ind w:left="720"/>
      <w:contextualSpacing/>
    </w:pPr>
  </w:style>
  <w:style w:type="character" w:styleId="IntenseEmphasis">
    <w:name w:val="Intense Emphasis"/>
    <w:basedOn w:val="DefaultParagraphFont"/>
    <w:uiPriority w:val="21"/>
    <w:qFormat/>
    <w:rsid w:val="005D1B9E"/>
    <w:rPr>
      <w:i/>
      <w:iCs/>
      <w:color w:val="0F4761" w:themeColor="accent1" w:themeShade="BF"/>
    </w:rPr>
  </w:style>
  <w:style w:type="paragraph" w:styleId="IntenseQuote">
    <w:name w:val="Intense Quote"/>
    <w:basedOn w:val="Normal"/>
    <w:next w:val="Normal"/>
    <w:link w:val="IntenseQuoteChar"/>
    <w:uiPriority w:val="30"/>
    <w:qFormat/>
    <w:rsid w:val="005D1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B9E"/>
    <w:rPr>
      <w:i/>
      <w:iCs/>
      <w:color w:val="0F4761" w:themeColor="accent1" w:themeShade="BF"/>
    </w:rPr>
  </w:style>
  <w:style w:type="character" w:styleId="IntenseReference">
    <w:name w:val="Intense Reference"/>
    <w:basedOn w:val="DefaultParagraphFont"/>
    <w:uiPriority w:val="32"/>
    <w:qFormat/>
    <w:rsid w:val="005D1B9E"/>
    <w:rPr>
      <w:b/>
      <w:bCs/>
      <w:smallCaps/>
      <w:color w:val="0F4761" w:themeColor="accent1" w:themeShade="BF"/>
      <w:spacing w:val="5"/>
    </w:rPr>
  </w:style>
  <w:style w:type="paragraph" w:styleId="NormalWeb">
    <w:name w:val="Normal (Web)"/>
    <w:basedOn w:val="Normal"/>
    <w:uiPriority w:val="99"/>
    <w:semiHidden/>
    <w:unhideWhenUsed/>
    <w:rsid w:val="005D1B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1B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2</Pages>
  <Words>651</Words>
  <Characters>4404</Characters>
  <Application>Microsoft Office Word</Application>
  <DocSecurity>0</DocSecurity>
  <Lines>60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13</cp:revision>
  <dcterms:created xsi:type="dcterms:W3CDTF">2025-12-20T09:05:00Z</dcterms:created>
  <dcterms:modified xsi:type="dcterms:W3CDTF">2026-01-14T17:30:00Z</dcterms:modified>
</cp:coreProperties>
</file>