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80D74" w14:textId="77777777" w:rsidR="007866F1" w:rsidRPr="00230349" w:rsidRDefault="00000000">
      <w:pPr>
        <w:pStyle w:val="Heading1"/>
        <w:rPr>
          <w:rFonts w:ascii="Times New Roman" w:hAnsi="Times New Roman" w:cs="Times New Roman"/>
          <w:color w:val="000000" w:themeColor="text1"/>
        </w:rPr>
      </w:pPr>
      <w:r w:rsidRPr="00230349">
        <w:rPr>
          <w:rFonts w:ascii="Times New Roman" w:hAnsi="Times New Roman" w:cs="Times New Roman"/>
          <w:color w:val="000000" w:themeColor="text1"/>
        </w:rPr>
        <w:t>Extended Research Proposal: Food Insecurity and Health Effects of SNAP Policy Changes</w:t>
      </w:r>
    </w:p>
    <w:p w14:paraId="38B906BD"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1. Introduction</w:t>
      </w:r>
    </w:p>
    <w:p w14:paraId="2D445435"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This document outlines an extended research agenda building on the paper 'Predicting the Impact of Michigan’s 2025 SNAP Work Requirements.' The new research direction aims to explore the downstream effects of SNAP policy changes on food insecurity and public health outcomes across Michigan counties. The objective is to construct a unified causal pathway linking policy shocks to changes in SNAP participation, food insecurity, and health indicators.</w:t>
      </w:r>
    </w:p>
    <w:p w14:paraId="315F3D09"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2. Research Questions</w:t>
      </w:r>
    </w:p>
    <w:p w14:paraId="2DB55C8F"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The extended research will address the following specific questions:</w:t>
      </w:r>
      <w:r w:rsidRPr="00230349">
        <w:rPr>
          <w:rFonts w:ascii="Times New Roman" w:hAnsi="Times New Roman" w:cs="Times New Roman"/>
          <w:color w:val="000000" w:themeColor="text1"/>
        </w:rPr>
        <w:br/>
        <w:t>• RQ1: Did the reinstatement of SNAP work requirements increase county-level food insecurity rates?</w:t>
      </w:r>
      <w:r w:rsidRPr="00230349">
        <w:rPr>
          <w:rFonts w:ascii="Times New Roman" w:hAnsi="Times New Roman" w:cs="Times New Roman"/>
          <w:color w:val="000000" w:themeColor="text1"/>
        </w:rPr>
        <w:br/>
        <w:t>• RQ2: Which communities and demographic groups are most affected by the rise in food insecurity?</w:t>
      </w:r>
      <w:r w:rsidRPr="00230349">
        <w:rPr>
          <w:rFonts w:ascii="Times New Roman" w:hAnsi="Times New Roman" w:cs="Times New Roman"/>
          <w:color w:val="000000" w:themeColor="text1"/>
        </w:rPr>
        <w:br/>
        <w:t>• RQ3: How does increased food insecurity translate into measurable changes in population health outcomes such as obesity, diabetes, and self-reported health?</w:t>
      </w:r>
      <w:r w:rsidRPr="00230349">
        <w:rPr>
          <w:rFonts w:ascii="Times New Roman" w:hAnsi="Times New Roman" w:cs="Times New Roman"/>
          <w:color w:val="000000" w:themeColor="text1"/>
        </w:rPr>
        <w:br/>
        <w:t>• RQ4: What are the indirect pathways—such as food retail contraction—through which SNAP cuts exacerbate food insecurity?</w:t>
      </w:r>
    </w:p>
    <w:p w14:paraId="21ACAF12"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3. Conceptual Framework</w:t>
      </w:r>
    </w:p>
    <w:p w14:paraId="78C50633"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The analysis builds on a causal chain linking SNAP policy shocks to downstream welfare outcomes:</w:t>
      </w:r>
      <w:r w:rsidRPr="00230349">
        <w:rPr>
          <w:rFonts w:ascii="Times New Roman" w:hAnsi="Times New Roman" w:cs="Times New Roman"/>
          <w:color w:val="000000" w:themeColor="text1"/>
        </w:rPr>
        <w:br/>
        <w:t>Policy Shock → SNAP Access → Food Insecurity → Health Outcomes.</w:t>
      </w:r>
      <w:r w:rsidRPr="00230349">
        <w:rPr>
          <w:rFonts w:ascii="Times New Roman" w:hAnsi="Times New Roman" w:cs="Times New Roman"/>
          <w:color w:val="000000" w:themeColor="text1"/>
        </w:rPr>
        <w:br/>
        <w:t>This structure allows for both direct and mediated effects to be estimated, providing a holistic view of how social policy changes propagate through local economies and health systems.</w:t>
      </w:r>
    </w:p>
    <w:p w14:paraId="398BC95D"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4. Methodology</w:t>
      </w:r>
    </w:p>
    <w:p w14:paraId="42B8D1C5"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The project will proceed in three empirical stages:</w:t>
      </w:r>
      <w:r w:rsidRPr="00230349">
        <w:rPr>
          <w:rFonts w:ascii="Times New Roman" w:hAnsi="Times New Roman" w:cs="Times New Roman"/>
          <w:color w:val="000000" w:themeColor="text1"/>
        </w:rPr>
        <w:br/>
      </w:r>
      <w:r w:rsidRPr="00230349">
        <w:rPr>
          <w:rFonts w:ascii="Times New Roman" w:hAnsi="Times New Roman" w:cs="Times New Roman"/>
          <w:color w:val="000000" w:themeColor="text1"/>
        </w:rPr>
        <w:br/>
        <w:t>Stage 1: Policy Effects on Food Insecurity</w:t>
      </w:r>
      <w:r w:rsidRPr="00230349">
        <w:rPr>
          <w:rFonts w:ascii="Times New Roman" w:hAnsi="Times New Roman" w:cs="Times New Roman"/>
          <w:color w:val="000000" w:themeColor="text1"/>
        </w:rPr>
        <w:br/>
        <w:t>Using a Difference-in-Differences (DiD) framework, the first analysis will estimate the average treatment effect of SNAP work requirements on county-level food insecurity rates. The model will control for unemployment, poverty, and demographic composition.</w:t>
      </w:r>
      <w:r w:rsidRPr="00230349">
        <w:rPr>
          <w:rFonts w:ascii="Times New Roman" w:hAnsi="Times New Roman" w:cs="Times New Roman"/>
          <w:color w:val="000000" w:themeColor="text1"/>
        </w:rPr>
        <w:br/>
      </w:r>
      <w:r w:rsidRPr="00230349">
        <w:rPr>
          <w:rFonts w:ascii="Times New Roman" w:hAnsi="Times New Roman" w:cs="Times New Roman"/>
          <w:color w:val="000000" w:themeColor="text1"/>
        </w:rPr>
        <w:br/>
        <w:t>Stage 2: Heterogeneous Impacts and Prediction</w:t>
      </w:r>
      <w:r w:rsidRPr="00230349">
        <w:rPr>
          <w:rFonts w:ascii="Times New Roman" w:hAnsi="Times New Roman" w:cs="Times New Roman"/>
          <w:color w:val="000000" w:themeColor="text1"/>
        </w:rPr>
        <w:br/>
        <w:t>Causal Forest models will be applied to identify heterogeneity in the policy’s effects and to predict which communities are most vulnerable. The key covariates will include SNAP participation rates, rurality, poverty rate, education, and access to food retailers.</w:t>
      </w:r>
      <w:r w:rsidRPr="00230349">
        <w:rPr>
          <w:rFonts w:ascii="Times New Roman" w:hAnsi="Times New Roman" w:cs="Times New Roman"/>
          <w:color w:val="000000" w:themeColor="text1"/>
        </w:rPr>
        <w:br/>
      </w:r>
      <w:r w:rsidRPr="00230349">
        <w:rPr>
          <w:rFonts w:ascii="Times New Roman" w:hAnsi="Times New Roman" w:cs="Times New Roman"/>
          <w:color w:val="000000" w:themeColor="text1"/>
        </w:rPr>
        <w:br/>
        <w:t>Stage 3: Health Outcome Linkages</w:t>
      </w:r>
      <w:r w:rsidRPr="00230349">
        <w:rPr>
          <w:rFonts w:ascii="Times New Roman" w:hAnsi="Times New Roman" w:cs="Times New Roman"/>
          <w:color w:val="000000" w:themeColor="text1"/>
        </w:rPr>
        <w:br/>
        <w:t xml:space="preserve">The final stage will link predicted changes in food insecurity to county-level health outcomes </w:t>
      </w:r>
      <w:r w:rsidRPr="00230349">
        <w:rPr>
          <w:rFonts w:ascii="Times New Roman" w:hAnsi="Times New Roman" w:cs="Times New Roman"/>
          <w:color w:val="000000" w:themeColor="text1"/>
        </w:rPr>
        <w:lastRenderedPageBreak/>
        <w:t>such as obesity, diabetes, and mental health, using BRFSS and CDC WONDER data. A two-stage least squares (2SLS) or mediation approach will be used to identify the causal pathway from food insecurity to health.</w:t>
      </w:r>
    </w:p>
    <w:p w14:paraId="47545C5D"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5. Data Sources</w:t>
      </w:r>
    </w:p>
    <w:p w14:paraId="0A6847E9"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 USDA Food Security Atlas: County-level food insecurity rates.</w:t>
      </w:r>
      <w:r w:rsidRPr="00230349">
        <w:rPr>
          <w:rFonts w:ascii="Times New Roman" w:hAnsi="Times New Roman" w:cs="Times New Roman"/>
          <w:color w:val="000000" w:themeColor="text1"/>
        </w:rPr>
        <w:br/>
        <w:t>• CPS Food Security Supplement (CPS-FSS): Individual and household food insecurity data.</w:t>
      </w:r>
      <w:r w:rsidRPr="00230349">
        <w:rPr>
          <w:rFonts w:ascii="Times New Roman" w:hAnsi="Times New Roman" w:cs="Times New Roman"/>
          <w:color w:val="000000" w:themeColor="text1"/>
        </w:rPr>
        <w:br/>
        <w:t>• BRFSS (Behavioral Risk Factor Surveillance System): County-level health indicators.</w:t>
      </w:r>
      <w:r w:rsidRPr="00230349">
        <w:rPr>
          <w:rFonts w:ascii="Times New Roman" w:hAnsi="Times New Roman" w:cs="Times New Roman"/>
          <w:color w:val="000000" w:themeColor="text1"/>
        </w:rPr>
        <w:br/>
        <w:t>• CDC WONDER / PLACES: Chronic disease and mortality data.</w:t>
      </w:r>
      <w:r w:rsidRPr="00230349">
        <w:rPr>
          <w:rFonts w:ascii="Times New Roman" w:hAnsi="Times New Roman" w:cs="Times New Roman"/>
          <w:color w:val="000000" w:themeColor="text1"/>
        </w:rPr>
        <w:br/>
        <w:t>• County Health Rankings: Local socioeconomic and environmental controls.</w:t>
      </w:r>
      <w:r w:rsidRPr="00230349">
        <w:rPr>
          <w:rFonts w:ascii="Times New Roman" w:hAnsi="Times New Roman" w:cs="Times New Roman"/>
          <w:color w:val="000000" w:themeColor="text1"/>
        </w:rPr>
        <w:br/>
        <w:t>• SNAP administrative and EBT data: Program participation and benefit redemption patterns.</w:t>
      </w:r>
    </w:p>
    <w:p w14:paraId="5D9B6D3D"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6. Testable Hypotheses</w:t>
      </w:r>
    </w:p>
    <w:p w14:paraId="2EBAB4D2"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H1: The reinstatement of SNAP work requirements significantly increases county-level food insecurity.</w:t>
      </w:r>
      <w:r w:rsidRPr="00230349">
        <w:rPr>
          <w:rFonts w:ascii="Times New Roman" w:hAnsi="Times New Roman" w:cs="Times New Roman"/>
          <w:color w:val="000000" w:themeColor="text1"/>
        </w:rPr>
        <w:br/>
        <w:t>H2: The negative effects are strongest in rural counties with high SNAP dependency and low market access.</w:t>
      </w:r>
      <w:r w:rsidRPr="00230349">
        <w:rPr>
          <w:rFonts w:ascii="Times New Roman" w:hAnsi="Times New Roman" w:cs="Times New Roman"/>
          <w:color w:val="000000" w:themeColor="text1"/>
        </w:rPr>
        <w:br/>
        <w:t>H3: Increased food insecurity leads to measurable deterioration in public health outcomes.</w:t>
      </w:r>
      <w:r w:rsidRPr="00230349">
        <w:rPr>
          <w:rFonts w:ascii="Times New Roman" w:hAnsi="Times New Roman" w:cs="Times New Roman"/>
          <w:color w:val="000000" w:themeColor="text1"/>
        </w:rPr>
        <w:br/>
        <w:t>H4: Retail contraction acts as an indirect channel amplifying food insecurity.</w:t>
      </w:r>
    </w:p>
    <w:p w14:paraId="4BB7B933"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7. Proposed Timeline (2025–2027)</w:t>
      </w:r>
    </w:p>
    <w:p w14:paraId="6248BC5B" w14:textId="77777777" w:rsidR="007866F1" w:rsidRPr="00230349" w:rsidRDefault="00000000">
      <w:pPr>
        <w:rPr>
          <w:rFonts w:ascii="Times New Roman" w:hAnsi="Times New Roman" w:cs="Times New Roman"/>
          <w:color w:val="000000" w:themeColor="text1"/>
        </w:rPr>
      </w:pPr>
      <w:r w:rsidRPr="00230349">
        <w:rPr>
          <w:rFonts w:ascii="Times New Roman" w:hAnsi="Times New Roman" w:cs="Times New Roman"/>
          <w:color w:val="000000" w:themeColor="text1"/>
        </w:rPr>
        <w:t>• 2025 Q1–Q2: Finalize data collection and cleaning for 2015–2025 county panel (SNAP + economic indicators).</w:t>
      </w:r>
      <w:r w:rsidRPr="00230349">
        <w:rPr>
          <w:rFonts w:ascii="Times New Roman" w:hAnsi="Times New Roman" w:cs="Times New Roman"/>
          <w:color w:val="000000" w:themeColor="text1"/>
        </w:rPr>
        <w:br/>
        <w:t>• 2025 Q3–Q4: Conduct baseline DiD estimation for food insecurity outcomes using 2017–2018 rollout.</w:t>
      </w:r>
      <w:r w:rsidRPr="00230349">
        <w:rPr>
          <w:rFonts w:ascii="Times New Roman" w:hAnsi="Times New Roman" w:cs="Times New Roman"/>
          <w:color w:val="000000" w:themeColor="text1"/>
        </w:rPr>
        <w:br/>
        <w:t>• 2026 Q1: Implement Causal Forest models for heterogeneous treatment effects.</w:t>
      </w:r>
      <w:r w:rsidRPr="00230349">
        <w:rPr>
          <w:rFonts w:ascii="Times New Roman" w:hAnsi="Times New Roman" w:cs="Times New Roman"/>
          <w:color w:val="000000" w:themeColor="text1"/>
        </w:rPr>
        <w:br/>
        <w:t>• 2026 Q2–Q3: Link DiD/CF results to BRFSS and CDC health data; run 2SLS mediation analysis.</w:t>
      </w:r>
      <w:r w:rsidRPr="00230349">
        <w:rPr>
          <w:rFonts w:ascii="Times New Roman" w:hAnsi="Times New Roman" w:cs="Times New Roman"/>
          <w:color w:val="000000" w:themeColor="text1"/>
        </w:rPr>
        <w:br/>
        <w:t>• 2026 Q4: Draft and present preliminary paper at academic conferences.</w:t>
      </w:r>
      <w:r w:rsidRPr="00230349">
        <w:rPr>
          <w:rFonts w:ascii="Times New Roman" w:hAnsi="Times New Roman" w:cs="Times New Roman"/>
          <w:color w:val="000000" w:themeColor="text1"/>
        </w:rPr>
        <w:br/>
        <w:t>• 2027 Q1–Q2: Finalize full manuscript for journal submission.</w:t>
      </w:r>
      <w:r w:rsidRPr="00230349">
        <w:rPr>
          <w:rFonts w:ascii="Times New Roman" w:hAnsi="Times New Roman" w:cs="Times New Roman"/>
          <w:color w:val="000000" w:themeColor="text1"/>
        </w:rPr>
        <w:br/>
        <w:t>• 2027 Q3: Submit to Food Policy or AEPP.</w:t>
      </w:r>
    </w:p>
    <w:p w14:paraId="1B6EDF4E" w14:textId="77777777" w:rsidR="007866F1" w:rsidRPr="00230349" w:rsidRDefault="00000000">
      <w:pPr>
        <w:pStyle w:val="Heading2"/>
        <w:rPr>
          <w:rFonts w:ascii="Times New Roman" w:hAnsi="Times New Roman" w:cs="Times New Roman"/>
          <w:color w:val="000000" w:themeColor="text1"/>
        </w:rPr>
      </w:pPr>
      <w:r w:rsidRPr="00230349">
        <w:rPr>
          <w:rFonts w:ascii="Times New Roman" w:hAnsi="Times New Roman" w:cs="Times New Roman"/>
          <w:color w:val="000000" w:themeColor="text1"/>
        </w:rPr>
        <w:t>8. Expected Contributions</w:t>
      </w:r>
    </w:p>
    <w:p w14:paraId="07796A90" w14:textId="77777777" w:rsidR="007866F1" w:rsidRPr="00230349" w:rsidRDefault="00000000">
      <w:pPr>
        <w:rPr>
          <w:rFonts w:ascii="Times New Roman" w:hAnsi="Times New Roman" w:cs="Times New Roman"/>
        </w:rPr>
      </w:pPr>
      <w:r w:rsidRPr="00230349">
        <w:rPr>
          <w:rFonts w:ascii="Times New Roman" w:hAnsi="Times New Roman" w:cs="Times New Roman"/>
          <w:color w:val="000000" w:themeColor="text1"/>
        </w:rPr>
        <w:t>This extended study will provide empirical evidence on the welfare and health consequences of SNAP policy changes. By linking administrative program data with food insecurity and health indicators, it bridges the gap between economic and public health policy analysis. The research will also demonstrate how causal machine learning can be combined with quasi-experimental methods to infor</w:t>
      </w:r>
      <w:r w:rsidRPr="00230349">
        <w:rPr>
          <w:rFonts w:ascii="Times New Roman" w:hAnsi="Times New Roman" w:cs="Times New Roman"/>
        </w:rPr>
        <w:t>m proactive social policy design.</w:t>
      </w:r>
    </w:p>
    <w:sectPr w:rsidR="007866F1" w:rsidRPr="002303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491812">
    <w:abstractNumId w:val="8"/>
  </w:num>
  <w:num w:numId="2" w16cid:durableId="413745062">
    <w:abstractNumId w:val="6"/>
  </w:num>
  <w:num w:numId="3" w16cid:durableId="1915503506">
    <w:abstractNumId w:val="5"/>
  </w:num>
  <w:num w:numId="4" w16cid:durableId="1473061191">
    <w:abstractNumId w:val="4"/>
  </w:num>
  <w:num w:numId="5" w16cid:durableId="145754673">
    <w:abstractNumId w:val="7"/>
  </w:num>
  <w:num w:numId="6" w16cid:durableId="474295435">
    <w:abstractNumId w:val="3"/>
  </w:num>
  <w:num w:numId="7" w16cid:durableId="513035319">
    <w:abstractNumId w:val="2"/>
  </w:num>
  <w:num w:numId="8" w16cid:durableId="264652627">
    <w:abstractNumId w:val="1"/>
  </w:num>
  <w:num w:numId="9" w16cid:durableId="18495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349"/>
    <w:rsid w:val="0029639D"/>
    <w:rsid w:val="00326F90"/>
    <w:rsid w:val="00561D44"/>
    <w:rsid w:val="007866F1"/>
    <w:rsid w:val="00AA1D8D"/>
    <w:rsid w:val="00B47730"/>
    <w:rsid w:val="00CB0664"/>
    <w:rsid w:val="00EB7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8FEF6"/>
  <w14:defaultImageDpi w14:val="300"/>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Jiaming</cp:lastModifiedBy>
  <cp:revision>3</cp:revision>
  <dcterms:created xsi:type="dcterms:W3CDTF">2013-12-23T23:15:00Z</dcterms:created>
  <dcterms:modified xsi:type="dcterms:W3CDTF">2025-10-06T20:16:00Z</dcterms:modified>
  <cp:category/>
</cp:coreProperties>
</file>