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944FE">
      <w:pPr>
        <w:spacing w:before="840" w:after="160"/>
        <w:jc w:val="center"/>
        <w:rPr>
          <w:rFonts w:cs="宋体"/>
          <w:color w:val="auto"/>
          <w:sz w:val="28"/>
          <w:szCs w:val="28"/>
          <w:lang w:eastAsia="zh-CN"/>
        </w:rPr>
      </w:pPr>
      <w:r>
        <w:rPr>
          <w:rFonts w:hint="eastAsia" w:cs="宋体"/>
          <w:b/>
          <w:color w:val="auto"/>
          <w:sz w:val="28"/>
          <w:szCs w:val="28"/>
        </w:rPr>
        <w:t>医疗产品采购及病例资料合作协议</w:t>
      </w:r>
      <w:r>
        <w:rPr>
          <w:rFonts w:hint="eastAsia" w:cs="宋体"/>
          <w:b/>
          <w:color w:val="auto"/>
          <w:sz w:val="28"/>
          <w:szCs w:val="28"/>
          <w:lang w:eastAsia="zh-CN"/>
        </w:rPr>
        <w:t/>
      </w:r>
    </w:p>
    <w:p w14:paraId="213D3719">
      <w:pPr>
        <w:rPr>
          <w:color w:val="auto"/>
          <w:lang w:eastAsia="zh-CN"/>
        </w:rPr>
      </w:pPr>
      <w:r>
        <w:rPr>
          <w:b/>
          <w:bCs/>
          <w:color w:val="auto"/>
        </w:rPr>
        <w:t>甲方</w:t>
      </w:r>
      <w:r>
        <w:rPr>
          <w:color w:val="auto"/>
        </w:rPr>
        <w:t>：</w:t>
      </w:r>
      <w:r>
        <w:rPr>
          <w:rFonts w:hint="eastAsia"/>
          <w:color w:val="auto"/>
          <w:lang w:eastAsia="zh-CN"/>
        </w:rPr>
        <w:t xml:space="preserve"> </w:t>
      </w:r>
    </w:p>
    <w:p w14:paraId="76169B3D">
      <w:pPr>
        <w:rPr>
          <w:color w:val="auto"/>
          <w:lang w:eastAsia="zh-CN"/>
        </w:rPr>
      </w:pPr>
      <w:r>
        <w:rPr>
          <w:color w:val="auto"/>
        </w:rPr>
        <w:t>统一社会信用代码：</w:t>
      </w:r>
      <w:r>
        <w:rPr>
          <w:rFonts w:hint="eastAsia"/>
          <w:color w:val="auto"/>
          <w:lang w:eastAsia="zh-CN"/>
        </w:rPr>
        <w:t xml:space="preserve"> </w:t>
      </w:r>
    </w:p>
    <w:p w14:paraId="08B856AE">
      <w:pPr>
        <w:rPr>
          <w:color w:val="auto"/>
          <w:lang w:eastAsia="zh-CN"/>
        </w:rPr>
      </w:pPr>
      <w:r>
        <w:rPr>
          <w:color w:val="auto"/>
        </w:rPr>
        <w:t>地址：</w:t>
      </w:r>
      <w:r>
        <w:rPr>
          <w:rFonts w:hint="eastAsia"/>
          <w:color w:val="auto"/>
          <w:lang w:eastAsia="zh-CN"/>
        </w:rPr>
        <w:t xml:space="preserve"> </w:t>
      </w:r>
    </w:p>
    <w:p w14:paraId="50CC346E">
      <w:pPr>
        <w:rPr>
          <w:color w:val="auto"/>
          <w:lang w:eastAsia="zh-CN"/>
        </w:rPr>
      </w:pPr>
      <w:r>
        <w:rPr>
          <w:color w:val="auto"/>
        </w:rPr>
        <w:t>联系人及联系方式：</w:t>
      </w:r>
      <w:r>
        <w:rPr>
          <w:rFonts w:hint="eastAsia"/>
          <w:color w:val="auto"/>
          <w:lang w:eastAsia="zh-CN"/>
        </w:rPr>
        <w:t xml:space="preserve"> </w:t>
      </w:r>
    </w:p>
    <w:p w14:paraId="24463F32">
      <w:pPr>
        <w:rPr>
          <w:color w:val="auto"/>
        </w:rPr>
      </w:pPr>
    </w:p>
    <w:p w14:paraId="1ED10210">
      <w:pPr>
        <w:rPr>
          <w:color w:val="auto"/>
          <w:lang w:eastAsia="zh-CN"/>
        </w:rPr>
      </w:pPr>
      <w:r>
        <w:rPr>
          <w:b/>
          <w:bCs/>
          <w:color w:val="auto"/>
        </w:rPr>
        <w:t>乙方</w:t>
      </w:r>
      <w:r>
        <w:rPr>
          <w:color w:val="auto"/>
        </w:rPr>
        <w:t>：</w:t>
      </w:r>
      <w:r>
        <w:rPr>
          <w:rFonts w:hint="eastAsia"/>
          <w:color w:val="auto"/>
          <w:lang w:eastAsia="zh-CN"/>
        </w:rPr>
        <w:t xml:space="preserve">  </w:t>
      </w:r>
      <w:bookmarkStart w:id="0" w:name="_GoBack"/>
      <w:bookmarkEnd w:id="0"/>
    </w:p>
    <w:p w14:paraId="41714F89">
      <w:pPr>
        <w:rPr>
          <w:color w:val="auto"/>
          <w:lang w:eastAsia="zh-CN"/>
        </w:rPr>
      </w:pPr>
      <w:r>
        <w:rPr>
          <w:color w:val="auto"/>
        </w:rPr>
        <w:t>统一社会信用代码：</w:t>
      </w:r>
      <w:r>
        <w:rPr>
          <w:rFonts w:hint="eastAsia"/>
          <w:color w:val="auto"/>
          <w:lang w:eastAsia="zh-CN"/>
        </w:rPr>
        <w:t xml:space="preserve">  </w:t>
      </w:r>
    </w:p>
    <w:p w14:paraId="7196FABA">
      <w:pPr>
        <w:rPr>
          <w:color w:val="auto"/>
          <w:lang w:eastAsia="zh-CN"/>
        </w:rPr>
      </w:pPr>
      <w:r>
        <w:rPr>
          <w:color w:val="auto"/>
        </w:rPr>
        <w:t>《医疗机构执业许可证》登记号：</w:t>
      </w:r>
      <w:r>
        <w:rPr>
          <w:rFonts w:hint="eastAsia"/>
          <w:color w:val="auto"/>
          <w:lang w:eastAsia="zh-CN"/>
        </w:rPr>
        <w:t xml:space="preserve">  </w:t>
      </w:r>
    </w:p>
    <w:p w14:paraId="439DD7DD">
      <w:pPr>
        <w:rPr>
          <w:color w:val="auto"/>
          <w:lang w:eastAsia="zh-CN"/>
        </w:rPr>
      </w:pPr>
      <w:r>
        <w:rPr>
          <w:color w:val="auto"/>
        </w:rPr>
        <w:t>执业地址：</w:t>
      </w:r>
      <w:r>
        <w:rPr>
          <w:rFonts w:hint="eastAsia"/>
          <w:color w:val="auto"/>
          <w:lang w:eastAsia="zh-CN"/>
        </w:rPr>
        <w:t xml:space="preserve">  </w:t>
      </w:r>
    </w:p>
    <w:p w14:paraId="7BC4EA6F">
      <w:pPr>
        <w:rPr>
          <w:rFonts w:hint="eastAsia" w:eastAsia="宋体"/>
          <w:color w:val="auto"/>
          <w:lang w:eastAsia="zh-CN"/>
        </w:rPr>
      </w:pPr>
      <w:r>
        <w:rPr>
          <w:color w:val="auto"/>
        </w:rPr>
        <w:t>联系人及联系方式：</w:t>
      </w:r>
    </w:p>
    <w:p w14:paraId="3921ADD0">
      <w:pPr>
        <w:rPr>
          <w:color w:val="auto"/>
        </w:rPr>
      </w:pPr>
    </w:p>
    <w:p w14:paraId="44614C5C">
      <w:pPr>
        <w:rPr>
          <w:color w:val="auto"/>
        </w:rPr>
      </w:pPr>
      <w:r>
        <w:rPr>
          <w:b/>
          <w:color w:val="auto"/>
        </w:rPr>
        <w:t>鉴于：</w:t>
      </w:r>
    </w:p>
    <w:p w14:paraId="6DD85E89">
      <w:pPr>
        <w:pStyle w:val="166"/>
        <w:ind w:firstLine="0"/>
      </w:pPr>
      <w:r>
        <w:rPr>
          <w:b/>
        </w:rPr>
        <w:t xml:space="preserve">1. </w:t>
      </w:r>
      <w:r>
        <w:t>甲方系【合作医疗器械】（注册证编号：【医疗器械注册证编号】，以下简称“合作产品”）的注册人。</w:t>
      </w:r>
    </w:p>
    <w:p w14:paraId="6B86DE77">
      <w:pPr>
        <w:pStyle w:val="166"/>
        <w:ind w:firstLine="0"/>
      </w:pPr>
      <w:r>
        <w:rPr>
          <w:b/>
        </w:rPr>
        <w:t xml:space="preserve">2. </w:t>
      </w:r>
      <w:r>
        <w:t>乙方系依法设立并取得《医疗机构执业许可证》的美容医疗机构或设置医疗美容科目的医疗机构，拟在其日常诊疗活动中依法使用合作产品。</w:t>
      </w:r>
    </w:p>
    <w:p w14:paraId="6F16380F">
      <w:pPr>
        <w:pStyle w:val="166"/>
        <w:ind w:firstLine="0"/>
      </w:pPr>
      <w:r>
        <w:rPr>
          <w:b/>
        </w:rPr>
        <w:t xml:space="preserve">3. </w:t>
      </w:r>
      <w:r>
        <w:t>双方拟在不干预乙方正常诊疗、不以产品注册或形成一般性临床研究结论为目的的前提下，就合作产品采购及常规诊疗后形成的病例资料整理、提供和合规使用开展合作。</w:t>
      </w:r>
    </w:p>
    <w:p w14:paraId="74DE4F3A">
      <w:pPr>
        <w:rPr>
          <w:color w:val="auto"/>
        </w:rPr>
      </w:pPr>
      <w:r>
        <w:rPr>
          <w:color w:val="auto"/>
        </w:rPr>
        <w:t>根据《中华人民共和国民法典》《中华人民共和国个人信息保护法》《中华人民共和国广告法》《医疗器械监督管理条例》等法律法规，双方经协商一致，订立本协议。</w:t>
      </w:r>
    </w:p>
    <w:p w14:paraId="74E54B90">
      <w:pPr>
        <w:pStyle w:val="3"/>
        <w:rPr>
          <w:color w:val="auto"/>
        </w:rPr>
      </w:pPr>
      <w:r>
        <w:rPr>
          <w:rFonts w:ascii="宋体" w:hAnsi="宋体" w:eastAsia="宋体"/>
          <w:b w:val="0"/>
          <w:color w:val="auto"/>
          <w:sz w:val="21"/>
        </w:rPr>
        <w:t>第一条  项目性质</w:t>
      </w:r>
    </w:p>
    <w:p w14:paraId="10B63EF0">
      <w:pPr>
        <w:pStyle w:val="166"/>
        <w:ind w:firstLine="0"/>
        <w:rPr>
          <w:lang w:eastAsia="zh-CN"/>
        </w:rPr>
      </w:pPr>
      <w:r>
        <w:rPr>
          <w:b/>
        </w:rPr>
        <w:t xml:space="preserve">1.1 </w:t>
      </w:r>
      <w:r>
        <w:rPr>
          <w:rFonts w:hint="eastAsia"/>
        </w:rPr>
        <w:t>本项目</w:t>
      </w:r>
      <w:r>
        <w:rPr>
          <w:rFonts w:hint="eastAsia"/>
          <w:lang w:val="en-US" w:eastAsia="zh-CN"/>
        </w:rPr>
        <w:t>合作</w:t>
      </w:r>
      <w:r>
        <w:rPr>
          <w:rFonts w:hint="eastAsia"/>
        </w:rPr>
        <w:t>系乙方在常规诊疗活动中采购并使用合作产品，由乙方按照本协议向甲方提供相关病例资料，甲方在授权及法律允许的范围内将该等资料用于产品使用反馈、内部管理、品牌传播及双方另行书面确认的其他用途。</w:t>
      </w:r>
    </w:p>
    <w:p w14:paraId="7C094182">
      <w:pPr>
        <w:pStyle w:val="166"/>
        <w:ind w:firstLine="0"/>
        <w:rPr>
          <w:highlight w:val="yellow"/>
        </w:rPr>
      </w:pPr>
      <w:r>
        <w:rPr>
          <w:b/>
          <w:highlight w:val="none"/>
        </w:rPr>
        <w:t xml:space="preserve">1.2 </w:t>
      </w:r>
      <w:r>
        <w:rPr>
          <w:highlight w:val="none"/>
        </w:rPr>
        <w:t>乙方应确保</w:t>
      </w:r>
      <w:r>
        <w:rPr>
          <w:rFonts w:hint="eastAsia"/>
          <w:highlight w:val="none"/>
          <w:lang w:val="en-US" w:eastAsia="zh-CN"/>
        </w:rPr>
        <w:t>患者</w:t>
      </w:r>
      <w:r>
        <w:rPr>
          <w:highlight w:val="none"/>
        </w:rPr>
        <w:t>产品选择、诊疗方案、随访</w:t>
      </w:r>
      <w:r>
        <w:rPr>
          <w:rFonts w:hint="eastAsia"/>
          <w:lang w:val="en-US" w:eastAsia="zh-CN"/>
        </w:rPr>
        <w:t>等诊疗事项</w:t>
      </w:r>
      <w:r>
        <w:t>均由乙方及其执业医师依据患者实际情况和专业判断独立决定，并对诊疗行为的合法性、必要性、安全性及相应医疗责任承担全部责任。</w:t>
      </w:r>
    </w:p>
    <w:p w14:paraId="075B11AE">
      <w:pPr>
        <w:pStyle w:val="166"/>
        <w:ind w:firstLine="0"/>
        <w:rPr>
          <w:lang w:eastAsia="zh-CN"/>
        </w:rPr>
      </w:pPr>
      <w:r>
        <w:rPr>
          <w:b/>
        </w:rPr>
        <w:t>1.</w:t>
      </w:r>
      <w:r>
        <w:rPr>
          <w:rFonts w:hint="eastAsia"/>
          <w:b/>
          <w:lang w:val="en-US" w:eastAsia="zh-CN"/>
        </w:rPr>
        <w:t>3</w:t>
      </w:r>
      <w:r>
        <w:rPr>
          <w:b/>
        </w:rPr>
        <w:t xml:space="preserve"> </w:t>
      </w:r>
      <w:r>
        <w:t>乙方确保本项目全部费用、产品和其他权益仅由乙方机构统一接收、入账和管理，不得要求或安排甲方向乙方内设科室、医师、采购人员或其他自然人支付、交付、返还或变相输送任何利益。</w:t>
      </w:r>
    </w:p>
    <w:p w14:paraId="246FA50C">
      <w:pPr>
        <w:pStyle w:val="3"/>
        <w:rPr>
          <w:color w:val="auto"/>
        </w:rPr>
      </w:pPr>
      <w:r>
        <w:rPr>
          <w:rFonts w:ascii="宋体" w:hAnsi="宋体" w:eastAsia="宋体"/>
          <w:b w:val="0"/>
          <w:color w:val="auto"/>
          <w:sz w:val="21"/>
        </w:rPr>
        <w:t>第二条  乙方资质</w:t>
      </w:r>
    </w:p>
    <w:p w14:paraId="5F338E38">
      <w:pPr>
        <w:pStyle w:val="166"/>
        <w:ind w:firstLine="0"/>
      </w:pPr>
      <w:r>
        <w:rPr>
          <w:b/>
        </w:rPr>
        <w:t xml:space="preserve">2.1 </w:t>
      </w:r>
      <w:r>
        <w:t>乙方应在签署前向甲方提供真实、完整、有效的营业执照、《医疗机构执业许可证》、医疗美容相关诊疗科目及项目备案资料、负责医师和实际操作医师执业资质等甲方要求的资料，并对其真实性、合法性和持续有效性负责。</w:t>
      </w:r>
    </w:p>
    <w:p w14:paraId="5871A4E5">
      <w:pPr>
        <w:pStyle w:val="166"/>
        <w:ind w:firstLine="0"/>
        <w:rPr>
          <w:lang w:eastAsia="zh-CN"/>
        </w:rPr>
      </w:pPr>
      <w:r>
        <w:rPr>
          <w:b/>
        </w:rPr>
        <w:t>2.</w:t>
      </w:r>
      <w:r>
        <w:rPr>
          <w:rFonts w:hint="eastAsia"/>
          <w:b/>
          <w:lang w:val="en-US" w:eastAsia="zh-CN"/>
        </w:rPr>
        <w:t>2</w:t>
      </w:r>
      <w:r>
        <w:rPr>
          <w:b/>
        </w:rPr>
        <w:t xml:space="preserve"> </w:t>
      </w:r>
      <w:r>
        <w:t>乙方资质、执业范围、项目备案或医务人员资质发生暂停、变更、撤销、注销或其他影响履约的情形，乙方应于发生后1个工作日内书面通知甲方。甲方有权暂停产品交付、资料接收及对价结算，并按本协议处理。</w:t>
      </w:r>
    </w:p>
    <w:p w14:paraId="17108FFB">
      <w:pPr>
        <w:pStyle w:val="3"/>
        <w:rPr>
          <w:color w:val="auto"/>
        </w:rPr>
      </w:pPr>
      <w:r>
        <w:rPr>
          <w:rFonts w:ascii="宋体" w:hAnsi="宋体" w:eastAsia="宋体"/>
          <w:b w:val="0"/>
          <w:color w:val="auto"/>
          <w:sz w:val="21"/>
        </w:rPr>
        <w:t>第三条  产品采购、使用</w:t>
      </w:r>
    </w:p>
    <w:p w14:paraId="1440B09A">
      <w:pPr>
        <w:pStyle w:val="166"/>
        <w:ind w:firstLine="0"/>
        <w:rPr>
          <w:highlight w:val="none"/>
        </w:rPr>
      </w:pPr>
      <w:r>
        <w:rPr>
          <w:b/>
          <w:highlight w:val="none"/>
        </w:rPr>
        <w:t xml:space="preserve">3.1 </w:t>
      </w:r>
      <w:r>
        <w:rPr>
          <w:highlight w:val="none"/>
        </w:rPr>
        <w:t>本次产品采购数量、单价、病例数量</w:t>
      </w:r>
      <w:r>
        <w:rPr>
          <w:rFonts w:hint="eastAsia"/>
          <w:highlight w:val="none"/>
          <w:lang w:val="en-US" w:eastAsia="zh-CN"/>
        </w:rPr>
        <w:t>等</w:t>
      </w:r>
      <w:r>
        <w:rPr>
          <w:highlight w:val="none"/>
        </w:rPr>
        <w:t>以附件一《项目确认单》为准。</w:t>
      </w:r>
    </w:p>
    <w:p w14:paraId="6425C147">
      <w:pPr>
        <w:pStyle w:val="166"/>
        <w:ind w:firstLine="0"/>
        <w:rPr>
          <w:lang w:eastAsia="zh-CN"/>
        </w:rPr>
      </w:pPr>
      <w:r>
        <w:rPr>
          <w:b/>
        </w:rPr>
        <w:t xml:space="preserve">3.2 </w:t>
      </w:r>
      <w:r>
        <w:t>乙方应严格按照合作产品注册证、说明书、标签、产品技术要求及甲方书面储运指引使用合作产品</w:t>
      </w:r>
      <w:commentRangeStart w:id="0"/>
      <w:r>
        <w:t>。</w:t>
      </w:r>
      <w:commentRangeEnd w:id="0"/>
      <w:r>
        <w:commentReference w:id="0"/>
      </w:r>
    </w:p>
    <w:p w14:paraId="72C222AE">
      <w:pPr>
        <w:pStyle w:val="166"/>
        <w:ind w:firstLine="0"/>
      </w:pPr>
      <w:r>
        <w:rPr>
          <w:b/>
        </w:rPr>
        <w:t xml:space="preserve">3.3 </w:t>
      </w:r>
      <w:r>
        <w:t>乙方应建立并完整保留合作产品验收、入库、领用、批号、患者对应关系</w:t>
      </w:r>
      <w:r>
        <w:rPr>
          <w:rFonts w:hint="eastAsia"/>
          <w:lang w:val="en-US" w:eastAsia="zh-CN"/>
        </w:rPr>
        <w:t>等</w:t>
      </w:r>
      <w:r>
        <w:t>记录，确保全过程可追溯。</w:t>
      </w:r>
    </w:p>
    <w:p w14:paraId="175AFD24">
      <w:pPr>
        <w:pStyle w:val="166"/>
        <w:ind w:firstLine="0"/>
        <w:rPr>
          <w:lang w:eastAsia="zh-CN"/>
        </w:rPr>
      </w:pPr>
      <w:r>
        <w:rPr>
          <w:b/>
        </w:rPr>
        <w:t xml:space="preserve">3.4 </w:t>
      </w:r>
      <w:r>
        <w:t>乙方不得将仅限本项目使用的合作支持产品转售、转赠、转供无资质主体或用于其他商业用途</w:t>
      </w:r>
      <w:r>
        <w:rPr>
          <w:rFonts w:hint="eastAsia"/>
          <w:lang w:eastAsia="zh-CN"/>
        </w:rPr>
        <w:t>。</w:t>
      </w:r>
    </w:p>
    <w:p w14:paraId="339D3875">
      <w:pPr>
        <w:pStyle w:val="3"/>
        <w:rPr>
          <w:color w:val="auto"/>
        </w:rPr>
      </w:pPr>
      <w:r>
        <w:rPr>
          <w:rFonts w:ascii="宋体" w:hAnsi="宋体" w:eastAsia="宋体"/>
          <w:b w:val="0"/>
          <w:color w:val="auto"/>
          <w:sz w:val="21"/>
        </w:rPr>
        <w:t>第四条  病例资料交付与验收</w:t>
      </w:r>
    </w:p>
    <w:p w14:paraId="05D5FAF7">
      <w:pPr>
        <w:pStyle w:val="166"/>
        <w:ind w:firstLine="0"/>
      </w:pPr>
      <w:r>
        <w:rPr>
          <w:b/>
        </w:rPr>
        <w:t xml:space="preserve">4.1 </w:t>
      </w:r>
      <w:r>
        <w:t>乙方仅可从已基于常规诊疗需要独立决定接受合作产品治疗、符合合作产品注册适用范围的成年患者中形成病例资料。</w:t>
      </w:r>
    </w:p>
    <w:p w14:paraId="4D6BB872">
      <w:pPr>
        <w:pStyle w:val="166"/>
        <w:ind w:firstLine="0"/>
        <w:rPr>
          <w:lang w:eastAsia="zh-CN"/>
        </w:rPr>
      </w:pPr>
      <w:r>
        <w:rPr>
          <w:b/>
        </w:rPr>
        <w:t xml:space="preserve">4.2 </w:t>
      </w:r>
      <w:r>
        <w:t>乙方应按附件一约定的数量和期限交付病例资料。每例至少应包含：（1）术前及约定随访时点的高清正面、45度、90度影像；（2）诊疗日期、合作产品名称、规格、批号及复溶信息；（3）注射剂量、点位、层次和操作医师信息；（4）随访、效果、患者反馈、无效、异常及不良事件记录；（5）负责医师对记录真实性的签字或可核验电子确认。</w:t>
      </w:r>
    </w:p>
    <w:p w14:paraId="388FD6D7">
      <w:pPr>
        <w:pStyle w:val="166"/>
        <w:ind w:firstLine="0"/>
        <w:rPr>
          <w:lang w:eastAsia="zh-CN"/>
        </w:rPr>
      </w:pPr>
      <w:commentRangeStart w:id="1"/>
      <w:r>
        <w:rPr>
          <w:b/>
        </w:rPr>
        <w:t xml:space="preserve">4.3 </w:t>
      </w:r>
      <w:r>
        <w:t>乙方负责在向甲方提供任何病例资料前完成去标识化和必要脱敏，并至少做到：（1）删除姓名、身份证号、手机号、住址、就诊号、病案号等直接身份标识；（2）以无规律项目编码替代患者身份信息，编码对照表由乙方独立加密保存，不向甲方提供；（3）删除文件属性、图片水印、页眉页脚及影像中可识别患者的非必要信息；（4）对必须提供的病历摘要、检查单或截图逐项遮挡直接身份信息；（5）通过甲方指定的受控、加密渠道传输。除患者已就可识别信息另行作出明确单独同意、且经甲方书面确认确有必要外，乙方不得向甲方提供姓名、身份证号、手机号、住址、完整病历等资料。</w:t>
      </w:r>
      <w:commentRangeEnd w:id="1"/>
      <w:r>
        <w:commentReference w:id="1"/>
      </w:r>
    </w:p>
    <w:p w14:paraId="0131BF64">
      <w:pPr>
        <w:pStyle w:val="166"/>
        <w:ind w:firstLine="0"/>
        <w:rPr>
          <w:lang w:eastAsia="zh-CN"/>
        </w:rPr>
      </w:pPr>
      <w:r>
        <w:rPr>
          <w:b/>
        </w:rPr>
        <w:t xml:space="preserve">4.4 </w:t>
      </w:r>
      <w:r>
        <w:t>乙方应保证病例资料真实、准确、完整、连续、可追溯，不得虚构患者、拼接或美化影像、篡改时间、剂量、疗效或安全性记录，不得以不同患者资料组成同一病例，不得仅筛选正向结果交付。</w:t>
      </w:r>
    </w:p>
    <w:p w14:paraId="6C88052A">
      <w:pPr>
        <w:pStyle w:val="166"/>
        <w:ind w:firstLine="0"/>
        <w:rPr>
          <w:lang w:eastAsia="zh-CN"/>
        </w:rPr>
      </w:pPr>
      <w:r>
        <w:rPr>
          <w:b/>
        </w:rPr>
        <w:t xml:space="preserve">4.5 </w:t>
      </w:r>
      <w:r>
        <w:t>甲方有权在收到资料后【10】个工作日内按本协议约定进行形式、完整性、真实性和授权合规验收。甲方提出补充、修正或重新提交要求的，乙方应在收到通知后【10】个工作日内完成。仅以甲方书面确认为验收通过，甲方未在上述期限内反馈不视为验收通过。验收通过是对应款项支付或合作支持产品交付的前提；验收不排除甲方对后续发现的虚假、授权瑕疵、安全风险或其他隐蔽问题追究责任。</w:t>
      </w:r>
    </w:p>
    <w:p w14:paraId="4BF548D1">
      <w:pPr>
        <w:pStyle w:val="3"/>
        <w:rPr>
          <w:color w:val="auto"/>
        </w:rPr>
      </w:pPr>
      <w:r>
        <w:rPr>
          <w:rFonts w:ascii="宋体" w:hAnsi="宋体" w:eastAsia="宋体"/>
          <w:b w:val="0"/>
          <w:color w:val="auto"/>
          <w:sz w:val="21"/>
        </w:rPr>
        <w:t>第五条  结算</w:t>
      </w:r>
    </w:p>
    <w:p w14:paraId="505F6F0E">
      <w:pPr>
        <w:pStyle w:val="166"/>
        <w:ind w:firstLine="0"/>
        <w:rPr>
          <w:highlight w:val="none"/>
        </w:rPr>
      </w:pPr>
      <w:commentRangeStart w:id="2"/>
      <w:r>
        <w:rPr>
          <w:b/>
          <w:highlight w:val="none"/>
        </w:rPr>
        <w:t xml:space="preserve">5.1 </w:t>
      </w:r>
      <w:commentRangeEnd w:id="2"/>
      <w:r>
        <w:commentReference w:id="2"/>
      </w:r>
      <w:r>
        <w:rPr>
          <w:highlight w:val="none"/>
        </w:rPr>
        <w:t>双方确认，乙方承担病例资料整理、影像采集、授权核验、数据录入、传输、补充及配合核验等工作。双方</w:t>
      </w:r>
      <w:r>
        <w:rPr>
          <w:rFonts w:hint="eastAsia"/>
          <w:highlight w:val="none"/>
          <w:lang w:val="en-US" w:eastAsia="zh-CN"/>
        </w:rPr>
        <w:t>确认的结算方式为：</w:t>
      </w:r>
    </w:p>
    <w:p w14:paraId="2BBF20E2">
      <w:pPr>
        <w:pStyle w:val="166"/>
        <w:ind w:firstLine="0"/>
        <w:rPr>
          <w:lang w:eastAsia="zh-CN"/>
        </w:rPr>
      </w:pPr>
      <w:r>
        <w:t>□ 方案一：服务费总额为人民币【服务费总额】元（含税），分两期支付：（1）乙方完成首批【首批使用数量】瓶采购产品注射并提交1例完整病例资料，经甲方验收通过且收到乙方合法有效发票后15个工作日内，甲方支付人民币【首期服务费】元；（2）乙方完成全部【采购数量】瓶产品注射并提交全部约定病例资料，经甲方验收通过且收到乙方合法有效发票后15个工作日内，甲方支付剩余人民币【剩余服务费】元。</w:t>
      </w:r>
    </w:p>
    <w:p w14:paraId="5E5D53F8">
      <w:pPr>
        <w:pStyle w:val="166"/>
        <w:ind w:firstLine="0"/>
        <w:rPr>
          <w:lang w:eastAsia="zh-CN"/>
        </w:rPr>
      </w:pPr>
      <w:r>
        <w:t>□ 方案二：甲方向乙方提供合作产品【支持产品数量】瓶（即采购数量的【支持比例】）</w:t>
      </w:r>
      <w:r>
        <w:rPr>
          <w:rFonts w:hint="eastAsia"/>
          <w:lang w:eastAsia="zh-CN"/>
        </w:rPr>
        <w:t>，</w:t>
      </w:r>
      <w:r>
        <w:t>乙方完成首批至少【首批使用数量】瓶产品注射并提交1例合格病例资料，经甲方书面验收通过后【</w:t>
      </w:r>
      <w:r>
        <w:rPr>
          <w:rFonts w:hint="eastAsia"/>
          <w:lang w:val="en-US" w:eastAsia="zh-CN"/>
        </w:rPr>
        <w:t>10</w:t>
      </w:r>
      <w:r>
        <w:t>】个工作日内，甲方交付全部【支持产品数量】瓶合作支持产品。合作支持产品在实际按约定完成注射使用前所有权仍归甲方；实际完成相应注射使用后，该部分产品所有权转移至乙方。</w:t>
      </w:r>
    </w:p>
    <w:p w14:paraId="3D6B3114">
      <w:pPr>
        <w:pStyle w:val="166"/>
        <w:ind w:firstLine="0"/>
        <w:rPr>
          <w:lang w:eastAsia="zh-CN"/>
        </w:rPr>
      </w:pPr>
      <w:r>
        <w:rPr>
          <w:b/>
        </w:rPr>
        <w:t>5.</w:t>
      </w:r>
      <w:r>
        <w:rPr>
          <w:rFonts w:hint="eastAsia"/>
          <w:b/>
          <w:lang w:val="en-US" w:eastAsia="zh-CN"/>
        </w:rPr>
        <w:t>2</w:t>
      </w:r>
      <w:r>
        <w:rPr>
          <w:b/>
        </w:rPr>
        <w:t xml:space="preserve"> </w:t>
      </w:r>
      <w:r>
        <w:t>本条任一方案的每期对价均以对应病例资料经甲方书面验收通过为前提。资料未通过验收、存在授权或真实性瑕疵、乙方未按期补正，或乙方存在其他违约情形的，甲方有权暂缓支付或交付，且不承担迟延责任。</w:t>
      </w:r>
    </w:p>
    <w:p w14:paraId="2AF15341">
      <w:pPr>
        <w:pStyle w:val="166"/>
        <w:ind w:firstLine="0"/>
      </w:pPr>
      <w:r>
        <w:rPr>
          <w:b/>
        </w:rPr>
        <w:t>5.</w:t>
      </w:r>
      <w:r>
        <w:rPr>
          <w:rFonts w:hint="eastAsia"/>
          <w:b/>
          <w:lang w:val="en-US" w:eastAsia="zh-CN"/>
        </w:rPr>
        <w:t>3</w:t>
      </w:r>
      <w:r>
        <w:rPr>
          <w:b/>
        </w:rPr>
        <w:t xml:space="preserve"> </w:t>
      </w:r>
      <w:r>
        <w:t>服务费仅支付至乙方下列自有对公账户：</w:t>
      </w:r>
    </w:p>
    <w:p w14:paraId="17581E29">
      <w:pPr>
        <w:pStyle w:val="166"/>
        <w:ind w:firstLine="0"/>
      </w:pPr>
      <w:r>
        <w:t>户名：</w:t>
      </w:r>
    </w:p>
    <w:p w14:paraId="32128CA1">
      <w:pPr>
        <w:pStyle w:val="166"/>
        <w:ind w:firstLine="0"/>
      </w:pPr>
      <w:r>
        <w:t>开户行：</w:t>
      </w:r>
    </w:p>
    <w:p w14:paraId="431B8619">
      <w:pPr>
        <w:pStyle w:val="166"/>
        <w:ind w:firstLine="0"/>
      </w:pPr>
      <w:r>
        <w:t>账号：</w:t>
      </w:r>
    </w:p>
    <w:p w14:paraId="544699E4">
      <w:pPr>
        <w:pStyle w:val="166"/>
        <w:ind w:firstLine="0"/>
        <w:rPr>
          <w:lang w:eastAsia="zh-CN"/>
        </w:rPr>
      </w:pPr>
      <w:r>
        <w:t>乙方变更收款账户的，应至少提前</w:t>
      </w:r>
      <w:r>
        <w:rPr>
          <w:rFonts w:hint="eastAsia"/>
          <w:lang w:val="en-US" w:eastAsia="zh-CN"/>
        </w:rPr>
        <w:t>5</w:t>
      </w:r>
      <w:r>
        <w:t>个工作日向甲方提交加盖公章的书面通知。</w:t>
      </w:r>
    </w:p>
    <w:p w14:paraId="03DBF930">
      <w:pPr>
        <w:pStyle w:val="3"/>
        <w:rPr>
          <w:color w:val="auto"/>
        </w:rPr>
      </w:pPr>
      <w:r>
        <w:rPr>
          <w:rFonts w:ascii="宋体" w:hAnsi="宋体" w:eastAsia="宋体"/>
          <w:b w:val="0"/>
          <w:color w:val="auto"/>
          <w:sz w:val="21"/>
        </w:rPr>
        <w:t>第六条  患者授权</w:t>
      </w:r>
    </w:p>
    <w:p w14:paraId="683E7AE5">
      <w:pPr>
        <w:pStyle w:val="166"/>
        <w:ind w:firstLine="0"/>
        <w:rPr>
          <w:lang w:eastAsia="zh-CN"/>
        </w:rPr>
      </w:pPr>
      <w:commentRangeStart w:id="3"/>
      <w:r>
        <w:rPr>
          <w:b/>
        </w:rPr>
        <w:t xml:space="preserve">6.1 </w:t>
      </w:r>
      <w:r>
        <w:t>乙方应在对患者使用合作产品或合作支持产品并收集、整理、向甲方提供任何病例资料前，依法分别取得以下文件：（1）覆盖医疗美容诊疗、合作产品使用、风险、替代方案及不良事件的诊疗知情同意；（2）覆盖乙方向甲方提供医疗健康信息、面部影像及其他敏感个人信息的单独同意；（3）如拟对外公开患者影像、肖像或可识别信息，另行取得覆盖甲方、合作产品、具体渠道、地域、期限、编辑方式及撤回后处理的公开使用单独同意和肖像授权；（4）如拟使用医师姓名、职务、肖像、访谈或署名，取得医师本人及乙方机构的书面授权。</w:t>
      </w:r>
      <w:commentRangeEnd w:id="3"/>
      <w:r>
        <w:commentReference w:id="3"/>
      </w:r>
    </w:p>
    <w:p w14:paraId="3268C723">
      <w:pPr>
        <w:pStyle w:val="166"/>
        <w:ind w:firstLine="0"/>
      </w:pPr>
      <w:r>
        <w:rPr>
          <w:b/>
        </w:rPr>
        <w:t xml:space="preserve">6.2 </w:t>
      </w:r>
      <w:r>
        <w:t>乙方应确保上述同意或授权由具有相应民事行为能力的权利人自愿、明确、充分知情后作出，并至少包含：甲方名称和联系方式；处理目的、方式、信息种类、使用场景、公开渠道、保存期限；处理敏感个人信息的必要性及对个人权益的影响；查询、复制、更正、撤回、删除及投诉方式。乙方应保存授权原件，并按甲方要求提供复印件、扫描件或可验证的授权记录。</w:t>
      </w:r>
    </w:p>
    <w:p w14:paraId="3F7FD7C8">
      <w:pPr>
        <w:pStyle w:val="166"/>
        <w:ind w:firstLine="0"/>
        <w:rPr>
          <w:lang w:eastAsia="zh-CN"/>
        </w:rPr>
      </w:pPr>
      <w:commentRangeStart w:id="4"/>
      <w:r>
        <w:rPr>
          <w:b/>
        </w:rPr>
        <w:t>6.</w:t>
      </w:r>
      <w:r>
        <w:rPr>
          <w:rFonts w:hint="eastAsia"/>
          <w:b/>
          <w:lang w:val="en-US" w:eastAsia="zh-CN"/>
        </w:rPr>
        <w:t>3</w:t>
      </w:r>
      <w:r>
        <w:rPr>
          <w:b/>
        </w:rPr>
        <w:t xml:space="preserve"> </w:t>
      </w:r>
      <w:r>
        <w:t>乙方应对诊疗知情同意、个人信息单独同意、肖像/公开授权、原始病历、资料交付清单</w:t>
      </w:r>
      <w:r>
        <w:rPr>
          <w:rFonts w:hint="eastAsia"/>
          <w:lang w:val="en-US" w:eastAsia="zh-CN"/>
        </w:rPr>
        <w:t>等</w:t>
      </w:r>
      <w:r>
        <w:t>完整保存，保存期限自本项目终止之日起不少于【5】年；法律法规、医疗管理规范规定更长期限的，从其规定。如存在投诉、纠纷、调查或潜在争议，乙方应保存至相关事项最终解决。</w:t>
      </w:r>
      <w:commentRangeEnd w:id="4"/>
      <w:r>
        <w:commentReference w:id="4"/>
      </w:r>
    </w:p>
    <w:p w14:paraId="7A25FC1E">
      <w:pPr>
        <w:pStyle w:val="166"/>
        <w:ind w:firstLine="0"/>
        <w:rPr>
          <w:lang w:eastAsia="zh-CN"/>
        </w:rPr>
      </w:pPr>
      <w:r>
        <w:rPr>
          <w:b/>
        </w:rPr>
        <w:t>6.</w:t>
      </w:r>
      <w:r>
        <w:rPr>
          <w:rFonts w:hint="eastAsia"/>
          <w:b/>
          <w:lang w:val="en-US" w:eastAsia="zh-CN"/>
        </w:rPr>
        <w:t>4</w:t>
      </w:r>
      <w:r>
        <w:rPr>
          <w:b/>
        </w:rPr>
        <w:t xml:space="preserve"> </w:t>
      </w:r>
      <w:r>
        <w:t>患者撤回、限制或变更授权，或要求删除、下架相关资料的，乙方应在收到后【1】个工作日内将申请原文、患者身份核验结果、涉及资料编码和处理建议书面通知甲方，并配合甲方依法处理。</w:t>
      </w:r>
    </w:p>
    <w:p w14:paraId="0EC66D57">
      <w:pPr>
        <w:pStyle w:val="3"/>
        <w:rPr>
          <w:color w:val="auto"/>
          <w:highlight w:val="yellow"/>
        </w:rPr>
      </w:pPr>
      <w:r>
        <w:rPr>
          <w:rFonts w:ascii="宋体" w:hAnsi="宋体" w:eastAsia="宋体"/>
          <w:b w:val="0"/>
          <w:color w:val="auto"/>
          <w:sz w:val="21"/>
          <w:highlight w:val="none"/>
        </w:rPr>
        <w:t xml:space="preserve">第七条  </w:t>
      </w:r>
      <w:r>
        <w:rPr>
          <w:rFonts w:hint="eastAsia" w:ascii="宋体" w:hAnsi="宋体" w:eastAsia="宋体"/>
          <w:b w:val="0"/>
          <w:color w:val="auto"/>
          <w:sz w:val="21"/>
          <w:highlight w:val="none"/>
          <w:lang w:val="en-US" w:eastAsia="zh-CN"/>
        </w:rPr>
        <w:t>信息使用</w:t>
      </w:r>
    </w:p>
    <w:p w14:paraId="7E8C888E">
      <w:pPr>
        <w:pStyle w:val="166"/>
        <w:ind w:firstLine="0"/>
        <w:rPr>
          <w:lang w:eastAsia="zh-CN"/>
        </w:rPr>
      </w:pPr>
      <w:r>
        <w:rPr>
          <w:b/>
        </w:rPr>
        <w:t xml:space="preserve">7.1 </w:t>
      </w:r>
      <w:r>
        <w:t>未经甲方事先书面审核同意，乙方及其医师、员工、关联方不得使用甲方名称、商标、合作产品、项目名称、病例资料或双方合作关系进行公开发布、宣传、招商、患者招揽、学术发表或其他对外使用，不得使公众误认乙方、医师或相关服务获得甲方推荐、保证。</w:t>
      </w:r>
    </w:p>
    <w:p w14:paraId="705F99AF">
      <w:pPr>
        <w:pStyle w:val="166"/>
        <w:ind w:firstLine="0"/>
        <w:rPr>
          <w:lang w:eastAsia="zh-CN"/>
        </w:rPr>
      </w:pPr>
      <w:commentRangeStart w:id="5"/>
      <w:r>
        <w:rPr>
          <w:b/>
        </w:rPr>
        <w:t xml:space="preserve">7.2 </w:t>
      </w:r>
      <w:r>
        <w:t>经甲方书面同意由乙方发布的内容，乙方仍应确保真实、准确，不超出合作产品注册证、说明书和已批准广告样件，不得作功效、安全性保证，不得利用患者前后对比或医师姓名、职务、肖像、评价作推荐、证明，不得以“科普”“学术交流”“病例分享”名义变相发布违法广告。</w:t>
      </w:r>
      <w:commentRangeEnd w:id="5"/>
      <w:r>
        <w:commentReference w:id="5"/>
      </w:r>
    </w:p>
    <w:p w14:paraId="1E97B035">
      <w:pPr>
        <w:pStyle w:val="166"/>
        <w:ind w:firstLine="0"/>
        <w:rPr>
          <w:lang w:eastAsia="zh-CN"/>
        </w:rPr>
      </w:pPr>
      <w:commentRangeStart w:id="6"/>
      <w:r>
        <w:rPr>
          <w:b/>
        </w:rPr>
        <w:t xml:space="preserve">7.3 </w:t>
      </w:r>
      <w:commentRangeEnd w:id="6"/>
      <w:r>
        <w:commentReference w:id="6"/>
      </w:r>
      <w:r>
        <w:t>未经甲方书面同意，乙方不得以甲方、合作产品或本项目名义发表</w:t>
      </w:r>
      <w:r>
        <w:rPr>
          <w:rFonts w:hint="eastAsia"/>
          <w:lang w:eastAsia="zh-CN"/>
        </w:rPr>
        <w:t>；</w:t>
      </w:r>
      <w:r>
        <w:rPr>
          <w:rFonts w:hint="eastAsia"/>
          <w:lang w:val="en-US" w:eastAsia="zh-CN"/>
        </w:rPr>
        <w:t>乙方也不得</w:t>
      </w:r>
      <w:r>
        <w:t>开展系统性收集、统计分析、设置研究终点、评价安全性/有效性或以临床研究成果名义发表。</w:t>
      </w:r>
    </w:p>
    <w:p w14:paraId="57520CC7">
      <w:pPr>
        <w:pStyle w:val="3"/>
        <w:rPr>
          <w:color w:val="auto"/>
        </w:rPr>
      </w:pPr>
      <w:r>
        <w:rPr>
          <w:rFonts w:ascii="宋体" w:hAnsi="宋体" w:eastAsia="宋体"/>
          <w:b w:val="0"/>
          <w:color w:val="auto"/>
          <w:sz w:val="21"/>
          <w:highlight w:val="none"/>
        </w:rPr>
        <w:t>第八条  不良事件、质量投诉</w:t>
      </w:r>
    </w:p>
    <w:p w14:paraId="389194CD">
      <w:pPr>
        <w:pStyle w:val="166"/>
        <w:ind w:firstLine="0"/>
      </w:pPr>
      <w:r>
        <w:rPr>
          <w:b/>
        </w:rPr>
        <w:t xml:space="preserve">8.1 </w:t>
      </w:r>
      <w:r>
        <w:t>乙方应建立合作产品临床使用安全监测机制。发生疑似不良事件、严重不良事件、产品质量投诉、异常聚集或患者纠纷时，乙方应立即采取必要医疗措施，并在【24】小时内书面通知甲方；依法需向监管部门报告的，</w:t>
      </w:r>
      <w:r>
        <w:rPr>
          <w:rFonts w:hint="eastAsia"/>
          <w:lang w:eastAsia="zh-CN"/>
        </w:rPr>
        <w:t>乙方应</w:t>
      </w:r>
      <w:r>
        <w:t>及时</w:t>
      </w:r>
      <w:r>
        <w:rPr>
          <w:rFonts w:hint="eastAsia"/>
          <w:lang w:eastAsia="zh-CN"/>
        </w:rPr>
        <w:t>履行法定义务</w:t>
      </w:r>
      <w:r>
        <w:t>。</w:t>
      </w:r>
    </w:p>
    <w:p w14:paraId="54696BDD">
      <w:pPr>
        <w:pStyle w:val="166"/>
        <w:ind w:firstLine="0"/>
      </w:pPr>
      <w:r>
        <w:rPr>
          <w:b/>
        </w:rPr>
        <w:t xml:space="preserve">8.2 </w:t>
      </w:r>
      <w:r>
        <w:t>乙方应保存涉事产品、包装、批号、唯一标识、使用记录、影像、病历和处置记录，不得隐匿、篡改或销毁；并应配合甲方开展质量调查、风险评估、召回、警戒和监管沟通。</w:t>
      </w:r>
    </w:p>
    <w:p w14:paraId="61A8BCC6">
      <w:pPr>
        <w:pStyle w:val="166"/>
        <w:ind w:firstLine="0"/>
        <w:rPr>
          <w:lang w:eastAsia="zh-CN"/>
        </w:rPr>
      </w:pPr>
      <w:r>
        <w:rPr>
          <w:b/>
        </w:rPr>
        <w:t xml:space="preserve">8.3 </w:t>
      </w:r>
      <w:r>
        <w:t>因乙方诊疗行为、操作不当、超范围使用、未尽知情同意义务、患者管理或病历记录瑕疵造成的患者损害、纠纷、投诉或处罚，由乙方负责处理并承担责任。</w:t>
      </w:r>
    </w:p>
    <w:p w14:paraId="0C35A4A7">
      <w:pPr>
        <w:pStyle w:val="3"/>
        <w:rPr>
          <w:rFonts w:ascii="宋体" w:hAnsi="宋体" w:eastAsia="宋体"/>
          <w:b w:val="0"/>
          <w:color w:val="auto"/>
          <w:sz w:val="21"/>
          <w:highlight w:val="none"/>
        </w:rPr>
      </w:pPr>
      <w:r>
        <w:rPr>
          <w:rFonts w:ascii="宋体" w:hAnsi="宋体" w:eastAsia="宋体"/>
          <w:b w:val="0"/>
          <w:color w:val="auto"/>
          <w:sz w:val="21"/>
          <w:highlight w:val="none"/>
        </w:rPr>
        <w:t>第九条</w:t>
      </w:r>
      <w:r>
        <w:rPr>
          <w:rFonts w:ascii="宋体" w:hAnsi="宋体" w:eastAsia="宋体"/>
          <w:b w:val="0"/>
          <w:color w:val="auto"/>
          <w:sz w:val="21"/>
          <w:highlight w:val="none"/>
        </w:rPr>
        <w:t xml:space="preserve">  反商业贿赂与利益冲突</w:t>
      </w:r>
    </w:p>
    <w:p w14:paraId="51CCB442">
      <w:pPr>
        <w:pStyle w:val="166"/>
        <w:ind w:firstLine="0"/>
        <w:rPr>
          <w:lang w:eastAsia="zh-CN"/>
        </w:rPr>
      </w:pPr>
      <w:r>
        <w:rPr>
          <w:b/>
        </w:rPr>
        <w:t xml:space="preserve">9.1 </w:t>
      </w:r>
      <w:r>
        <w:t>双方及其关联方、员工、受托人不得私下向对方工作人员、医师、科室、采购决策人员或其利益关联人支付或收取现金、回扣、佣金、礼品、有价证券、旅游、宴请、咨询费、讲课费、资助或其他不当利益，不得通过虚假合同、虚假发票、第三方通道或账外返还规避监管。</w:t>
      </w:r>
    </w:p>
    <w:p w14:paraId="352C26FD">
      <w:pPr>
        <w:pStyle w:val="166"/>
        <w:ind w:firstLine="0"/>
        <w:rPr>
          <w:lang w:eastAsia="zh-CN"/>
        </w:rPr>
      </w:pPr>
      <w:r>
        <w:rPr>
          <w:b/>
        </w:rPr>
        <w:t xml:space="preserve">9.2 </w:t>
      </w:r>
      <w:r>
        <w:t>乙方应确保本项目服务费、合作支持产品和其他权益全部进入乙方法定账户、正规耗材验收入库流程及财务账簿，如实开具票据并保留履行记录，不得直接或间接分配、返还给医师、科室、采购人员或其他个人。</w:t>
      </w:r>
    </w:p>
    <w:p w14:paraId="487A8CEB">
      <w:pPr>
        <w:pStyle w:val="166"/>
        <w:ind w:firstLine="0"/>
      </w:pPr>
      <w:r>
        <w:rPr>
          <w:b/>
        </w:rPr>
        <w:t xml:space="preserve">9.3 </w:t>
      </w:r>
      <w:r>
        <w:t>乙方不得以合作产品入院</w:t>
      </w:r>
      <w:commentRangeStart w:id="7"/>
      <w:r>
        <w:t>、采购、推荐、后续销量、排他使用、患者导流</w:t>
      </w:r>
      <w:r>
        <w:rPr>
          <w:rFonts w:hint="eastAsia"/>
          <w:lang w:val="en-US" w:eastAsia="zh-CN"/>
        </w:rPr>
        <w:t>等</w:t>
      </w:r>
      <w:r>
        <w:t>作为甲方支付服务费或提供合作支持产品的条件，不得要求甲方不合理加快任何研究进程或操纵、筛选、篡改数据。</w:t>
      </w:r>
      <w:commentRangeEnd w:id="7"/>
      <w:r>
        <w:commentReference w:id="7"/>
      </w:r>
    </w:p>
    <w:p w14:paraId="6949CAAC">
      <w:pPr>
        <w:pStyle w:val="3"/>
        <w:rPr>
          <w:color w:val="auto"/>
        </w:rPr>
      </w:pPr>
      <w:r>
        <w:rPr>
          <w:rFonts w:ascii="宋体" w:hAnsi="宋体" w:eastAsia="宋体"/>
          <w:b w:val="0"/>
          <w:color w:val="auto"/>
          <w:sz w:val="21"/>
        </w:rPr>
        <w:t>第十条  资料使用权与保密</w:t>
      </w:r>
    </w:p>
    <w:p w14:paraId="4EF10DC9">
      <w:pPr>
        <w:pStyle w:val="166"/>
        <w:ind w:firstLine="0"/>
        <w:rPr>
          <w:lang w:eastAsia="zh-CN"/>
        </w:rPr>
      </w:pPr>
      <w:r>
        <w:rPr>
          <w:b/>
        </w:rPr>
        <w:t xml:space="preserve">10.1 </w:t>
      </w:r>
      <w:r>
        <w:t>本协议所称“甲方保密信息”，是指甲方或其关联方以口头、书面、电子、实物或其他方式向乙方披露，或乙方因本项目知悉的未公开信息，包括但不限于商业计划、市场策略、客户和渠道信息、价格政策、合同和财务信息、产品配方和技术资料、注册及临床资料、不良事件和质量信息、项目方案、未公开病例资料、谈判内容及标注为保密或依性质应当理解为保密的其他信息。</w:t>
      </w:r>
    </w:p>
    <w:p w14:paraId="10AAC80A">
      <w:pPr>
        <w:pStyle w:val="166"/>
        <w:ind w:firstLine="0"/>
        <w:rPr>
          <w:lang w:eastAsia="zh-CN"/>
        </w:rPr>
      </w:pPr>
      <w:r>
        <w:rPr>
          <w:b/>
        </w:rPr>
        <w:t xml:space="preserve">10.2 </w:t>
      </w:r>
      <w:r>
        <w:t>乙方仅得为履行本协议之目的使用甲方保密信息，并应采取不低于保护其自身同类重要信息的措施予以保护。未经甲方事先书面同意，乙方不得以任何方式向第三方披露、复制、转发、上传、反向分析或用于与本项目无关的用途。乙方应确保其医师、员工、受托人和合作方承担不低于本协议的保密义务，并对前述人员的行为承担责任。</w:t>
      </w:r>
    </w:p>
    <w:p w14:paraId="02C8F051">
      <w:pPr>
        <w:pStyle w:val="166"/>
        <w:ind w:firstLine="0"/>
        <w:rPr>
          <w:lang w:eastAsia="zh-CN"/>
        </w:rPr>
      </w:pPr>
      <w:r>
        <w:rPr>
          <w:b/>
        </w:rPr>
        <w:t xml:space="preserve">10.3 </w:t>
      </w:r>
      <w:r>
        <w:t>下列信息不属于甲方保密信息：（1）非因乙方违约已合法进入公开领域的；（2）乙方能以书面证据证明在披露前已合法掌握的；（3）乙方从有权披露的第三方合法取得且不负保密义务的；（4）乙方未使用甲方保密信息独立开发形成的。乙方依法或依有权机关要求必须披露的，应在法律允许范围内提前书面通知甲方，并仅披露最小必要范围。</w:t>
      </w:r>
    </w:p>
    <w:p w14:paraId="71B80E3E">
      <w:pPr>
        <w:pStyle w:val="166"/>
        <w:ind w:firstLine="0"/>
        <w:rPr>
          <w:lang w:eastAsia="zh-CN"/>
        </w:rPr>
      </w:pPr>
      <w:commentRangeStart w:id="8"/>
      <w:r>
        <w:rPr>
          <w:b/>
        </w:rPr>
        <w:t xml:space="preserve">10.4 </w:t>
      </w:r>
      <w:r>
        <w:t>乙方确认，甲方有权在患者有效授权的用途、渠道、地域和期限范围内，对经验收合格的病例资料进行复制、整理、编辑、展示、传播和使用，无需另行取得乙方或乙方医师同意，也无需在本协议约定对价外另行支付费用。乙方不得以其对原始病历的管理权、保密义务或医师署名为由，限制甲方在前述范围内使用病例资料。</w:t>
      </w:r>
      <w:commentRangeEnd w:id="8"/>
      <w:r>
        <w:commentReference w:id="8"/>
      </w:r>
    </w:p>
    <w:p w14:paraId="3D0750EB">
      <w:pPr>
        <w:pStyle w:val="166"/>
        <w:ind w:firstLine="0"/>
        <w:rPr>
          <w:lang w:eastAsia="zh-CN"/>
        </w:rPr>
      </w:pPr>
      <w:r>
        <w:rPr>
          <w:b/>
        </w:rPr>
        <w:t xml:space="preserve">10.5 </w:t>
      </w:r>
      <w:r>
        <w:t>乙方的保密义务自相关信息披露或知悉之日起生效，并</w:t>
      </w:r>
      <w:r>
        <w:rPr>
          <w:rFonts w:hint="eastAsia"/>
          <w:lang w:val="en-US" w:eastAsia="zh-CN"/>
        </w:rPr>
        <w:t>长期有效</w:t>
      </w:r>
      <w:r>
        <w:t>。</w:t>
      </w:r>
    </w:p>
    <w:p w14:paraId="12D74CCF">
      <w:pPr>
        <w:pStyle w:val="3"/>
        <w:rPr>
          <w:color w:val="auto"/>
          <w:highlight w:val="yellow"/>
        </w:rPr>
      </w:pPr>
      <w:r>
        <w:rPr>
          <w:rFonts w:ascii="宋体" w:hAnsi="宋体" w:eastAsia="宋体"/>
          <w:b w:val="0"/>
          <w:color w:val="auto"/>
          <w:sz w:val="21"/>
          <w:highlight w:val="none"/>
        </w:rPr>
        <w:t>第十一条  协议期限、解除与终止后处理</w:t>
      </w:r>
    </w:p>
    <w:p w14:paraId="70B3CC3B">
      <w:pPr>
        <w:pStyle w:val="166"/>
        <w:ind w:firstLine="0"/>
      </w:pPr>
      <w:r>
        <w:rPr>
          <w:b/>
        </w:rPr>
        <w:t xml:space="preserve">11.1 </w:t>
      </w:r>
      <w:r>
        <w:t>本协议自双方盖章之日起生效</w:t>
      </w:r>
      <w:r>
        <w:rPr>
          <w:rFonts w:hint="eastAsia"/>
          <w:lang w:eastAsia="zh-CN"/>
        </w:rPr>
        <w:t>，</w:t>
      </w:r>
      <w:r>
        <w:t>有效期为【6】个月。乙方应在本协议生效后【3】个月内完成全部【采购数量】瓶采购产品的约定使用及全部病例资料交付。</w:t>
      </w:r>
    </w:p>
    <w:p w14:paraId="732D2EED">
      <w:pPr>
        <w:pStyle w:val="166"/>
        <w:ind w:firstLine="0"/>
      </w:pPr>
      <w:r>
        <w:rPr>
          <w:b/>
        </w:rPr>
        <w:t xml:space="preserve">11.2 </w:t>
      </w:r>
      <w:r>
        <w:t>发生下列任一情形，甲方有权暂缓支付、停止产品交付，并可通过书面通知立即解除本协议，无需向乙方承担责任：</w:t>
      </w:r>
    </w:p>
    <w:p w14:paraId="2621F00C">
      <w:pPr>
        <w:pStyle w:val="166"/>
        <w:ind w:firstLine="0"/>
      </w:pPr>
      <w:r>
        <w:t>（1）乙方资质失效、超范围诊疗或由无资质人员实施注射；</w:t>
      </w:r>
    </w:p>
    <w:p w14:paraId="7DD4356C">
      <w:pPr>
        <w:pStyle w:val="166"/>
        <w:ind w:firstLine="0"/>
      </w:pPr>
      <w:r>
        <w:t>（2）诊疗同意、个人信息单独同意或肖像/公开授权缺失、无效或超范围；</w:t>
      </w:r>
    </w:p>
    <w:p w14:paraId="7C9C412B">
      <w:pPr>
        <w:pStyle w:val="166"/>
        <w:ind w:firstLine="0"/>
      </w:pPr>
      <w:r>
        <w:t>（3）病例造假、影像拼接美化、数据篡改、发票或履行记录虚假；</w:t>
      </w:r>
    </w:p>
    <w:p w14:paraId="3A6DA6E2">
      <w:pPr>
        <w:pStyle w:val="166"/>
        <w:ind w:firstLine="0"/>
      </w:pPr>
      <w:r>
        <w:t>（4）未经甲方书面同意发布广告、学术文章或其他对外内容；</w:t>
      </w:r>
    </w:p>
    <w:p w14:paraId="702FFE9B">
      <w:pPr>
        <w:pStyle w:val="166"/>
        <w:ind w:firstLine="0"/>
      </w:pPr>
      <w:r>
        <w:t>（5）发生个人信息安全事件、严重授权瑕疵或拒不采取补救措施；</w:t>
      </w:r>
    </w:p>
    <w:p w14:paraId="4A0597F1">
      <w:pPr>
        <w:pStyle w:val="166"/>
        <w:ind w:firstLine="0"/>
      </w:pPr>
      <w:r>
        <w:t>（6）向医师、科室、采购人员或其他个人输送利益，或存在虚假项目、商业贿赂风险；</w:t>
      </w:r>
    </w:p>
    <w:p w14:paraId="0E35874A">
      <w:pPr>
        <w:pStyle w:val="166"/>
        <w:ind w:firstLine="0"/>
      </w:pPr>
      <w:r>
        <w:t>（</w:t>
      </w:r>
      <w:r>
        <w:rPr>
          <w:rFonts w:hint="eastAsia"/>
          <w:lang w:val="en-US" w:eastAsia="zh-CN"/>
        </w:rPr>
        <w:t>7</w:t>
      </w:r>
      <w:r>
        <w:t>）未履行法定程序即将本项目资料用于研究、注册或系统性分析；</w:t>
      </w:r>
    </w:p>
    <w:p w14:paraId="01897AA5">
      <w:pPr>
        <w:pStyle w:val="166"/>
        <w:ind w:firstLine="0"/>
      </w:pPr>
      <w:r>
        <w:t>（</w:t>
      </w:r>
      <w:r>
        <w:rPr>
          <w:rFonts w:hint="eastAsia"/>
          <w:lang w:val="en-US" w:eastAsia="zh-CN"/>
        </w:rPr>
        <w:t>8</w:t>
      </w:r>
      <w:r>
        <w:t>）乙方逾期履行主要义务超过【1</w:t>
      </w:r>
      <w:r>
        <w:rPr>
          <w:rFonts w:hint="eastAsia"/>
          <w:lang w:val="en-US" w:eastAsia="zh-CN"/>
        </w:rPr>
        <w:t>5</w:t>
      </w:r>
      <w:r>
        <w:t>】个工作日或经甲方催告仍未改正；</w:t>
      </w:r>
    </w:p>
    <w:p w14:paraId="6CEFEBC9">
      <w:pPr>
        <w:pStyle w:val="166"/>
        <w:ind w:firstLine="0"/>
      </w:pPr>
      <w:r>
        <w:t>（</w:t>
      </w:r>
      <w:r>
        <w:rPr>
          <w:rFonts w:hint="eastAsia"/>
          <w:lang w:val="en-US" w:eastAsia="zh-CN"/>
        </w:rPr>
        <w:t>9</w:t>
      </w:r>
      <w:r>
        <w:t>）其他足以影响患者权益、合法履行或甲方品牌声誉的重大情形。</w:t>
      </w:r>
    </w:p>
    <w:p w14:paraId="5475E6FE">
      <w:pPr>
        <w:pStyle w:val="166"/>
        <w:ind w:firstLine="0"/>
        <w:rPr>
          <w:lang w:eastAsia="zh-CN"/>
        </w:rPr>
      </w:pPr>
      <w:r>
        <w:t>甲方解除协议后，仍有权依第十二条追究乙方违约责任。</w:t>
      </w:r>
    </w:p>
    <w:p w14:paraId="4A2B77BD">
      <w:pPr>
        <w:pStyle w:val="166"/>
        <w:ind w:firstLine="0"/>
        <w:rPr>
          <w:lang w:eastAsia="zh-CN"/>
        </w:rPr>
      </w:pPr>
      <w:r>
        <w:rPr>
          <w:b/>
        </w:rPr>
        <w:t xml:space="preserve">11.3 </w:t>
      </w:r>
      <w:r>
        <w:t>本协议解除或终止后：（1）尚未经甲方验收通过的病例资料不产生支付或交付合作支持产品的义务；因乙方违约解除的，甲方有权暂缓结算并将应付款项与乙方应承担的责任抵销；（2）乙方应在【5】个工作日内返还尚未使用的合作支持产品，产品已无法返还或未按约定用于对应病例的，乙方应按第三条约定采购单价向甲方支付等值款项；（3）乙方应按甲方要求返还、删除或销毁甲方保密信息并提供书面确认；（</w:t>
      </w:r>
      <w:r>
        <w:rPr>
          <w:rFonts w:hint="eastAsia"/>
          <w:lang w:val="en-US" w:eastAsia="zh-CN"/>
        </w:rPr>
        <w:t>4</w:t>
      </w:r>
      <w:r>
        <w:t>）乙方应继续履行法律法规和本协议要求的病历、授权、安全事件和不良事件记录保存及配合义务。</w:t>
      </w:r>
    </w:p>
    <w:p w14:paraId="009D62DC">
      <w:pPr>
        <w:pStyle w:val="166"/>
        <w:ind w:firstLine="0"/>
        <w:rPr>
          <w:lang w:eastAsia="zh-CN"/>
        </w:rPr>
      </w:pPr>
      <w:r>
        <w:rPr>
          <w:b/>
        </w:rPr>
        <w:t xml:space="preserve">11.4 </w:t>
      </w:r>
      <w:r>
        <w:t>本协议的解除或终止不影响任何一方在解除或终止前已产生的权利和责任；第六条、第七条、第九条、第十条、第十二条及争议解决条款在协议解除或终止后继续有效。</w:t>
      </w:r>
    </w:p>
    <w:p w14:paraId="53DC62B5">
      <w:pPr>
        <w:pStyle w:val="3"/>
        <w:rPr>
          <w:rFonts w:ascii="宋体" w:hAnsi="宋体" w:eastAsia="宋体"/>
          <w:b w:val="0"/>
          <w:color w:val="auto"/>
          <w:sz w:val="21"/>
          <w:highlight w:val="none"/>
        </w:rPr>
      </w:pPr>
      <w:r>
        <w:rPr>
          <w:rFonts w:ascii="宋体" w:hAnsi="宋体" w:eastAsia="宋体"/>
          <w:b w:val="0"/>
          <w:color w:val="auto"/>
          <w:sz w:val="21"/>
          <w:highlight w:val="none"/>
        </w:rPr>
        <w:t>第十二条  违约责任</w:t>
      </w:r>
    </w:p>
    <w:p w14:paraId="0A46AB28">
      <w:pPr>
        <w:pStyle w:val="166"/>
        <w:ind w:firstLine="0"/>
        <w:rPr>
          <w:lang w:eastAsia="zh-CN"/>
        </w:rPr>
      </w:pPr>
      <w:r>
        <w:rPr>
          <w:b/>
        </w:rPr>
        <w:t xml:space="preserve">12.1 </w:t>
      </w:r>
      <w:r>
        <w:t>任何一方违反本协议约定，经守约方书面通知后【5】个工作日内未改正、未采取充分补救措施或该违约已无法改正的，构成一般违约，违约方应按本协议合同金额的10%向守约方支付违约金。本条所称“合同金额”，选择方案一时为产品采购总额与现金服务费总额之和；选择方案二时为产品采购总额与【支持产品数量】瓶合作支持产品按采购单价计算的作价之和。</w:t>
      </w:r>
    </w:p>
    <w:p w14:paraId="5BBE370B">
      <w:pPr>
        <w:pStyle w:val="166"/>
        <w:ind w:firstLine="0"/>
      </w:pPr>
      <w:r>
        <w:rPr>
          <w:b/>
        </w:rPr>
        <w:t xml:space="preserve">12.2 </w:t>
      </w:r>
      <w:r>
        <w:t>乙方存在下列任一情形的，构成重大违约，乙方应按本协议合同金额的20%向甲方支付违约金：</w:t>
      </w:r>
    </w:p>
    <w:p w14:paraId="3A0163A5">
      <w:pPr>
        <w:pStyle w:val="166"/>
        <w:ind w:firstLine="0"/>
      </w:pPr>
      <w:r>
        <w:t>（1）无资质、超范围或违反说明书实施诊疗；</w:t>
      </w:r>
    </w:p>
    <w:p w14:paraId="4A92FDE7">
      <w:pPr>
        <w:pStyle w:val="166"/>
        <w:ind w:firstLine="0"/>
      </w:pPr>
      <w:r>
        <w:t>（2）虚构患者、拼接影像、篡改数据或提供虚假授权、发票、履行记录；</w:t>
      </w:r>
    </w:p>
    <w:p w14:paraId="3A075501">
      <w:pPr>
        <w:pStyle w:val="166"/>
        <w:ind w:firstLine="0"/>
      </w:pPr>
      <w:r>
        <w:t>（3）未取得有效同意或未按约定去标识化、造成个人信息泄露、非法提供或公开；</w:t>
      </w:r>
    </w:p>
    <w:p w14:paraId="5BB8C0E6">
      <w:pPr>
        <w:pStyle w:val="166"/>
        <w:ind w:firstLine="0"/>
      </w:pPr>
      <w:r>
        <w:t>（4）未经甲方审核擅自发布广告、学术文章或使用甲方品牌；</w:t>
      </w:r>
    </w:p>
    <w:p w14:paraId="29C30CB3">
      <w:pPr>
        <w:pStyle w:val="166"/>
        <w:ind w:firstLine="0"/>
      </w:pPr>
      <w:r>
        <w:t>（5）转售、转赠、转供合作支持产品或向患者重复收费；</w:t>
      </w:r>
    </w:p>
    <w:p w14:paraId="1BF2ED63">
      <w:pPr>
        <w:pStyle w:val="166"/>
        <w:ind w:firstLine="0"/>
      </w:pPr>
      <w:r>
        <w:t>（6）向医师、科室、采购人员或其他个人输送利益，或实施其他商业贿赂行为；</w:t>
      </w:r>
    </w:p>
    <w:p w14:paraId="5485361F">
      <w:pPr>
        <w:pStyle w:val="166"/>
        <w:ind w:firstLine="0"/>
      </w:pPr>
      <w:r>
        <w:t>（</w:t>
      </w:r>
      <w:r>
        <w:rPr>
          <w:rFonts w:hint="eastAsia"/>
          <w:lang w:val="en-US" w:eastAsia="zh-CN"/>
        </w:rPr>
        <w:t>7</w:t>
      </w:r>
      <w:r>
        <w:t>）违反保密义务或未经程序将资料用于研究、注册或系统性分析；</w:t>
      </w:r>
    </w:p>
    <w:p w14:paraId="5420E007">
      <w:pPr>
        <w:pStyle w:val="166"/>
        <w:ind w:firstLine="0"/>
        <w:rPr>
          <w:lang w:eastAsia="zh-CN"/>
        </w:rPr>
      </w:pPr>
      <w:r>
        <w:t>（</w:t>
      </w:r>
      <w:r>
        <w:rPr>
          <w:rFonts w:hint="eastAsia"/>
          <w:lang w:val="en-US" w:eastAsia="zh-CN"/>
        </w:rPr>
        <w:t>8</w:t>
      </w:r>
      <w:r>
        <w:t>）其他对患者权益、甲方合规状态或品牌声誉造成或可能造成重大影响的行为。</w:t>
      </w:r>
    </w:p>
    <w:p w14:paraId="0C3F6179">
      <w:pPr>
        <w:pStyle w:val="166"/>
        <w:ind w:firstLine="0"/>
        <w:rPr>
          <w:lang w:eastAsia="zh-CN"/>
        </w:rPr>
      </w:pPr>
      <w:r>
        <w:rPr>
          <w:b/>
        </w:rPr>
        <w:t xml:space="preserve">12.3 </w:t>
      </w:r>
      <w:r>
        <w:t>乙方未按约定期限交付或补正病例资料的，每逾期一日，应按对应阶段服务对价的0.05%向甲方支付违约金；逾期超过【10】个工作日的，甲方有权解除本协议，并按本条追究乙方责任。</w:t>
      </w:r>
    </w:p>
    <w:p w14:paraId="768B108E">
      <w:pPr>
        <w:pStyle w:val="166"/>
        <w:ind w:firstLine="0"/>
        <w:rPr>
          <w:lang w:eastAsia="zh-CN"/>
        </w:rPr>
      </w:pPr>
      <w:r>
        <w:rPr>
          <w:b/>
        </w:rPr>
        <w:t xml:space="preserve">12.4 </w:t>
      </w:r>
      <w:r>
        <w:t>在乙方已经完成全部前置履约义务、病例资料经甲方书面验收通过、乙方已提供合法有效发票且不存在甲方有权暂缓支付的情形下，甲方逾期支付现金服务费，甲方每日按逾期未付金额的0.03%向乙方支付违约金。</w:t>
      </w:r>
    </w:p>
    <w:p w14:paraId="5007213B">
      <w:pPr>
        <w:pStyle w:val="166"/>
        <w:ind w:firstLine="0"/>
        <w:rPr>
          <w:lang w:eastAsia="zh-CN"/>
        </w:rPr>
      </w:pPr>
      <w:r>
        <w:rPr>
          <w:b/>
        </w:rPr>
        <w:t xml:space="preserve">12.5 </w:t>
      </w:r>
      <w:r>
        <w:t>违约金不足以弥补守约方损失的，违约方还应继续赔偿。损失包括守约方遭受的直接损失和间接损失，以及因违约导致的可得利益损失、商誉和品牌损失、第三方索赔、患者赔偿、质量调查和召回费用、内容删除/下架/召回费用、数据安全补救和危机公关费用、行政调查应对及依法可追偿的行政罚没损失，以及为实现权利支出的律师费、诉讼费、仲裁费、保全费、保全保险费/担保费、执行费、公证费、鉴定费、审计费、调查取证费和差旅费等合理费用。</w:t>
      </w:r>
    </w:p>
    <w:p w14:paraId="7A552745">
      <w:pPr>
        <w:pStyle w:val="3"/>
        <w:rPr>
          <w:rFonts w:ascii="宋体" w:hAnsi="宋体" w:eastAsia="宋体"/>
          <w:b w:val="0"/>
          <w:color w:val="auto"/>
          <w:sz w:val="21"/>
          <w:highlight w:val="none"/>
        </w:rPr>
      </w:pPr>
      <w:r>
        <w:rPr>
          <w:rFonts w:ascii="宋体" w:hAnsi="宋体" w:eastAsia="宋体"/>
          <w:b w:val="0"/>
          <w:color w:val="auto"/>
          <w:sz w:val="21"/>
          <w:highlight w:val="none"/>
        </w:rPr>
        <w:t>第十三条  不可抗力</w:t>
      </w:r>
    </w:p>
    <w:p w14:paraId="44738D57">
      <w:pPr>
        <w:pStyle w:val="166"/>
        <w:ind w:firstLine="0"/>
      </w:pPr>
      <w:r>
        <w:rPr>
          <w:b/>
        </w:rPr>
        <w:t xml:space="preserve">13.1 </w:t>
      </w:r>
      <w:r>
        <w:t>因不可预见、不可避免且不可克服的事件导致不能履行的，受影响方应在事件发生后【3】个工作日内书面通知另一方，并在合理期限内提供证明、采取措施减少损失。产品保存或使用不当、乙方资质不合格、人员不足、患者数量不足或内部审批未完成不属于不可抗力。</w:t>
      </w:r>
    </w:p>
    <w:p w14:paraId="5FED0E5E">
      <w:pPr>
        <w:pStyle w:val="3"/>
        <w:rPr>
          <w:color w:val="auto"/>
        </w:rPr>
      </w:pPr>
      <w:r>
        <w:rPr>
          <w:rFonts w:ascii="宋体" w:hAnsi="宋体" w:eastAsia="宋体"/>
          <w:b w:val="0"/>
          <w:color w:val="auto"/>
          <w:sz w:val="21"/>
        </w:rPr>
        <w:t>第十四条  通知与送达</w:t>
      </w:r>
    </w:p>
    <w:p w14:paraId="63BCC9B3">
      <w:pPr>
        <w:pStyle w:val="166"/>
        <w:ind w:firstLine="0"/>
      </w:pPr>
      <w:r>
        <w:rPr>
          <w:b/>
        </w:rPr>
        <w:t xml:space="preserve">14.1 </w:t>
      </w:r>
      <w:r>
        <w:t>双方在本协议首页记载的地址、电子邮箱和手机号为有效送达信息。信息变更应至少提前【3】个工作日书面通知；未通知的，原信息仍视为有效。专人递交以签收日，快递以签收、拒收或退回日，电子邮件以成功发送日视为送达日。</w:t>
      </w:r>
    </w:p>
    <w:p w14:paraId="29F24C2E">
      <w:pPr>
        <w:pStyle w:val="3"/>
        <w:rPr>
          <w:color w:val="auto"/>
        </w:rPr>
      </w:pPr>
      <w:r>
        <w:rPr>
          <w:rFonts w:ascii="宋体" w:hAnsi="宋体" w:eastAsia="宋体"/>
          <w:b w:val="0"/>
          <w:color w:val="auto"/>
          <w:sz w:val="21"/>
        </w:rPr>
        <w:t>第十五条  适用法律与争议解决</w:t>
      </w:r>
    </w:p>
    <w:p w14:paraId="46A85371">
      <w:pPr>
        <w:pStyle w:val="166"/>
        <w:ind w:firstLine="0"/>
        <w:rPr>
          <w:lang w:eastAsia="zh-CN"/>
        </w:rPr>
      </w:pPr>
      <w:r>
        <w:rPr>
          <w:b/>
        </w:rPr>
        <w:t xml:space="preserve">15.1 </w:t>
      </w:r>
      <w:r>
        <w:t>本协议的订立、效力、履行、解释和争议解决适用中华人民共和国法律。因本协议产生或与本协议有关的任何争议，双方应先协商解决；协商不成的，任何一方可向甲方住所地有管辖权的人民法院提起诉讼。</w:t>
      </w:r>
    </w:p>
    <w:p w14:paraId="4295F1FD">
      <w:pPr>
        <w:pStyle w:val="3"/>
        <w:rPr>
          <w:color w:val="auto"/>
        </w:rPr>
      </w:pPr>
      <w:r>
        <w:rPr>
          <w:rFonts w:ascii="宋体" w:hAnsi="宋体" w:eastAsia="宋体"/>
          <w:b w:val="0"/>
          <w:color w:val="auto"/>
          <w:sz w:val="21"/>
        </w:rPr>
        <w:t>第十六条  协议变更与其他</w:t>
      </w:r>
    </w:p>
    <w:p w14:paraId="0D714BE2">
      <w:pPr>
        <w:pStyle w:val="166"/>
        <w:ind w:firstLine="0"/>
        <w:rPr>
          <w:lang w:eastAsia="zh-CN"/>
        </w:rPr>
      </w:pPr>
      <w:r>
        <w:rPr>
          <w:b/>
        </w:rPr>
        <w:t xml:space="preserve">16.1 </w:t>
      </w:r>
      <w:r>
        <w:t>对本协议的任何变更、补充或调整，均应由双方以书面形式签订补充协议并加盖双方公章后生效。口头承诺、医师或业务人员个人沟通、未经双方盖章的邮件或宣传方案均不得变更本协议。</w:t>
      </w:r>
    </w:p>
    <w:p w14:paraId="3EA364A1">
      <w:pPr>
        <w:pStyle w:val="166"/>
        <w:ind w:firstLine="0"/>
      </w:pPr>
      <w:r>
        <w:rPr>
          <w:b/>
        </w:rPr>
        <w:t xml:space="preserve">16.2 </w:t>
      </w:r>
      <w:r>
        <w:t>本协议附件一《项目确认单》为本协议组成部分，与正文具有同等法律效力。附件与正文不一致的，以双方就特定事项后签署且明确变更的文件为准。</w:t>
      </w:r>
    </w:p>
    <w:p w14:paraId="54CEB93A">
      <w:pPr>
        <w:pStyle w:val="166"/>
        <w:ind w:firstLine="0"/>
      </w:pPr>
      <w:r>
        <w:rPr>
          <w:b/>
        </w:rPr>
        <w:t xml:space="preserve">16.3 </w:t>
      </w:r>
      <w:r>
        <w:t>本协议一式【贰】份，双方各执【壹】份，具有同等法律效力。</w:t>
      </w:r>
    </w:p>
    <w:tbl>
      <w:tblPr>
        <w:tblStyle w:val="34"/>
        <w:tblW w:w="88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6"/>
        <w:gridCol w:w="4436"/>
      </w:tblGrid>
      <w:tr w14:paraId="57386365">
        <w:trPr>
          <w:tblHeader/>
          <w:jc w:val="center"/>
        </w:trPr>
        <w:tc>
          <w:tcPr>
            <w:tcW w:w="4436" w:type="dxa"/>
            <w:shd w:val="clear" w:color="auto" w:fill="F2F4F7"/>
            <w:tcMar>
              <w:top w:w="100" w:type="dxa"/>
              <w:left w:w="120" w:type="dxa"/>
              <w:bottom w:w="100" w:type="dxa"/>
              <w:right w:w="120" w:type="dxa"/>
            </w:tcMar>
            <w:vAlign w:val="center"/>
          </w:tcPr>
          <w:p w14:paraId="0DA802A6">
            <w:pPr>
              <w:spacing w:after="40" w:line="276" w:lineRule="auto"/>
              <w:jc w:val="center"/>
              <w:rPr>
                <w:color w:val="auto"/>
              </w:rPr>
            </w:pPr>
            <w:r>
              <w:rPr>
                <w:b/>
                <w:color w:val="auto"/>
                <w:sz w:val="20"/>
              </w:rPr>
              <w:t>甲方（盖章）</w:t>
            </w:r>
          </w:p>
        </w:tc>
        <w:tc>
          <w:tcPr>
            <w:tcW w:w="4436" w:type="dxa"/>
            <w:shd w:val="clear" w:color="auto" w:fill="F2F4F7"/>
            <w:tcMar>
              <w:top w:w="100" w:type="dxa"/>
              <w:left w:w="120" w:type="dxa"/>
              <w:bottom w:w="100" w:type="dxa"/>
              <w:right w:w="120" w:type="dxa"/>
            </w:tcMar>
            <w:vAlign w:val="center"/>
          </w:tcPr>
          <w:p w14:paraId="571F0252">
            <w:pPr>
              <w:spacing w:after="40" w:line="276" w:lineRule="auto"/>
              <w:jc w:val="center"/>
              <w:rPr>
                <w:color w:val="auto"/>
              </w:rPr>
            </w:pPr>
            <w:r>
              <w:rPr>
                <w:b/>
                <w:color w:val="auto"/>
                <w:sz w:val="20"/>
              </w:rPr>
              <w:t>乙方（盖章）</w:t>
            </w:r>
          </w:p>
        </w:tc>
      </w:tr>
      <w:tr w14:paraId="6F58C4E0">
        <w:trPr>
          <w:jc w:val="center"/>
        </w:trPr>
        <w:tc>
          <w:tcPr>
            <w:tcW w:w="4436" w:type="dxa"/>
            <w:tcMar>
              <w:top w:w="100" w:type="dxa"/>
              <w:left w:w="120" w:type="dxa"/>
              <w:bottom w:w="100" w:type="dxa"/>
              <w:right w:w="120" w:type="dxa"/>
            </w:tcMar>
            <w:vAlign w:val="center"/>
          </w:tcPr>
          <w:p w14:paraId="426C3530">
            <w:pPr>
              <w:spacing w:after="40" w:line="276" w:lineRule="auto"/>
              <w:jc w:val="center"/>
              <w:rPr>
                <w:color w:val="auto"/>
              </w:rPr>
            </w:pPr>
          </w:p>
        </w:tc>
        <w:tc>
          <w:tcPr>
            <w:tcW w:w="4436" w:type="dxa"/>
            <w:tcMar>
              <w:top w:w="100" w:type="dxa"/>
              <w:left w:w="120" w:type="dxa"/>
              <w:bottom w:w="100" w:type="dxa"/>
              <w:right w:w="120" w:type="dxa"/>
            </w:tcMar>
            <w:vAlign w:val="center"/>
          </w:tcPr>
          <w:p w14:paraId="4EDFBF9C">
            <w:pPr>
              <w:spacing w:after="40" w:line="276" w:lineRule="auto"/>
              <w:jc w:val="center"/>
              <w:rPr>
                <w:color w:val="auto"/>
              </w:rPr>
            </w:pPr>
          </w:p>
        </w:tc>
      </w:tr>
      <w:tr w14:paraId="0CD3136C">
        <w:trPr>
          <w:jc w:val="center"/>
        </w:trPr>
        <w:tc>
          <w:tcPr>
            <w:tcW w:w="4436" w:type="dxa"/>
            <w:tcMar>
              <w:top w:w="100" w:type="dxa"/>
              <w:left w:w="120" w:type="dxa"/>
              <w:bottom w:w="100" w:type="dxa"/>
              <w:right w:w="120" w:type="dxa"/>
            </w:tcMar>
            <w:vAlign w:val="center"/>
          </w:tcPr>
          <w:p w14:paraId="4323DCB9">
            <w:pPr>
              <w:spacing w:after="40" w:line="276" w:lineRule="auto"/>
              <w:jc w:val="center"/>
              <w:rPr>
                <w:color w:val="auto"/>
              </w:rPr>
            </w:pPr>
            <w:r>
              <w:rPr>
                <w:color w:val="auto"/>
                <w:sz w:val="20"/>
              </w:rPr>
              <w:t>授权代表：</w:t>
            </w:r>
          </w:p>
        </w:tc>
        <w:tc>
          <w:tcPr>
            <w:tcW w:w="4436" w:type="dxa"/>
            <w:tcMar>
              <w:top w:w="100" w:type="dxa"/>
              <w:left w:w="120" w:type="dxa"/>
              <w:bottom w:w="100" w:type="dxa"/>
              <w:right w:w="120" w:type="dxa"/>
            </w:tcMar>
            <w:vAlign w:val="center"/>
          </w:tcPr>
          <w:p w14:paraId="60520F1C">
            <w:pPr>
              <w:spacing w:after="40" w:line="276" w:lineRule="auto"/>
              <w:rPr>
                <w:color w:val="auto"/>
              </w:rPr>
            </w:pPr>
            <w:r>
              <w:rPr>
                <w:color w:val="auto"/>
                <w:sz w:val="20"/>
              </w:rPr>
              <w:t>授权代表：</w:t>
            </w:r>
          </w:p>
        </w:tc>
      </w:tr>
      <w:tr w14:paraId="2C192A51">
        <w:trPr>
          <w:jc w:val="center"/>
        </w:trPr>
        <w:tc>
          <w:tcPr>
            <w:tcW w:w="4436" w:type="dxa"/>
            <w:tcMar>
              <w:top w:w="100" w:type="dxa"/>
              <w:left w:w="120" w:type="dxa"/>
              <w:bottom w:w="100" w:type="dxa"/>
              <w:right w:w="120" w:type="dxa"/>
            </w:tcMar>
            <w:vAlign w:val="center"/>
          </w:tcPr>
          <w:p w14:paraId="301511B4">
            <w:pPr>
              <w:spacing w:after="40" w:line="276" w:lineRule="auto"/>
              <w:jc w:val="center"/>
              <w:rPr>
                <w:color w:val="auto"/>
              </w:rPr>
            </w:pPr>
            <w:r>
              <w:rPr>
                <w:color w:val="auto"/>
                <w:sz w:val="20"/>
              </w:rPr>
              <w:t>签署日期：    年  月  日</w:t>
            </w:r>
          </w:p>
        </w:tc>
        <w:tc>
          <w:tcPr>
            <w:tcW w:w="4436" w:type="dxa"/>
            <w:tcMar>
              <w:top w:w="100" w:type="dxa"/>
              <w:left w:w="120" w:type="dxa"/>
              <w:bottom w:w="100" w:type="dxa"/>
              <w:right w:w="120" w:type="dxa"/>
            </w:tcMar>
            <w:vAlign w:val="center"/>
          </w:tcPr>
          <w:p w14:paraId="669A4211">
            <w:pPr>
              <w:spacing w:after="40" w:line="276" w:lineRule="auto"/>
              <w:rPr>
                <w:color w:val="auto"/>
              </w:rPr>
            </w:pPr>
            <w:r>
              <w:rPr>
                <w:color w:val="auto"/>
                <w:sz w:val="20"/>
              </w:rPr>
              <w:t>签署日期：    年  月  日</w:t>
            </w:r>
          </w:p>
        </w:tc>
      </w:tr>
    </w:tbl>
    <w:p w14:paraId="04BBE4EF">
      <w:pPr>
        <w:pStyle w:val="3"/>
        <w:rPr>
          <w:rFonts w:ascii="宋体" w:hAnsi="宋体" w:eastAsia="宋体"/>
          <w:b w:val="0"/>
          <w:color w:val="auto"/>
          <w:sz w:val="21"/>
        </w:rPr>
        <w:sectPr>
          <w:headerReference r:id="rId7" w:type="default"/>
          <w:footerReference r:id="rId8" w:type="default"/>
          <w:pgSz w:w="11906" w:h="16838"/>
          <w:pgMar w:top="1389" w:right="1446" w:bottom="1332" w:left="1446" w:header="709" w:footer="709" w:gutter="0"/>
          <w:cols w:space="720" w:num="1"/>
          <w:docGrid w:linePitch="360" w:charSpace="0"/>
        </w:sectPr>
      </w:pPr>
    </w:p>
    <w:p w14:paraId="0B3352A0">
      <w:pPr>
        <w:pStyle w:val="3"/>
        <w:rPr>
          <w:color w:val="auto"/>
        </w:rPr>
      </w:pPr>
      <w:r>
        <w:rPr>
          <w:rFonts w:ascii="宋体" w:hAnsi="宋体" w:eastAsia="宋体"/>
          <w:b w:val="0"/>
          <w:color w:val="auto"/>
          <w:sz w:val="21"/>
        </w:rPr>
        <w:t>附件一  项目确认单</w:t>
      </w:r>
    </w:p>
    <w:tbl>
      <w:tblPr>
        <w:tblStyle w:val="34"/>
        <w:tblW w:w="88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6548"/>
      </w:tblGrid>
      <w:tr w14:paraId="2BBCDC63">
        <w:trPr>
          <w:tblHeader/>
          <w:jc w:val="center"/>
        </w:trPr>
        <w:tc>
          <w:tcPr>
            <w:tcW w:w="2324" w:type="dxa"/>
            <w:shd w:val="clear" w:color="auto" w:fill="EAF0F6"/>
            <w:tcMar>
              <w:top w:w="100" w:type="dxa"/>
              <w:left w:w="120" w:type="dxa"/>
              <w:bottom w:w="100" w:type="dxa"/>
              <w:right w:w="120" w:type="dxa"/>
            </w:tcMar>
            <w:vAlign w:val="center"/>
          </w:tcPr>
          <w:p w14:paraId="51FD2609">
            <w:pPr>
              <w:spacing w:after="40" w:line="276" w:lineRule="auto"/>
              <w:jc w:val="center"/>
              <w:rPr>
                <w:color w:val="auto"/>
              </w:rPr>
            </w:pPr>
            <w:r>
              <w:rPr>
                <w:b/>
                <w:color w:val="auto"/>
                <w:sz w:val="18"/>
              </w:rPr>
              <w:t>项目</w:t>
            </w:r>
          </w:p>
        </w:tc>
        <w:tc>
          <w:tcPr>
            <w:tcW w:w="6548" w:type="dxa"/>
            <w:shd w:val="clear" w:color="auto" w:fill="EAF0F6"/>
            <w:tcMar>
              <w:top w:w="100" w:type="dxa"/>
              <w:left w:w="120" w:type="dxa"/>
              <w:bottom w:w="100" w:type="dxa"/>
              <w:right w:w="120" w:type="dxa"/>
            </w:tcMar>
            <w:vAlign w:val="center"/>
          </w:tcPr>
          <w:p w14:paraId="22D2A7E0">
            <w:pPr>
              <w:spacing w:after="40" w:line="276" w:lineRule="auto"/>
              <w:jc w:val="center"/>
              <w:rPr>
                <w:color w:val="auto"/>
                <w:lang w:eastAsia="zh-CN"/>
              </w:rPr>
            </w:pPr>
            <w:r>
              <w:rPr>
                <w:rFonts w:hint="eastAsia"/>
                <w:b/>
                <w:color w:val="auto"/>
                <w:sz w:val="18"/>
                <w:lang w:eastAsia="zh-CN"/>
              </w:rPr>
              <w:t>具体内容</w:t>
            </w:r>
          </w:p>
        </w:tc>
      </w:tr>
      <w:tr w14:paraId="6AC73CE9">
        <w:trPr>
          <w:jc w:val="center"/>
        </w:trPr>
        <w:tc>
          <w:tcPr>
            <w:tcW w:w="2324" w:type="dxa"/>
            <w:tcMar>
              <w:top w:w="100" w:type="dxa"/>
              <w:left w:w="120" w:type="dxa"/>
              <w:bottom w:w="100" w:type="dxa"/>
              <w:right w:w="120" w:type="dxa"/>
            </w:tcMar>
            <w:vAlign w:val="center"/>
          </w:tcPr>
          <w:p w14:paraId="10FAFB9D">
            <w:pPr>
              <w:spacing w:after="40" w:line="276" w:lineRule="auto"/>
              <w:jc w:val="center"/>
              <w:rPr>
                <w:color w:val="auto"/>
              </w:rPr>
            </w:pPr>
            <w:r>
              <w:rPr>
                <w:color w:val="auto"/>
                <w:sz w:val="18"/>
              </w:rPr>
              <w:t>合作产品</w:t>
            </w:r>
          </w:p>
        </w:tc>
        <w:tc>
          <w:tcPr>
            <w:tcW w:w="6548" w:type="dxa"/>
            <w:tcMar>
              <w:top w:w="100" w:type="dxa"/>
              <w:left w:w="120" w:type="dxa"/>
              <w:bottom w:w="100" w:type="dxa"/>
              <w:right w:w="120" w:type="dxa"/>
            </w:tcMar>
            <w:vAlign w:val="center"/>
          </w:tcPr>
          <w:p w14:paraId="23A6AFBA">
            <w:pPr>
              <w:spacing w:after="40" w:line="276" w:lineRule="auto"/>
              <w:rPr>
                <w:color w:val="auto"/>
              </w:rPr>
            </w:pPr>
            <w:r>
              <w:rPr>
                <w:color w:val="auto"/>
                <w:sz w:val="18"/>
              </w:rPr>
              <w:t>【合作医疗器械】（【医疗器械注册证编号】）</w:t>
            </w:r>
          </w:p>
        </w:tc>
      </w:tr>
      <w:tr w14:paraId="23F9DA09">
        <w:trPr>
          <w:jc w:val="center"/>
        </w:trPr>
        <w:tc>
          <w:tcPr>
            <w:tcW w:w="2324" w:type="dxa"/>
            <w:tcMar>
              <w:top w:w="100" w:type="dxa"/>
              <w:left w:w="120" w:type="dxa"/>
              <w:bottom w:w="100" w:type="dxa"/>
              <w:right w:w="120" w:type="dxa"/>
            </w:tcMar>
            <w:vAlign w:val="center"/>
          </w:tcPr>
          <w:p w14:paraId="3CC78C4D">
            <w:pPr>
              <w:spacing w:after="40" w:line="276" w:lineRule="auto"/>
              <w:jc w:val="center"/>
              <w:rPr>
                <w:color w:val="auto"/>
              </w:rPr>
            </w:pPr>
            <w:r>
              <w:rPr>
                <w:color w:val="auto"/>
                <w:sz w:val="18"/>
              </w:rPr>
              <w:t>规格</w:t>
            </w:r>
          </w:p>
        </w:tc>
        <w:tc>
          <w:tcPr>
            <w:tcW w:w="6548" w:type="dxa"/>
            <w:tcMar>
              <w:top w:w="100" w:type="dxa"/>
              <w:left w:w="120" w:type="dxa"/>
              <w:bottom w:w="100" w:type="dxa"/>
              <w:right w:w="120" w:type="dxa"/>
            </w:tcMar>
            <w:vAlign w:val="center"/>
          </w:tcPr>
          <w:p w14:paraId="62DE5091">
            <w:pPr>
              <w:spacing w:after="40" w:line="276" w:lineRule="auto"/>
              <w:rPr>
                <w:color w:val="auto"/>
              </w:rPr>
            </w:pPr>
            <w:r>
              <w:rPr>
                <w:color w:val="auto"/>
                <w:sz w:val="18"/>
              </w:rPr>
              <w:t>【产品规格】（以实际说明书和订单为准）</w:t>
            </w:r>
          </w:p>
        </w:tc>
      </w:tr>
      <w:tr w14:paraId="76986ADC">
        <w:trPr>
          <w:jc w:val="center"/>
        </w:trPr>
        <w:tc>
          <w:tcPr>
            <w:tcW w:w="2324" w:type="dxa"/>
            <w:tcMar>
              <w:top w:w="100" w:type="dxa"/>
              <w:left w:w="120" w:type="dxa"/>
              <w:bottom w:w="100" w:type="dxa"/>
              <w:right w:w="120" w:type="dxa"/>
            </w:tcMar>
            <w:vAlign w:val="center"/>
          </w:tcPr>
          <w:p w14:paraId="3579EB8C">
            <w:pPr>
              <w:spacing w:after="40" w:line="276" w:lineRule="auto"/>
              <w:jc w:val="center"/>
              <w:rPr>
                <w:color w:val="auto"/>
              </w:rPr>
            </w:pPr>
            <w:r>
              <w:rPr>
                <w:color w:val="auto"/>
                <w:sz w:val="18"/>
              </w:rPr>
              <w:t>采购数量</w:t>
            </w:r>
          </w:p>
        </w:tc>
        <w:tc>
          <w:tcPr>
            <w:tcW w:w="6548" w:type="dxa"/>
            <w:tcMar>
              <w:top w:w="100" w:type="dxa"/>
              <w:left w:w="120" w:type="dxa"/>
              <w:bottom w:w="100" w:type="dxa"/>
              <w:right w:w="120" w:type="dxa"/>
            </w:tcMar>
            <w:vAlign w:val="center"/>
          </w:tcPr>
          <w:p w14:paraId="698D8A72">
            <w:pPr>
              <w:spacing w:after="40" w:line="276" w:lineRule="auto"/>
              <w:rPr>
                <w:color w:val="auto"/>
              </w:rPr>
            </w:pPr>
            <w:r>
              <w:rPr>
                <w:color w:val="auto"/>
                <w:sz w:val="18"/>
              </w:rPr>
              <w:t>【采购数量】瓶</w:t>
            </w:r>
          </w:p>
        </w:tc>
      </w:tr>
      <w:tr w14:paraId="0CAFCDAF">
        <w:trPr>
          <w:jc w:val="center"/>
        </w:trPr>
        <w:tc>
          <w:tcPr>
            <w:tcW w:w="2324" w:type="dxa"/>
            <w:tcMar>
              <w:top w:w="100" w:type="dxa"/>
              <w:left w:w="120" w:type="dxa"/>
              <w:bottom w:w="100" w:type="dxa"/>
              <w:right w:w="120" w:type="dxa"/>
            </w:tcMar>
            <w:vAlign w:val="center"/>
          </w:tcPr>
          <w:p w14:paraId="3D222F3E">
            <w:pPr>
              <w:spacing w:after="40" w:line="276" w:lineRule="auto"/>
              <w:jc w:val="center"/>
              <w:rPr>
                <w:color w:val="auto"/>
              </w:rPr>
            </w:pPr>
            <w:r>
              <w:rPr>
                <w:color w:val="auto"/>
                <w:sz w:val="18"/>
              </w:rPr>
              <w:t>采购单价</w:t>
            </w:r>
          </w:p>
        </w:tc>
        <w:tc>
          <w:tcPr>
            <w:tcW w:w="6548" w:type="dxa"/>
            <w:tcMar>
              <w:top w:w="100" w:type="dxa"/>
              <w:left w:w="120" w:type="dxa"/>
              <w:bottom w:w="100" w:type="dxa"/>
              <w:right w:w="120" w:type="dxa"/>
            </w:tcMar>
            <w:vAlign w:val="center"/>
          </w:tcPr>
          <w:p w14:paraId="5FB2105D">
            <w:pPr>
              <w:spacing w:after="40" w:line="276" w:lineRule="auto"/>
              <w:rPr>
                <w:color w:val="auto"/>
              </w:rPr>
            </w:pPr>
            <w:r>
              <w:rPr>
                <w:color w:val="auto"/>
                <w:sz w:val="18"/>
              </w:rPr>
              <w:t>人民币【采购单价】元/瓶（含税/不含税：【】）</w:t>
            </w:r>
          </w:p>
        </w:tc>
      </w:tr>
      <w:tr w14:paraId="616BDBD4">
        <w:trPr>
          <w:jc w:val="center"/>
        </w:trPr>
        <w:tc>
          <w:tcPr>
            <w:tcW w:w="2324" w:type="dxa"/>
            <w:tcMar>
              <w:top w:w="100" w:type="dxa"/>
              <w:left w:w="120" w:type="dxa"/>
              <w:bottom w:w="100" w:type="dxa"/>
              <w:right w:w="120" w:type="dxa"/>
            </w:tcMar>
            <w:vAlign w:val="center"/>
          </w:tcPr>
          <w:p w14:paraId="6716BBAC">
            <w:pPr>
              <w:spacing w:after="40" w:line="276" w:lineRule="auto"/>
              <w:jc w:val="center"/>
              <w:rPr>
                <w:color w:val="auto"/>
              </w:rPr>
            </w:pPr>
            <w:r>
              <w:rPr>
                <w:color w:val="auto"/>
                <w:sz w:val="18"/>
              </w:rPr>
              <w:t>采购总额</w:t>
            </w:r>
          </w:p>
        </w:tc>
        <w:tc>
          <w:tcPr>
            <w:tcW w:w="6548" w:type="dxa"/>
            <w:tcMar>
              <w:top w:w="100" w:type="dxa"/>
              <w:left w:w="120" w:type="dxa"/>
              <w:bottom w:w="100" w:type="dxa"/>
              <w:right w:w="120" w:type="dxa"/>
            </w:tcMar>
            <w:vAlign w:val="center"/>
          </w:tcPr>
          <w:p w14:paraId="1D572A6D">
            <w:pPr>
              <w:spacing w:after="40" w:line="276" w:lineRule="auto"/>
              <w:rPr>
                <w:color w:val="auto"/>
              </w:rPr>
            </w:pPr>
            <w:r>
              <w:rPr>
                <w:color w:val="auto"/>
                <w:sz w:val="18"/>
              </w:rPr>
              <w:t>人民币【采购总额】元</w:t>
            </w:r>
          </w:p>
        </w:tc>
      </w:tr>
      <w:tr w14:paraId="6D7DBACA">
        <w:trPr>
          <w:jc w:val="center"/>
        </w:trPr>
        <w:tc>
          <w:tcPr>
            <w:tcW w:w="2324" w:type="dxa"/>
            <w:tcMar>
              <w:top w:w="100" w:type="dxa"/>
              <w:left w:w="120" w:type="dxa"/>
              <w:bottom w:w="100" w:type="dxa"/>
              <w:right w:w="120" w:type="dxa"/>
            </w:tcMar>
            <w:vAlign w:val="center"/>
          </w:tcPr>
          <w:p w14:paraId="66A3B881">
            <w:pPr>
              <w:spacing w:after="40" w:line="276" w:lineRule="auto"/>
              <w:jc w:val="center"/>
              <w:rPr>
                <w:color w:val="auto"/>
              </w:rPr>
            </w:pPr>
            <w:r>
              <w:rPr>
                <w:color w:val="auto"/>
                <w:sz w:val="18"/>
              </w:rPr>
              <w:t>病例数量</w:t>
            </w:r>
          </w:p>
        </w:tc>
        <w:tc>
          <w:tcPr>
            <w:tcW w:w="6548" w:type="dxa"/>
            <w:tcMar>
              <w:top w:w="100" w:type="dxa"/>
              <w:left w:w="120" w:type="dxa"/>
              <w:bottom w:w="100" w:type="dxa"/>
              <w:right w:w="120" w:type="dxa"/>
            </w:tcMar>
            <w:vAlign w:val="center"/>
          </w:tcPr>
          <w:p w14:paraId="38DE13BF">
            <w:pPr>
              <w:spacing w:after="40" w:line="276" w:lineRule="auto"/>
              <w:rPr>
                <w:color w:val="auto"/>
              </w:rPr>
            </w:pPr>
            <w:commentRangeStart w:id="9"/>
            <w:r>
              <w:rPr>
                <w:color w:val="auto"/>
                <w:sz w:val="18"/>
              </w:rPr>
              <w:t>□ 每【病例形成比例】瓶对应【单元病例数量】例，共【病例总数A】例；  □ 共【病例总数B】例（仅选一项）</w:t>
            </w:r>
            <w:commentRangeEnd w:id="9"/>
            <w:r>
              <w:commentReference w:id="9"/>
            </w:r>
          </w:p>
        </w:tc>
      </w:tr>
      <w:tr w14:paraId="4656A87B">
        <w:trPr>
          <w:jc w:val="center"/>
        </w:trPr>
        <w:tc>
          <w:tcPr>
            <w:tcW w:w="2324" w:type="dxa"/>
            <w:tcMar>
              <w:top w:w="100" w:type="dxa"/>
              <w:left w:w="120" w:type="dxa"/>
              <w:bottom w:w="100" w:type="dxa"/>
              <w:right w:w="120" w:type="dxa"/>
            </w:tcMar>
            <w:vAlign w:val="center"/>
          </w:tcPr>
          <w:p w14:paraId="0D276223">
            <w:pPr>
              <w:spacing w:after="40" w:line="276" w:lineRule="auto"/>
              <w:jc w:val="center"/>
              <w:rPr>
                <w:color w:val="auto"/>
              </w:rPr>
            </w:pPr>
            <w:r>
              <w:rPr>
                <w:color w:val="auto"/>
                <w:sz w:val="18"/>
              </w:rPr>
              <w:t>首批资料</w:t>
            </w:r>
          </w:p>
        </w:tc>
        <w:tc>
          <w:tcPr>
            <w:tcW w:w="6548" w:type="dxa"/>
            <w:tcMar>
              <w:top w:w="100" w:type="dxa"/>
              <w:left w:w="120" w:type="dxa"/>
              <w:bottom w:w="100" w:type="dxa"/>
              <w:right w:w="120" w:type="dxa"/>
            </w:tcMar>
            <w:vAlign w:val="center"/>
          </w:tcPr>
          <w:p w14:paraId="344301CF">
            <w:pPr>
              <w:spacing w:after="40" w:line="276" w:lineRule="auto"/>
              <w:rPr>
                <w:color w:val="auto"/>
              </w:rPr>
            </w:pPr>
            <w:r>
              <w:rPr>
                <w:color w:val="auto"/>
                <w:sz w:val="18"/>
              </w:rPr>
              <w:t>完成首批【首批使用数量】瓶采购产品注射后10个工作日内，提交至少1例完整病例资料</w:t>
            </w:r>
          </w:p>
        </w:tc>
      </w:tr>
      <w:tr w14:paraId="329EDA19">
        <w:trPr>
          <w:jc w:val="center"/>
        </w:trPr>
        <w:tc>
          <w:tcPr>
            <w:tcW w:w="2324" w:type="dxa"/>
            <w:tcMar>
              <w:top w:w="100" w:type="dxa"/>
              <w:left w:w="120" w:type="dxa"/>
              <w:bottom w:w="100" w:type="dxa"/>
              <w:right w:w="120" w:type="dxa"/>
            </w:tcMar>
            <w:vAlign w:val="center"/>
          </w:tcPr>
          <w:p w14:paraId="561E0909">
            <w:pPr>
              <w:spacing w:after="40" w:line="276" w:lineRule="auto"/>
              <w:jc w:val="center"/>
              <w:rPr>
                <w:color w:val="auto"/>
              </w:rPr>
            </w:pPr>
            <w:r>
              <w:rPr>
                <w:color w:val="auto"/>
                <w:sz w:val="18"/>
              </w:rPr>
              <w:t>全部资料</w:t>
            </w:r>
          </w:p>
        </w:tc>
        <w:tc>
          <w:tcPr>
            <w:tcW w:w="6548" w:type="dxa"/>
            <w:tcMar>
              <w:top w:w="100" w:type="dxa"/>
              <w:left w:w="120" w:type="dxa"/>
              <w:bottom w:w="100" w:type="dxa"/>
              <w:right w:w="120" w:type="dxa"/>
            </w:tcMar>
            <w:vAlign w:val="center"/>
          </w:tcPr>
          <w:p w14:paraId="57731C53">
            <w:pPr>
              <w:spacing w:after="40" w:line="276" w:lineRule="auto"/>
              <w:rPr>
                <w:color w:val="auto"/>
              </w:rPr>
            </w:pPr>
            <w:r>
              <w:rPr>
                <w:color w:val="auto"/>
                <w:sz w:val="18"/>
              </w:rPr>
              <w:t>全部【采购数量】瓶采购产品注射完成后【全部交付期限】个工作日内，提交全部约定病例资料</w:t>
            </w:r>
          </w:p>
        </w:tc>
      </w:tr>
      <w:tr w14:paraId="59FF9919">
        <w:trPr>
          <w:jc w:val="center"/>
        </w:trPr>
        <w:tc>
          <w:tcPr>
            <w:tcW w:w="2324" w:type="dxa"/>
            <w:tcMar>
              <w:top w:w="100" w:type="dxa"/>
              <w:left w:w="120" w:type="dxa"/>
              <w:bottom w:w="100" w:type="dxa"/>
              <w:right w:w="120" w:type="dxa"/>
            </w:tcMar>
            <w:vAlign w:val="center"/>
          </w:tcPr>
          <w:p w14:paraId="60676329">
            <w:pPr>
              <w:spacing w:after="40" w:line="276" w:lineRule="auto"/>
              <w:jc w:val="center"/>
              <w:rPr>
                <w:color w:val="auto"/>
              </w:rPr>
            </w:pPr>
            <w:r>
              <w:rPr>
                <w:color w:val="auto"/>
                <w:sz w:val="18"/>
              </w:rPr>
              <w:t>项目期限</w:t>
            </w:r>
          </w:p>
        </w:tc>
        <w:tc>
          <w:tcPr>
            <w:tcW w:w="6548" w:type="dxa"/>
            <w:tcMar>
              <w:top w:w="100" w:type="dxa"/>
              <w:left w:w="120" w:type="dxa"/>
              <w:bottom w:w="100" w:type="dxa"/>
              <w:right w:w="120" w:type="dxa"/>
            </w:tcMar>
            <w:vAlign w:val="center"/>
          </w:tcPr>
          <w:p w14:paraId="4CED64FB">
            <w:pPr>
              <w:spacing w:after="40" w:line="276" w:lineRule="auto"/>
              <w:rPr>
                <w:color w:val="auto"/>
              </w:rPr>
            </w:pPr>
            <w:r>
              <w:rPr>
                <w:color w:val="auto"/>
                <w:sz w:val="18"/>
              </w:rPr>
              <w:t>协议有效期6个月；乙方应在3个月内完成约定注射及病例资料交付</w:t>
            </w:r>
          </w:p>
        </w:tc>
      </w:tr>
    </w:tbl>
    <w:p w14:paraId="62D39B44">
      <w:pPr>
        <w:spacing w:after="60" w:line="283" w:lineRule="auto"/>
        <w:rPr>
          <w:color w:val="auto"/>
        </w:rPr>
      </w:pPr>
      <w:r>
        <w:rPr>
          <w:color w:val="auto"/>
        </w:rPr>
        <w:t>。</w:t>
      </w:r>
    </w:p>
    <w:sectPr>
      <w:pgSz w:w="11906" w:h="16838"/>
      <w:pgMar w:top="1389" w:right="1446" w:bottom="1332" w:left="1446" w:header="709" w:footer="709"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大成律师" w:date="2026-07-14T14:00:00+08:00" w:initials="DC">
    <w:p w14:paraId="32ABBC91">
      <w:pPr>
        <w:pStyle w:val="17"/>
        <w:rPr>
          <w:rFonts w:hint="eastAsia"/>
          <w:lang w:val="en-US" w:eastAsia="zh-CN"/>
        </w:rPr>
      </w:pPr>
      <w:r>
        <w:rPr>
          <w:rFonts w:hint="eastAsia"/>
          <w:lang w:val="en-US" w:eastAsia="zh-CN"/>
        </w:rPr>
        <w:t>提示：</w:t>
      </w:r>
    </w:p>
    <w:p w14:paraId="307D20F5">
      <w:pPr>
        <w:pStyle w:val="17"/>
        <w:rPr>
          <w:rFonts w:hint="eastAsia"/>
        </w:rPr>
      </w:pPr>
      <w:r>
        <w:rPr>
          <w:rFonts w:hint="eastAsia"/>
        </w:rPr>
        <w:t>依据《医疗器械监督管理条例》及《医疗卫生机构开展研究者发起的临床研究管理办法》第13条，上市后医疗器械可以作为临床研究的研究性干预措施；在说明书和诊疗规范范围内开展。</w:t>
      </w:r>
    </w:p>
    <w:p w14:paraId="2674A1ED">
      <w:pPr>
        <w:pStyle w:val="17"/>
      </w:pPr>
      <w:r>
        <w:rPr>
          <w:rFonts w:hint="eastAsia"/>
        </w:rPr>
        <w:t>提请公司注意，如后续拟将资料用于系统性研究、论文研究结论、产品注册或适应证扩展，应另行审查研究方案、伦理、机构立项和登记备案，不要直接沿用本合作项目获取的资料。</w:t>
      </w:r>
    </w:p>
  </w:comment>
  <w:comment w:id="1" w:author="大成律师" w:date="2026-07-14T14:05:00+08:00" w:initials="DC">
    <w:p w14:paraId="35BE8E8F">
      <w:r>
        <w:t>依据《个人信息保护法》</w:t>
      </w:r>
      <w:r>
        <w:rPr>
          <w:rFonts w:hint="eastAsia"/>
          <w:lang w:eastAsia="zh-CN"/>
        </w:rPr>
        <w:t>、</w:t>
      </w:r>
      <w:r>
        <w:t>《医疗机构病历管理规定》第6条、第15条</w:t>
      </w:r>
      <w:r>
        <w:rPr>
          <w:rFonts w:hint="eastAsia"/>
          <w:lang w:eastAsia="zh-CN"/>
        </w:rPr>
        <w:t>，</w:t>
      </w:r>
      <w:r>
        <w:t>医疗健康信息和面部影像通常属于敏感个人信息，原始病历原则上由医疗机构管理。由乙方在交付前删除直接标识并独立保存编码表，可以降低甲方不必要接收完整病历和身份信息的风险。
</w:t>
      </w:r>
    </w:p>
    <w:p w14:paraId="1D0EDA43">
      <w:r>
        <w:t>提请公司注意，指定受控上传渠道并设置自动校验；对含姓名、水印、就诊号、文件属性或未遮挡单据的资料直接退回，不进入业务素材库。</w:t>
      </w:r>
    </w:p>
  </w:comment>
  <w:comment w:id="2" w:author="大成律师" w:date="2026-07-14T14:10:00+08:00" w:initials="DC">
    <w:p w14:paraId="0B48F078">
      <w:pPr>
        <w:pStyle w:val="17"/>
      </w:pPr>
      <w:r>
        <w:rPr>
          <w:rFonts w:hint="eastAsia"/>
        </w:rPr>
        <w:t>根据《医疗机构医用耗材管理办法（试行）》第2条、第60条，《医药企业防范商业贿赂风险合规指引》第38条至第40条，《反不正当竞争法》第8条等规定，合作产品为医疗器械且供医疗机构诊疗使用，我理解原则上应该视为医用耗材；医用耗材管理办法禁止医疗机构接受与采购医用耗材挂钩的资助；而“采购数量×【支持比例】”又与病例服务对价相连，现金服务费和产品支持两种结构均应注意避免被认定为“资助”，实务中应做到：有真实工作量、验收和发票；产品方案应核实医院耗材制度，不能向医生个人交付，也不能与入院、采购承诺或正向病例挂钩。</w:t>
      </w:r>
    </w:p>
  </w:comment>
  <w:comment w:id="3" w:author="大成律师" w:date="2026-07-14T14:15:00+08:00" w:initials="DC">
    <w:p w14:paraId="1013A5DE">
      <w:r>
        <w:rPr>
          <w:rFonts w:hint="eastAsia"/>
          <w:lang w:val="en-US" w:eastAsia="zh-CN"/>
        </w:rPr>
        <w:t>根据</w:t>
      </w:r>
      <w:r>
        <w:t>《个人信息保护法》《民法典》第1019条、第1035条</w:t>
      </w:r>
      <w:r>
        <w:rPr>
          <w:rFonts w:hint="eastAsia"/>
          <w:lang w:eastAsia="zh-CN"/>
        </w:rPr>
        <w:t>、</w:t>
      </w:r>
      <w:r>
        <w:t>《医师法》</w:t>
      </w:r>
      <w:r>
        <w:rPr>
          <w:rFonts w:hint="eastAsia"/>
          <w:lang w:eastAsia="zh-CN"/>
        </w:rPr>
        <w:t>，</w:t>
      </w:r>
      <w:r>
        <w:t>诊疗同意、向甲方提供敏感信息的单独同意、公开患者影像及肖像授权对应不同处理目的，应分别告知和选择。</w:t>
      </w:r>
    </w:p>
    <w:p w14:paraId="73574551">
      <w:r>
        <w:t>提请公司要求乙方在使用合作支持产品并形成项目病例前取得独立授权；如患者仅同意内部反馈而不同意公开，应将该病例标记为不可宣传，不能用概括授权替代。</w:t>
      </w:r>
    </w:p>
  </w:comment>
  <w:comment w:id="4" w:author="大成律师" w:date="2026-07-14T14:20:00+08:00" w:initials="DC">
    <w:p w14:paraId="2FF16655">
      <w:r>
        <w:rPr>
          <w:rFonts w:hint="eastAsia"/>
          <w:lang w:val="en-US" w:eastAsia="zh-CN"/>
        </w:rPr>
        <w:t>根据</w:t>
      </w:r>
      <w:r>
        <w:t>《个人信息保护法》</w:t>
      </w:r>
      <w:r>
        <w:rPr>
          <w:rFonts w:hint="eastAsia"/>
          <w:lang w:val="en-US" w:eastAsia="zh-CN"/>
        </w:rPr>
        <w:t>和</w:t>
      </w:r>
      <w:r>
        <w:t>《医疗机构病历管理规定》</w:t>
      </w:r>
      <w:r>
        <w:rPr>
          <w:rFonts w:hint="eastAsia"/>
          <w:lang w:eastAsia="zh-CN"/>
        </w:rPr>
        <w:t>，</w:t>
      </w:r>
      <w:r>
        <w:t>本条强化乙方对原始病历、授权链和编码表的留存义务，便于甲方核验来源。甲方自身保存资料</w:t>
      </w:r>
      <w:r>
        <w:rPr>
          <w:rFonts w:hint="eastAsia"/>
          <w:lang w:val="en-US" w:eastAsia="zh-CN"/>
        </w:rPr>
        <w:t>建议也</w:t>
      </w:r>
      <w:r>
        <w:t>遵循</w:t>
      </w:r>
      <w:r>
        <w:rPr>
          <w:rFonts w:hint="eastAsia"/>
          <w:lang w:val="en-US" w:eastAsia="zh-CN"/>
        </w:rPr>
        <w:t>签署相关要求，以备监管查验。</w:t>
      </w:r>
    </w:p>
  </w:comment>
  <w:comment w:id="5" w:author="大成律师" w:date="2026-07-14T14:25:00+08:00" w:initials="DC">
    <w:p w14:paraId="19BE326A">
      <w:pPr>
        <w:rPr>
          <w:rFonts w:hint="eastAsia"/>
          <w:lang w:val="en-US" w:eastAsia="zh-CN"/>
        </w:rPr>
      </w:pPr>
      <w:r>
        <w:rPr>
          <w:rFonts w:hint="eastAsia"/>
          <w:lang w:val="en-US" w:eastAsia="zh-CN"/>
        </w:rPr>
        <w:t>此处仅限制乙方，但对信息使用者（公司）而言更应重点关注。</w:t>
      </w:r>
    </w:p>
    <w:p w14:paraId="1DBF4EAA">
      <w:r>
        <w:t>小红书、公众号或病例文章只要直接或间接推介具体产品、机构或服务，就可能构成广告。患者前后对比、患者或医师推荐证明是医疗美容广告重点监管形式。</w:t>
      </w:r>
    </w:p>
    <w:p w14:paraId="430D9FD1">
      <w:r>
        <w:t>提请公司注意，</w:t>
      </w:r>
      <w:r>
        <w:rPr>
          <w:rFonts w:hint="eastAsia"/>
          <w:lang w:val="en-US" w:eastAsia="zh-CN"/>
        </w:rPr>
        <w:t>公司使用相关病例/对照信息等，应当严格审查，</w:t>
      </w:r>
      <w:r>
        <w:t>对外发布前先按是否医疗器械/医疗美容广告审查；构成医疗器械广告的，按审查样件发布，不将病例资料概括为普遍疗效，也不使用患者或医生作推荐证明。</w:t>
      </w:r>
    </w:p>
  </w:comment>
  <w:comment w:id="6" w:author="大成律师" w:date="2026-07-14T14:30:00+08:00" w:initials="DC">
    <w:p w14:paraId="59331A0C">
      <w:pPr>
        <w:pStyle w:val="17"/>
        <w:rPr>
          <w:rFonts w:hint="eastAsia"/>
        </w:rPr>
      </w:pPr>
      <w:r>
        <w:rPr>
          <w:rFonts w:hint="eastAsia"/>
        </w:rPr>
        <w:t>根据《涉及人的生命科学和医学研究伦理审查办法》《医疗卫生机构开展研究者发起的临床研究管理办法》，单纯病例传递与具有研究方案、系统性收集分析、研究终点或安全性/有效性评价的研究不同，后者即使产品已上市、拟写学术文章，也可能需要科学性审查、伦理审查、机构立项、登记、利益冲突和数据质量管理。</w:t>
      </w:r>
    </w:p>
    <w:p w14:paraId="6604B48A">
      <w:pPr>
        <w:pStyle w:val="17"/>
      </w:pPr>
      <w:r>
        <w:rPr>
          <w:rFonts w:hint="eastAsia"/>
        </w:rPr>
        <w:t>建议公司和对方都要避免基于本项目取得的病例进行上市后临川研究，如需开展，应当依法履行研究管理程序。</w:t>
      </w:r>
    </w:p>
  </w:comment>
  <w:comment w:id="7" w:author="大成律师" w:date="2026-07-14T14:35:00+08:00" w:initials="DC">
    <w:p w14:paraId="2DB33D48">
      <w:r>
        <w:t>本项目目前按非研究合作处理，但如对价事实上换取入院、采购、推广机会或正向数据，仍可能触发商业贿赂审查。
建议公司注意，业务沟通、验收和付款材料中不得出现保销量、保入院或删除不良结果等安排；对价依据应指向真实资料整理工作，并全部对公留痕。</w:t>
      </w:r>
    </w:p>
  </w:comment>
  <w:comment w:id="8" w:author="大成律师" w:date="2026-07-14T14:40:00+08:00" w:initials="DC">
    <w:p w14:paraId="07B9DE70">
      <w:r>
        <w:t>本条排除乙方或医生在授权范围内对甲方重复设限，但病例资料、患者肖像和个人信息不能通过合同约定转化为甲方不受限制的所有权。甲方使用边界仍取决于患者授权和强制性法律</w:t>
      </w:r>
      <w:r>
        <w:rPr>
          <w:rFonts w:hint="eastAsia"/>
          <w:lang w:val="en-US" w:eastAsia="zh-CN"/>
        </w:rPr>
        <w:t>要求</w:t>
      </w:r>
      <w:r>
        <w:t>。
</w:t>
      </w:r>
    </w:p>
    <w:p w14:paraId="5DAFD4DC">
      <w:r>
        <w:t>建议</w:t>
      </w:r>
      <w:r>
        <w:rPr>
          <w:rFonts w:hint="eastAsia"/>
          <w:lang w:val="en-US" w:eastAsia="zh-CN"/>
        </w:rPr>
        <w:t>公司</w:t>
      </w:r>
      <w:r>
        <w:t>按病例保存授权版本和可用渠道标签；超出授权新增用途、公开渠道、接收方或信息种类时，先补充告知和同意，再发布使用。</w:t>
      </w:r>
    </w:p>
  </w:comment>
  <w:comment w:id="9" w:author="大成律师" w:date="2026-07-14T14:45:00+08:00" w:initials="DC">
    <w:p w14:paraId="469E5B1D">
      <w:pPr>
        <w:rPr>
          <w:rFonts w:hint="default" w:eastAsia="宋体"/>
          <w:lang w:val="en-US" w:eastAsia="zh-CN"/>
        </w:rPr>
      </w:pPr>
      <w:r>
        <w:t>《项目核心方案》同时出现“每【病例形成比例】瓶形成【单元病例数量】例”和“全部【病例总数】例”的不同口径。请业务在签署前核实真实方案并单项勾选</w:t>
      </w:r>
      <w:r>
        <w:rPr>
          <w:rFonts w:hint="eastAsia"/>
          <w:lang w:eastAsia="zh-CN"/>
        </w:rPr>
        <w:t>，</w:t>
      </w:r>
      <w:r>
        <w:rPr>
          <w:rFonts w:hint="eastAsia"/>
          <w:lang w:val="en-US" w:eastAsia="zh-CN"/>
        </w:rPr>
        <w:t>或者删除不适用的另一项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674A1ED" w15:done="0"/>
  <w15:commentEx w15:paraId="1D0EDA43" w15:done="0"/>
  <w15:commentEx w15:paraId="0B48F078" w15:done="0"/>
  <w15:commentEx w15:paraId="73574551" w15:done="0"/>
  <w15:commentEx w15:paraId="2FF16655" w15:done="0"/>
  <w15:commentEx w15:paraId="430D9FD1" w15:done="0"/>
  <w15:commentEx w15:paraId="6604B48A" w15:done="0"/>
  <w15:commentEx w15:paraId="2DB33D48" w15:done="0"/>
  <w15:commentEx w15:paraId="5DAFD4DC" w15:done="0"/>
  <w15:commentEx w15:paraId="469E5B1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auto"/>
    <w:pitch w:val="default"/>
    <w:sig w:usb0="E0000AFF" w:usb1="00007843" w:usb2="00000001" w:usb3="00000000" w:csb0="400001BF" w:csb1="DFF7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PingFang SC">
    <w:panose1 w:val="020B0400000000000000"/>
    <w:charset w:val="86"/>
    <w:family w:val="auto"/>
    <w:pitch w:val="default"/>
    <w:sig w:usb0="A00002FF" w:usb1="7ACFFDFB" w:usb2="00000017" w:usb3="00000000" w:csb0="00040001" w:csb1="00000000"/>
  </w:font>
  <w:font w:name="方正仿宋_GB2312">
    <w:panose1 w:val="02000000000000000000"/>
    <w:charset w:val="86"/>
    <w:family w:val="auto"/>
    <w:pitch w:val="default"/>
    <w:sig w:usb0="A00002BF" w:usb1="184F6CFA" w:usb2="00000012" w:usb3="00000000" w:csb0="00040001" w:csb1="00000000"/>
  </w:font>
  <w:font w:name="Arial">
    <w:panose1 w:val="020B0604020202090204"/>
    <w:charset w:val="00"/>
    <w:family w:val="swiss"/>
    <w:pitch w:val="default"/>
    <w:sig w:usb0="E0000AFF" w:usb1="00007843" w:usb2="00000001" w:usb3="00000000" w:csb0="400001BF" w:csb1="DFF70000"/>
  </w:font>
  <w:font w:name="Cambria">
    <w:panose1 w:val="02040503050406030204"/>
    <w:charset w:val="00"/>
    <w:family w:val="roman"/>
    <w:pitch w:val="default"/>
    <w:sig w:usb0="E00002FF" w:usb1="400004FF" w:usb2="00000000" w:usb3="00000000" w:csb0="2000019F" w:csb1="00000000"/>
  </w:font>
  <w:font w:name="ＭＳ 明朝">
    <w:panose1 w:val="02020609040205080304"/>
    <w:charset w:val="80"/>
    <w:family w:val="auto"/>
    <w:pitch w:val="default"/>
    <w:sig w:usb0="E00002FF" w:usb1="6AC7FDFB" w:usb2="00000012" w:usb3="00000000" w:csb0="4002009F" w:csb1="DFD70000"/>
  </w:font>
  <w:font w:name="ＭＳ ゴシック">
    <w:panose1 w:val="020B0609070205080204"/>
    <w:charset w:val="80"/>
    <w:family w:val="auto"/>
    <w:pitch w:val="default"/>
    <w:sig w:usb0="E00002FF" w:usb1="6AC7FDFB" w:usb2="00000012" w:usb3="00000000" w:csb0="4002009F" w:csb1="DFD70000"/>
  </w:font>
  <w:font w:name="Courier">
    <w:altName w:val="苹方-简"/>
    <w:panose1 w:val="00000000000000000000"/>
    <w:charset w:val="00"/>
    <w:family w:val="auto"/>
    <w:pitch w:val="default"/>
    <w:sig w:usb0="00000000"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5A208">
    <w:pPr>
      <w:pStyle w:val="25"/>
      <w:jc w:val="center"/>
    </w:pPr>
    <w:r>
      <w:rPr>
        <w:color w:val="666666"/>
        <w:sz w:val="17"/>
      </w:rPr>
      <w:t xml:space="preserve">第 </w:t>
    </w:r>
    <w:r>
      <w:fldChar w:fldCharType="begin"/>
    </w:r>
    <w:r>
      <w:instrText xml:space="preserve"> PAGE </w:instrText>
    </w:r>
    <w:r>
      <w:fldChar w:fldCharType="separate"/>
    </w:r>
    <w:r>
      <w:t>1</w:t>
    </w:r>
    <w:r>
      <w:fldChar w:fldCharType="end"/>
    </w:r>
    <w:r>
      <w:rPr>
        <w:color w:val="666666"/>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4634D">
    <w:pPr>
      <w:pStyle w:val="2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大成律师">
    <w15:presenceInfo w15:providerId="None" w15:userId="大成律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0C4D"/>
    <w:rsid w:val="001120EF"/>
    <w:rsid w:val="0015074B"/>
    <w:rsid w:val="001A0DA4"/>
    <w:rsid w:val="0029639D"/>
    <w:rsid w:val="00326F90"/>
    <w:rsid w:val="00860142"/>
    <w:rsid w:val="00AA1D8D"/>
    <w:rsid w:val="00B47730"/>
    <w:rsid w:val="00CB0664"/>
    <w:rsid w:val="00E668B7"/>
    <w:rsid w:val="00FB522B"/>
    <w:rsid w:val="00FC693F"/>
    <w:rsid w:val="1B3F1708"/>
    <w:rsid w:val="2DDFF3A2"/>
    <w:rsid w:val="37EFC0D2"/>
    <w:rsid w:val="3DAE3032"/>
    <w:rsid w:val="3DAE4E99"/>
    <w:rsid w:val="3EB7B35F"/>
    <w:rsid w:val="3FB3AD08"/>
    <w:rsid w:val="439F81BE"/>
    <w:rsid w:val="56D79CC5"/>
    <w:rsid w:val="5DE24460"/>
    <w:rsid w:val="5FFA47E6"/>
    <w:rsid w:val="6ECF5014"/>
    <w:rsid w:val="6EF4E8E1"/>
    <w:rsid w:val="73F9DCCD"/>
    <w:rsid w:val="73FFAD99"/>
    <w:rsid w:val="7734C7E7"/>
    <w:rsid w:val="7B55EB14"/>
    <w:rsid w:val="7BB94B4C"/>
    <w:rsid w:val="7CB9BCFF"/>
    <w:rsid w:val="7CFF62D0"/>
    <w:rsid w:val="7DDFA3E9"/>
    <w:rsid w:val="7E771824"/>
    <w:rsid w:val="7EBC32EC"/>
    <w:rsid w:val="7FBB98F1"/>
    <w:rsid w:val="7FF72648"/>
    <w:rsid w:val="9B3B4913"/>
    <w:rsid w:val="B7E9A7B6"/>
    <w:rsid w:val="BBEEA047"/>
    <w:rsid w:val="BEFEB476"/>
    <w:rsid w:val="BF8E1C76"/>
    <w:rsid w:val="BFB62446"/>
    <w:rsid w:val="C7AF6B23"/>
    <w:rsid w:val="D6FD4D7F"/>
    <w:rsid w:val="F4F7431F"/>
    <w:rsid w:val="F4FE33FC"/>
    <w:rsid w:val="F6EA07B1"/>
    <w:rsid w:val="F7793B3F"/>
    <w:rsid w:val="F7EFFBD9"/>
    <w:rsid w:val="F7FFD4A2"/>
    <w:rsid w:val="F95623DD"/>
    <w:rsid w:val="FBBECC92"/>
    <w:rsid w:val="FBBFE30B"/>
    <w:rsid w:val="FD7604D3"/>
    <w:rsid w:val="FF7F7025"/>
    <w:rsid w:val="FFF5C4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24" w:lineRule="auto"/>
    </w:pPr>
    <w:rPr>
      <w:rFonts w:ascii="宋体" w:hAnsi="宋体" w:eastAsia="宋体" w:cstheme="minorBidi"/>
      <w:color w:val="222222"/>
      <w:sz w:val="21"/>
      <w:szCs w:val="22"/>
      <w:lang w:val="en-US" w:eastAsia="en-US" w:bidi="ar-SA"/>
    </w:rPr>
  </w:style>
  <w:style w:type="paragraph" w:styleId="3">
    <w:name w:val="heading 1"/>
    <w:basedOn w:val="1"/>
    <w:next w:val="1"/>
    <w:link w:val="140"/>
    <w:qFormat/>
    <w:uiPriority w:val="9"/>
    <w:pPr>
      <w:keepNext/>
      <w:keepLines/>
      <w:spacing w:before="280" w:after="16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41"/>
    <w:unhideWhenUsed/>
    <w:qFormat/>
    <w:uiPriority w:val="9"/>
    <w:pPr>
      <w:keepNext/>
      <w:keepLines/>
      <w:spacing w:before="220" w:after="120"/>
      <w:outlineLvl w:val="1"/>
    </w:pPr>
    <w:rPr>
      <w:rFonts w:asciiTheme="majorHAnsi" w:hAnsiTheme="majorHAnsi" w:eastAsiaTheme="majorEastAsia" w:cstheme="majorBidi"/>
      <w:b/>
      <w:bCs/>
      <w:color w:val="1F4E79"/>
      <w:sz w:val="25"/>
      <w:szCs w:val="26"/>
    </w:rPr>
  </w:style>
  <w:style w:type="paragraph" w:styleId="5">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1F4E79"/>
      <w:sz w:val="22"/>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style>
  <w:style w:type="paragraph" w:styleId="18">
    <w:name w:val="Body Text 3"/>
    <w:basedOn w:val="1"/>
    <w:link w:val="148"/>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6"/>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7"/>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annotation reference"/>
    <w:basedOn w:val="133"/>
    <w:semiHidden/>
    <w:unhideWhenUsed/>
    <w:uiPriority w:val="99"/>
    <w:rPr>
      <w:sz w:val="21"/>
      <w:szCs w:val="21"/>
    </w:rPr>
  </w:style>
  <w:style w:type="character" w:customStyle="1" w:styleId="137">
    <w:name w:val="页眉 字符"/>
    <w:basedOn w:val="133"/>
    <w:link w:val="26"/>
    <w:uiPriority w:val="99"/>
  </w:style>
  <w:style w:type="character" w:customStyle="1" w:styleId="138">
    <w:name w:val="页脚 字符"/>
    <w:basedOn w:val="133"/>
    <w:link w:val="25"/>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20"/>
    <w:uiPriority w:val="99"/>
  </w:style>
  <w:style w:type="character" w:customStyle="1" w:styleId="147">
    <w:name w:val="正文文本 2 字符"/>
    <w:basedOn w:val="133"/>
    <w:link w:val="29"/>
    <w:uiPriority w:val="99"/>
  </w:style>
  <w:style w:type="character" w:customStyle="1" w:styleId="148">
    <w:name w:val="正文文本 3 字符"/>
    <w:basedOn w:val="133"/>
    <w:link w:val="18"/>
    <w:uiPriority w:val="99"/>
    <w:rPr>
      <w:sz w:val="16"/>
      <w:szCs w:val="16"/>
    </w:rPr>
  </w:style>
  <w:style w:type="character" w:customStyle="1" w:styleId="149">
    <w:name w:val="宏文本 字符"/>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uiPriority w:val="29"/>
    <w:rPr>
      <w:i/>
      <w:iCs/>
      <w:color w:val="000000" w:themeColor="text1"/>
      <w14:textFill>
        <w14:solidFill>
          <w14:schemeClr w14:val="tx1"/>
        </w14:solidFill>
      </w14:textFill>
    </w:rPr>
  </w:style>
  <w:style w:type="character" w:customStyle="1" w:styleId="152">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uiPriority w:val="30"/>
    <w:rPr>
      <w:b/>
      <w:bCs/>
      <w:i/>
      <w:iCs/>
      <w:color w:val="4F81BD" w:themeColor="accent1"/>
      <w14:textFill>
        <w14:solidFill>
          <w14:schemeClr w14:val="accent1"/>
        </w14:solidFill>
      </w14:textFill>
    </w:rPr>
  </w:style>
  <w:style w:type="character" w:customStyle="1" w:styleId="160">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3"/>
    <w:qFormat/>
    <w:uiPriority w:val="21"/>
    <w:rPr>
      <w:b/>
      <w:bCs/>
      <w:i/>
      <w:iCs/>
      <w:color w:val="4F81BD" w:themeColor="accent1"/>
      <w14:textFill>
        <w14:solidFill>
          <w14:schemeClr w14:val="accent1"/>
        </w14:solidFill>
      </w14:textFill>
    </w:rPr>
  </w:style>
  <w:style w:type="character" w:customStyle="1" w:styleId="162">
    <w:name w:val="不明显参考1"/>
    <w:basedOn w:val="133"/>
    <w:qFormat/>
    <w:uiPriority w:val="31"/>
    <w:rPr>
      <w:smallCaps/>
      <w:color w:val="C0504D" w:themeColor="accent2"/>
      <w:u w:val="single"/>
      <w14:textFill>
        <w14:solidFill>
          <w14:schemeClr w14:val="accent2"/>
        </w14:solidFill>
      </w14:textFill>
    </w:rPr>
  </w:style>
  <w:style w:type="character" w:customStyle="1" w:styleId="163">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3"/>
    <w:qFormat/>
    <w:uiPriority w:val="33"/>
    <w:rPr>
      <w:b/>
      <w:bCs/>
      <w:smallCaps/>
      <w:spacing w:val="5"/>
    </w:rPr>
  </w:style>
  <w:style w:type="paragraph" w:customStyle="1" w:styleId="165">
    <w:name w:val="TOC 标题1"/>
    <w:basedOn w:val="3"/>
    <w:next w:val="1"/>
    <w:semiHidden/>
    <w:unhideWhenUsed/>
    <w:qFormat/>
    <w:uiPriority w:val="39"/>
    <w:pPr>
      <w:outlineLvl w:val="9"/>
    </w:pPr>
  </w:style>
  <w:style w:type="paragraph" w:customStyle="1" w:styleId="166">
    <w:name w:val="Clause"/>
    <w:uiPriority w:val="0"/>
    <w:pPr>
      <w:spacing w:after="100" w:line="324" w:lineRule="auto"/>
      <w:ind w:firstLine="420"/>
    </w:pPr>
    <w:rPr>
      <w:rFonts w:ascii="宋体" w:hAnsi="宋体" w:eastAsia="宋体" w:cstheme="minorBidi"/>
      <w:sz w:val="21"/>
      <w:szCs w:val="22"/>
      <w:lang w:val="en-US" w:eastAsia="en-US" w:bidi="ar-SA"/>
    </w:rPr>
  </w:style>
  <w:style w:type="paragraph" w:customStyle="1" w:styleId="167">
    <w:name w:val="Note"/>
    <w:uiPriority w:val="0"/>
    <w:pPr>
      <w:spacing w:after="80" w:line="300" w:lineRule="auto"/>
    </w:pPr>
    <w:rPr>
      <w:rFonts w:ascii="宋体" w:hAnsi="宋体" w:eastAsia="宋体" w:cstheme="minorBidi"/>
      <w:color w:val="666666"/>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2781</Words>
  <Characters>15855</Characters>
  <Lines>132</Lines>
  <Paragraphs>37</Paragraphs>
  <TotalTime>84</TotalTime>
  <ScaleCrop>false</ScaleCrop>
  <LinksUpToDate>false</LinksUpToDate>
  <CharactersWithSpaces>18599</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
  <dc:description>已移除客户、项目及交易参数等可识别信息，仅供合同起草方法参考。</dc:description>
  <cp:lastModifiedBy/>
  <dcterms:modified xsi:type="dcterms:W3CDTF">2026-07-14T23:26:35Z</dcterms:modified>
  <dc:subject>合同生成 skill 脱密参考</dc:subject>
  <dc:title>医疗产品采购及病例资料合作协议（脱密示例）</dc:title>
  <cp:revision>2</cp:revision>
</cp:coreProperties>
</file>