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6B3D" w14:textId="77777777" w:rsidR="00FE1D64" w:rsidRDefault="00FE1D64">
      <w:pPr>
        <w:rPr>
          <w:rFonts w:ascii="Times New Roman" w:eastAsiaTheme="majorEastAsia" w:hAnsi="Times New Roman" w:cs="Times New Roman"/>
          <w:b/>
          <w:bCs/>
          <w:sz w:val="32"/>
          <w:szCs w:val="32"/>
        </w:rPr>
      </w:pPr>
      <w:bookmarkStart w:id="0" w:name="rnn-based-stock-price-prediction"/>
      <w:bookmarkStart w:id="1" w:name="abstract"/>
      <w:r>
        <w:rPr>
          <w:rFonts w:ascii="Times New Roman" w:hAnsi="Times New Roman" w:cs="Times New Roman"/>
          <w:b/>
          <w:bCs/>
        </w:rPr>
        <w:br w:type="page"/>
      </w:r>
    </w:p>
    <w:p w14:paraId="19ABA0D8" w14:textId="10FB915E" w:rsidR="002F1CB8" w:rsidRPr="00FE1D64" w:rsidRDefault="00000000" w:rsidP="00433EB6">
      <w:pPr>
        <w:pStyle w:val="Heading2"/>
        <w:jc w:val="both"/>
        <w:rPr>
          <w:rFonts w:ascii="Times New Roman" w:hAnsi="Times New Roman" w:cs="Times New Roman"/>
          <w:b/>
          <w:bCs/>
          <w:color w:val="auto"/>
        </w:rPr>
      </w:pPr>
      <w:r w:rsidRPr="00FE1D64">
        <w:rPr>
          <w:rFonts w:ascii="Times New Roman" w:hAnsi="Times New Roman" w:cs="Times New Roman"/>
          <w:b/>
          <w:bCs/>
          <w:color w:val="auto"/>
        </w:rPr>
        <w:lastRenderedPageBreak/>
        <w:t>Abstract</w:t>
      </w:r>
    </w:p>
    <w:p w14:paraId="68463B9C"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This report investigates recurrent neural network (RNN) architectures for daily adjusted-close price forecasting across ten large-cap U.S. equities over the decade January 2015–December 2024. Daily prices were retrieved via yfinance, preprocessed with forward-filled missing values and train-only MinMax scaling, and converted into 60-day sliding-window sequences. Six model families were evaluated: Vanilla RNN, stacked LSTM with BatchNorm, stacked GRU, a Phase 2 SlimLSTM with LayerNorm, QuantileLSTM with pinball loss, and an ARIMA(5,1,0) baseline with walk-forward validation. Phase 1 point-prediction results show that simpler architectures generalise best: StackedLSTM on AMZN achieved the highest R² of 0.9419 (RMSE $7.71), while VanillaRNN on AMD reached R² 0.9398 (RMSE $7.06). Directional accuracy clustered near 50% across all models (46.3%–53.5%), consistent with weak-form market efficiency. Phase 2 range forecasting identified SlimLSTM + MC Dropout on AMZN as the best coverage–width trade-off (86.3% coverage, $26.52 average interval width). Walk-forward quarterly RMSE rose sharply for AAPL ($17.82 → $126.73) and MSFT ($23.07 → $232.08), evidencing regime shift between training and test periods. The principal limitation is distributional non-stationarity: models trained on the 2015–2021 zero-interest-rate era degrade when tested during the 2022–2024 rate-hike regime.</w:t>
      </w:r>
    </w:p>
    <w:p w14:paraId="6969B1E7"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61AC4550">
          <v:rect id="_x0000_i1435" style="width:0;height:1.5pt" o:hralign="center" o:hrstd="t" o:hr="t"/>
        </w:pict>
      </w:r>
    </w:p>
    <w:p w14:paraId="16DAC9C8" w14:textId="77777777" w:rsidR="002F1CB8" w:rsidRPr="00FE1D64" w:rsidRDefault="00000000" w:rsidP="00433EB6">
      <w:pPr>
        <w:pStyle w:val="Heading2"/>
        <w:jc w:val="both"/>
        <w:rPr>
          <w:rFonts w:ascii="Times New Roman" w:hAnsi="Times New Roman" w:cs="Times New Roman"/>
          <w:b/>
          <w:bCs/>
          <w:color w:val="auto"/>
        </w:rPr>
      </w:pPr>
      <w:bookmarkStart w:id="2" w:name="introduction"/>
      <w:bookmarkEnd w:id="1"/>
      <w:r w:rsidRPr="00FE1D64">
        <w:rPr>
          <w:rFonts w:ascii="Times New Roman" w:hAnsi="Times New Roman" w:cs="Times New Roman"/>
          <w:b/>
          <w:bCs/>
          <w:color w:val="auto"/>
        </w:rPr>
        <w:t>1. Introduction</w:t>
      </w:r>
    </w:p>
    <w:p w14:paraId="627BAF7B" w14:textId="3956AFBA"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Forecasting equity prices is widely regarded as one of the most challenging problems in quantitative finance. Stock returns exhibit heavy tails, time-varying volatility, structural breaks driven by macroeconomic policy, and sensitivity to unobservable sentiment. The Efficient Market Hypothesis (EMH), formalised by Fama (1970), holds that prices rapidly incorporate all available information, implying that excess returns from naive pattern recognition should be difficult to sustain. Nevertheless, practitioners continue to seek models that capture short-horizon level dynamics</w:t>
      </w:r>
      <w:r w:rsidR="00433EB6" w:rsidRPr="00433EB6">
        <w:rPr>
          <w:rFonts w:ascii="Times New Roman" w:hAnsi="Times New Roman" w:cs="Times New Roman"/>
        </w:rPr>
        <w:t xml:space="preserve"> </w:t>
      </w:r>
      <w:r w:rsidRPr="00433EB6">
        <w:rPr>
          <w:rFonts w:ascii="Times New Roman" w:hAnsi="Times New Roman" w:cs="Times New Roman"/>
        </w:rPr>
        <w:t>even when directional predictability remains elusive.</w:t>
      </w:r>
    </w:p>
    <w:p w14:paraId="3E07F9DE"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Traditional econometric approaches such as ARIMA model linear dependencies in differenced series and provide a rigorous statistical baseline. However, their capacity to learn nonlinear temporal structure is limited. Recurrent Neural Networks, and in particular Long Short-Term Memory (LSTM) and Gated Recurrent Unit (GRU) architectures, were designed to address the vanishing-gradient problem that plagues vanilla RNNs, enabling learning over longer input horizons. The present study systematically compares these architectures under identical data splits and evaluation metrics, extending Phase 1 point forecasts with Phase 2 uncertainty quantification via Monte Carlo (MC) Dropout and direct quantile regression.</w:t>
      </w:r>
    </w:p>
    <w:p w14:paraId="5309A0F9" w14:textId="7721F420"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The scope is deliberately constrained to univariate daily adjusted-close prices for ten liquid technology and semiconductor tickers (AAPL, MSFT, GOOGL, AMZN, TSLA, NVDA, META, AVGO, ORCL, AMD). No exogenous features</w:t>
      </w:r>
      <w:r w:rsidR="00433EB6" w:rsidRPr="00433EB6">
        <w:rPr>
          <w:rFonts w:ascii="Times New Roman" w:hAnsi="Times New Roman" w:cs="Times New Roman"/>
        </w:rPr>
        <w:t xml:space="preserve"> </w:t>
      </w:r>
      <w:r w:rsidRPr="00433EB6">
        <w:rPr>
          <w:rFonts w:ascii="Times New Roman" w:hAnsi="Times New Roman" w:cs="Times New Roman"/>
        </w:rPr>
        <w:t>earnings, sentiment, or macro indicators</w:t>
      </w:r>
      <w:r w:rsidR="00433EB6" w:rsidRPr="00433EB6">
        <w:rPr>
          <w:rFonts w:ascii="Times New Roman" w:hAnsi="Times New Roman" w:cs="Times New Roman"/>
        </w:rPr>
        <w:t xml:space="preserve"> </w:t>
      </w:r>
      <w:r w:rsidRPr="00433EB6">
        <w:rPr>
          <w:rFonts w:ascii="Times New Roman" w:hAnsi="Times New Roman" w:cs="Times New Roman"/>
        </w:rPr>
        <w:t>are incorporated. This isolates the predictive contribution of price history alone and facilitates fair comparison between neural and ARIMA baselines. Evaluation metrics include Root Mean Squared Error (RMSE), Mean Absolute Percentage Error (MAPE), coefficient of determination (R²), directional accuracy (DA), and for interval models, 90% coverage rate and average interval width in U.S. dollars.</w:t>
      </w:r>
    </w:p>
    <w:p w14:paraId="33715CCE"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lastRenderedPageBreak/>
        <w:t>The central research questions are: (i) whether increased model capacity improves out-of-sample price-level prediction; (ii) whether uncertainty intervals can be calibrated to nominal coverage; and (iii) whether walk-forward validation reveals temporal instability consistent with regime shift. The following sections describe data preparation, model design, empirical results, and critical analysis of strengths and limitations.</w:t>
      </w:r>
    </w:p>
    <w:p w14:paraId="1F021757"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28EC0619">
          <v:rect id="_x0000_i1436" style="width:0;height:1.5pt" o:hralign="center" o:hrstd="t" o:hr="t"/>
        </w:pict>
      </w:r>
    </w:p>
    <w:p w14:paraId="2E46298A" w14:textId="77777777" w:rsidR="002F1CB8" w:rsidRPr="00FE1D64" w:rsidRDefault="00000000" w:rsidP="00433EB6">
      <w:pPr>
        <w:pStyle w:val="Heading2"/>
        <w:jc w:val="both"/>
        <w:rPr>
          <w:rFonts w:ascii="Times New Roman" w:hAnsi="Times New Roman" w:cs="Times New Roman"/>
          <w:b/>
          <w:bCs/>
          <w:color w:val="auto"/>
        </w:rPr>
      </w:pPr>
      <w:bookmarkStart w:id="3" w:name="data-collection-and-preprocessing"/>
      <w:bookmarkEnd w:id="2"/>
      <w:r w:rsidRPr="00FE1D64">
        <w:rPr>
          <w:rFonts w:ascii="Times New Roman" w:hAnsi="Times New Roman" w:cs="Times New Roman"/>
          <w:b/>
          <w:bCs/>
          <w:color w:val="auto"/>
        </w:rPr>
        <w:t>2. Data Collection and Preprocessing</w:t>
      </w:r>
    </w:p>
    <w:p w14:paraId="54B4712B" w14:textId="77777777" w:rsidR="002F1CB8" w:rsidRPr="00FE1D64" w:rsidRDefault="00000000" w:rsidP="00433EB6">
      <w:pPr>
        <w:pStyle w:val="Heading3"/>
        <w:jc w:val="both"/>
        <w:rPr>
          <w:rFonts w:ascii="Times New Roman" w:hAnsi="Times New Roman" w:cs="Times New Roman"/>
          <w:b/>
          <w:bCs/>
          <w:color w:val="auto"/>
        </w:rPr>
      </w:pPr>
      <w:bookmarkStart w:id="4" w:name="data-source"/>
      <w:r w:rsidRPr="00FE1D64">
        <w:rPr>
          <w:rFonts w:ascii="Times New Roman" w:hAnsi="Times New Roman" w:cs="Times New Roman"/>
          <w:b/>
          <w:bCs/>
          <w:color w:val="auto"/>
        </w:rPr>
        <w:t>2.1 Data Source</w:t>
      </w:r>
    </w:p>
    <w:p w14:paraId="296656E3"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Daily adjusted-close prices were downloaded from Yahoo Finance using the </w:t>
      </w:r>
      <w:r w:rsidRPr="00433EB6">
        <w:rPr>
          <w:rStyle w:val="VerbatimChar"/>
          <w:rFonts w:ascii="Times New Roman" w:hAnsi="Times New Roman" w:cs="Times New Roman"/>
        </w:rPr>
        <w:t>yfinance</w:t>
      </w:r>
      <w:r w:rsidRPr="00433EB6">
        <w:rPr>
          <w:rFonts w:ascii="Times New Roman" w:hAnsi="Times New Roman" w:cs="Times New Roman"/>
        </w:rPr>
        <w:t xml:space="preserve"> Python library for ten tickers over the period 2 January 2015 to 30 December 2024. Adjusted close incorporates dividend and split adjustments, ensuring temporal comparability. After cleaning, each ticker contained 2,515 trading-day observations. The held-out test period spans from 29 December 2022 to 30 December 2024 (commencing after the validation boundary of 28 December 2022); price ranges within this window are reported in Table 2.1.</w:t>
      </w:r>
    </w:p>
    <w:p w14:paraId="56201B41"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b/>
          <w:bCs/>
        </w:rPr>
        <w:t>Table 2.1: Ticker list with company names and adjusted-close range in test period (2022-09-01 onwards)</w:t>
      </w:r>
    </w:p>
    <w:tbl>
      <w:tblPr>
        <w:tblStyle w:val="Table"/>
        <w:tblW w:w="0" w:type="auto"/>
        <w:jc w:val="center"/>
        <w:tblLook w:val="0020" w:firstRow="1" w:lastRow="0" w:firstColumn="0" w:lastColumn="0" w:noHBand="0" w:noVBand="0"/>
      </w:tblPr>
      <w:tblGrid>
        <w:gridCol w:w="1056"/>
        <w:gridCol w:w="3095"/>
        <w:gridCol w:w="1416"/>
        <w:gridCol w:w="1463"/>
      </w:tblGrid>
      <w:tr w:rsidR="00433EB6" w:rsidRPr="00433EB6" w14:paraId="434BC887" w14:textId="77777777" w:rsidTr="00433EB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8C26FD2"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Ticker</w:t>
            </w:r>
          </w:p>
        </w:tc>
        <w:tc>
          <w:tcPr>
            <w:tcW w:w="0" w:type="auto"/>
          </w:tcPr>
          <w:p w14:paraId="464891A6"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Company</w:t>
            </w:r>
          </w:p>
        </w:tc>
        <w:tc>
          <w:tcPr>
            <w:tcW w:w="0" w:type="auto"/>
          </w:tcPr>
          <w:p w14:paraId="69085648" w14:textId="3A7F6158" w:rsidR="00433EB6" w:rsidRPr="00433EB6" w:rsidRDefault="00433EB6" w:rsidP="00433EB6">
            <w:pPr>
              <w:pStyle w:val="Compact"/>
              <w:jc w:val="center"/>
              <w:rPr>
                <w:rFonts w:ascii="Times New Roman" w:hAnsi="Times New Roman" w:cs="Times New Roman"/>
              </w:rPr>
            </w:pPr>
            <m:oMathPara>
              <m:oMath>
                <m:r>
                  <w:rPr>
                    <w:rFonts w:ascii="Cambria Math" w:hAnsi="Cambria Math" w:cs="Times New Roman"/>
                  </w:rPr>
                  <m:t>M</m:t>
                </m:r>
                <m:r>
                  <w:rPr>
                    <w:rFonts w:ascii="Cambria Math" w:hAnsi="Cambria Math" w:cs="Times New Roman"/>
                  </w:rPr>
                  <m:t>in</m:t>
                </m:r>
                <m:r>
                  <w:rPr>
                    <w:rFonts w:ascii="Cambria Math" w:hAnsi="Cambria Math" w:cs="Times New Roman"/>
                  </w:rPr>
                  <m:t>Close</m:t>
                </m:r>
                <m:r>
                  <m:rPr>
                    <m:sty m:val="p"/>
                  </m:rPr>
                  <w:rPr>
                    <w:rFonts w:ascii="Cambria Math" w:hAnsi="Cambria Math" w:cs="Times New Roman"/>
                  </w:rPr>
                  <m:t>()</m:t>
                </m:r>
              </m:oMath>
            </m:oMathPara>
          </w:p>
        </w:tc>
        <w:tc>
          <w:tcPr>
            <w:tcW w:w="0" w:type="auto"/>
          </w:tcPr>
          <w:p w14:paraId="7FE30535" w14:textId="41289FB5" w:rsidR="00433EB6" w:rsidRPr="00433EB6" w:rsidRDefault="00433EB6" w:rsidP="00433EB6">
            <w:pPr>
              <w:pStyle w:val="Compact"/>
              <w:jc w:val="center"/>
              <w:rPr>
                <w:rFonts w:ascii="Times New Roman" w:hAnsi="Times New Roman" w:cs="Times New Roman"/>
              </w:rPr>
            </w:pPr>
            <m:oMathPara>
              <m:oMath>
                <m:r>
                  <w:rPr>
                    <w:rFonts w:ascii="Cambria Math" w:hAnsi="Cambria Math" w:cs="Times New Roman"/>
                  </w:rPr>
                  <m:t>MaxClose</m:t>
                </m:r>
                <m:r>
                  <m:rPr>
                    <m:sty m:val="p"/>
                  </m:rPr>
                  <w:rPr>
                    <w:rFonts w:ascii="Cambria Math" w:hAnsi="Cambria Math" w:cs="Times New Roman"/>
                  </w:rPr>
                  <m:t>(</m:t>
                </m:r>
                <m:r>
                  <m:rPr>
                    <m:sty m:val="p"/>
                  </m:rPr>
                  <w:rPr>
                    <w:rFonts w:ascii="Cambria Math" w:hAnsi="Cambria Math" w:cs="Times New Roman"/>
                  </w:rPr>
                  <m:t>)</m:t>
                </m:r>
              </m:oMath>
            </m:oMathPara>
          </w:p>
        </w:tc>
      </w:tr>
      <w:tr w:rsidR="00433EB6" w:rsidRPr="00433EB6" w14:paraId="162E12BF" w14:textId="77777777" w:rsidTr="00433EB6">
        <w:trPr>
          <w:jc w:val="center"/>
        </w:trPr>
        <w:tc>
          <w:tcPr>
            <w:tcW w:w="0" w:type="auto"/>
          </w:tcPr>
          <w:p w14:paraId="4D58A9B3"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AAPL</w:t>
            </w:r>
          </w:p>
        </w:tc>
        <w:tc>
          <w:tcPr>
            <w:tcW w:w="0" w:type="auto"/>
          </w:tcPr>
          <w:p w14:paraId="5D731CE1"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Apple Inc.</w:t>
            </w:r>
          </w:p>
        </w:tc>
        <w:tc>
          <w:tcPr>
            <w:tcW w:w="0" w:type="auto"/>
          </w:tcPr>
          <w:p w14:paraId="2427D050"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122.93</w:t>
            </w:r>
          </w:p>
        </w:tc>
        <w:tc>
          <w:tcPr>
            <w:tcW w:w="0" w:type="auto"/>
          </w:tcPr>
          <w:p w14:paraId="266F481C"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257.38</w:t>
            </w:r>
          </w:p>
        </w:tc>
      </w:tr>
      <w:tr w:rsidR="00433EB6" w:rsidRPr="00433EB6" w14:paraId="61BCF168" w14:textId="77777777" w:rsidTr="00433EB6">
        <w:trPr>
          <w:jc w:val="center"/>
        </w:trPr>
        <w:tc>
          <w:tcPr>
            <w:tcW w:w="0" w:type="auto"/>
          </w:tcPr>
          <w:p w14:paraId="0091E230"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MSFT</w:t>
            </w:r>
          </w:p>
        </w:tc>
        <w:tc>
          <w:tcPr>
            <w:tcW w:w="0" w:type="auto"/>
          </w:tcPr>
          <w:p w14:paraId="779EF2C6"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Microsoft Corp.</w:t>
            </w:r>
          </w:p>
        </w:tc>
        <w:tc>
          <w:tcPr>
            <w:tcW w:w="0" w:type="auto"/>
          </w:tcPr>
          <w:p w14:paraId="27D47DA2"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207.73</w:t>
            </w:r>
          </w:p>
        </w:tc>
        <w:tc>
          <w:tcPr>
            <w:tcW w:w="0" w:type="auto"/>
          </w:tcPr>
          <w:p w14:paraId="1DE47DDB"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460.33</w:t>
            </w:r>
          </w:p>
        </w:tc>
      </w:tr>
      <w:tr w:rsidR="00433EB6" w:rsidRPr="00433EB6" w14:paraId="652AB220" w14:textId="77777777" w:rsidTr="00433EB6">
        <w:trPr>
          <w:jc w:val="center"/>
        </w:trPr>
        <w:tc>
          <w:tcPr>
            <w:tcW w:w="0" w:type="auto"/>
          </w:tcPr>
          <w:p w14:paraId="2885FB20"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GOOGL</w:t>
            </w:r>
          </w:p>
        </w:tc>
        <w:tc>
          <w:tcPr>
            <w:tcW w:w="0" w:type="auto"/>
          </w:tcPr>
          <w:p w14:paraId="36FFB405"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Alphabet Inc.</w:t>
            </w:r>
          </w:p>
        </w:tc>
        <w:tc>
          <w:tcPr>
            <w:tcW w:w="0" w:type="auto"/>
          </w:tcPr>
          <w:p w14:paraId="0AAA02E7"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82.70</w:t>
            </w:r>
          </w:p>
        </w:tc>
        <w:tc>
          <w:tcPr>
            <w:tcW w:w="0" w:type="auto"/>
          </w:tcPr>
          <w:p w14:paraId="373E1EA7"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195.64</w:t>
            </w:r>
          </w:p>
        </w:tc>
      </w:tr>
      <w:tr w:rsidR="00433EB6" w:rsidRPr="00433EB6" w14:paraId="71721CE0" w14:textId="77777777" w:rsidTr="00433EB6">
        <w:trPr>
          <w:jc w:val="center"/>
        </w:trPr>
        <w:tc>
          <w:tcPr>
            <w:tcW w:w="0" w:type="auto"/>
          </w:tcPr>
          <w:p w14:paraId="32005E14"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AMZN</w:t>
            </w:r>
          </w:p>
        </w:tc>
        <w:tc>
          <w:tcPr>
            <w:tcW w:w="0" w:type="auto"/>
          </w:tcPr>
          <w:p w14:paraId="5325E0AF"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Amazon.com Inc.</w:t>
            </w:r>
          </w:p>
        </w:tc>
        <w:tc>
          <w:tcPr>
            <w:tcW w:w="0" w:type="auto"/>
          </w:tcPr>
          <w:p w14:paraId="6F2974FC"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81.82</w:t>
            </w:r>
          </w:p>
        </w:tc>
        <w:tc>
          <w:tcPr>
            <w:tcW w:w="0" w:type="auto"/>
          </w:tcPr>
          <w:p w14:paraId="2479D877"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232.93</w:t>
            </w:r>
          </w:p>
        </w:tc>
      </w:tr>
      <w:tr w:rsidR="00433EB6" w:rsidRPr="00433EB6" w14:paraId="693C6DCC" w14:textId="77777777" w:rsidTr="00433EB6">
        <w:trPr>
          <w:jc w:val="center"/>
        </w:trPr>
        <w:tc>
          <w:tcPr>
            <w:tcW w:w="0" w:type="auto"/>
          </w:tcPr>
          <w:p w14:paraId="41CAC0CD"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TSLA</w:t>
            </w:r>
          </w:p>
        </w:tc>
        <w:tc>
          <w:tcPr>
            <w:tcW w:w="0" w:type="auto"/>
          </w:tcPr>
          <w:p w14:paraId="1A534307"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Tesla Inc.</w:t>
            </w:r>
          </w:p>
        </w:tc>
        <w:tc>
          <w:tcPr>
            <w:tcW w:w="0" w:type="auto"/>
          </w:tcPr>
          <w:p w14:paraId="073F331F"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108.10</w:t>
            </w:r>
          </w:p>
        </w:tc>
        <w:tc>
          <w:tcPr>
            <w:tcW w:w="0" w:type="auto"/>
          </w:tcPr>
          <w:p w14:paraId="1E98DBFE"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479.86</w:t>
            </w:r>
          </w:p>
        </w:tc>
      </w:tr>
      <w:tr w:rsidR="00433EB6" w:rsidRPr="00433EB6" w14:paraId="2DB0C9DA" w14:textId="77777777" w:rsidTr="00433EB6">
        <w:trPr>
          <w:jc w:val="center"/>
        </w:trPr>
        <w:tc>
          <w:tcPr>
            <w:tcW w:w="0" w:type="auto"/>
          </w:tcPr>
          <w:p w14:paraId="4E4D12BC"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NVDA</w:t>
            </w:r>
          </w:p>
        </w:tc>
        <w:tc>
          <w:tcPr>
            <w:tcW w:w="0" w:type="auto"/>
          </w:tcPr>
          <w:p w14:paraId="7DD49826"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NVIDIA Corp.</w:t>
            </w:r>
          </w:p>
        </w:tc>
        <w:tc>
          <w:tcPr>
            <w:tcW w:w="0" w:type="auto"/>
          </w:tcPr>
          <w:p w14:paraId="5FDDF28C"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11.20</w:t>
            </w:r>
          </w:p>
        </w:tc>
        <w:tc>
          <w:tcPr>
            <w:tcW w:w="0" w:type="auto"/>
          </w:tcPr>
          <w:p w14:paraId="60AED1BA"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148.65</w:t>
            </w:r>
          </w:p>
        </w:tc>
      </w:tr>
      <w:tr w:rsidR="00433EB6" w:rsidRPr="00433EB6" w14:paraId="49F792BD" w14:textId="77777777" w:rsidTr="00433EB6">
        <w:trPr>
          <w:jc w:val="center"/>
        </w:trPr>
        <w:tc>
          <w:tcPr>
            <w:tcW w:w="0" w:type="auto"/>
          </w:tcPr>
          <w:p w14:paraId="723C7EA4"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META</w:t>
            </w:r>
          </w:p>
        </w:tc>
        <w:tc>
          <w:tcPr>
            <w:tcW w:w="0" w:type="auto"/>
          </w:tcPr>
          <w:p w14:paraId="15D3609A"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Meta Platforms Inc.</w:t>
            </w:r>
          </w:p>
        </w:tc>
        <w:tc>
          <w:tcPr>
            <w:tcW w:w="0" w:type="auto"/>
          </w:tcPr>
          <w:p w14:paraId="692DB3B5"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88.22</w:t>
            </w:r>
          </w:p>
        </w:tc>
        <w:tc>
          <w:tcPr>
            <w:tcW w:w="0" w:type="auto"/>
          </w:tcPr>
          <w:p w14:paraId="195416B3"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629.64</w:t>
            </w:r>
          </w:p>
        </w:tc>
      </w:tr>
      <w:tr w:rsidR="00433EB6" w:rsidRPr="00433EB6" w14:paraId="296404A8" w14:textId="77777777" w:rsidTr="00433EB6">
        <w:trPr>
          <w:jc w:val="center"/>
        </w:trPr>
        <w:tc>
          <w:tcPr>
            <w:tcW w:w="0" w:type="auto"/>
          </w:tcPr>
          <w:p w14:paraId="39C541F7"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AVGO</w:t>
            </w:r>
          </w:p>
        </w:tc>
        <w:tc>
          <w:tcPr>
            <w:tcW w:w="0" w:type="auto"/>
          </w:tcPr>
          <w:p w14:paraId="5F806A62"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Broadcom Inc.</w:t>
            </w:r>
          </w:p>
        </w:tc>
        <w:tc>
          <w:tcPr>
            <w:tcW w:w="0" w:type="auto"/>
          </w:tcPr>
          <w:p w14:paraId="5C7E20A5"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40.41</w:t>
            </w:r>
          </w:p>
        </w:tc>
        <w:tc>
          <w:tcPr>
            <w:tcW w:w="0" w:type="auto"/>
          </w:tcPr>
          <w:p w14:paraId="6DB73B1F"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246.58</w:t>
            </w:r>
          </w:p>
        </w:tc>
      </w:tr>
      <w:tr w:rsidR="00433EB6" w:rsidRPr="00433EB6" w14:paraId="7E32D990" w14:textId="77777777" w:rsidTr="00433EB6">
        <w:trPr>
          <w:jc w:val="center"/>
        </w:trPr>
        <w:tc>
          <w:tcPr>
            <w:tcW w:w="0" w:type="auto"/>
          </w:tcPr>
          <w:p w14:paraId="7D136630"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ORCL</w:t>
            </w:r>
          </w:p>
        </w:tc>
        <w:tc>
          <w:tcPr>
            <w:tcW w:w="0" w:type="auto"/>
          </w:tcPr>
          <w:p w14:paraId="6C443260"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Oracle Corp.</w:t>
            </w:r>
          </w:p>
        </w:tc>
        <w:tc>
          <w:tcPr>
            <w:tcW w:w="0" w:type="auto"/>
          </w:tcPr>
          <w:p w14:paraId="0F4D7F4B"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58.19</w:t>
            </w:r>
          </w:p>
        </w:tc>
        <w:tc>
          <w:tcPr>
            <w:tcW w:w="0" w:type="auto"/>
          </w:tcPr>
          <w:p w14:paraId="2B1921CF"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189.37</w:t>
            </w:r>
          </w:p>
        </w:tc>
      </w:tr>
      <w:tr w:rsidR="00433EB6" w:rsidRPr="00433EB6" w14:paraId="41391C72" w14:textId="77777777" w:rsidTr="00433EB6">
        <w:trPr>
          <w:jc w:val="center"/>
        </w:trPr>
        <w:tc>
          <w:tcPr>
            <w:tcW w:w="0" w:type="auto"/>
          </w:tcPr>
          <w:p w14:paraId="7FD16192"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AMD</w:t>
            </w:r>
          </w:p>
        </w:tc>
        <w:tc>
          <w:tcPr>
            <w:tcW w:w="0" w:type="auto"/>
          </w:tcPr>
          <w:p w14:paraId="1E990C69" w14:textId="77777777" w:rsidR="00433EB6" w:rsidRPr="00433EB6" w:rsidRDefault="00433EB6" w:rsidP="00433EB6">
            <w:pPr>
              <w:pStyle w:val="Compact"/>
              <w:jc w:val="both"/>
              <w:rPr>
                <w:rFonts w:ascii="Times New Roman" w:hAnsi="Times New Roman" w:cs="Times New Roman"/>
              </w:rPr>
            </w:pPr>
            <w:r w:rsidRPr="00433EB6">
              <w:rPr>
                <w:rFonts w:ascii="Times New Roman" w:hAnsi="Times New Roman" w:cs="Times New Roman"/>
              </w:rPr>
              <w:t>Advanced Micro Devices Inc.</w:t>
            </w:r>
          </w:p>
        </w:tc>
        <w:tc>
          <w:tcPr>
            <w:tcW w:w="0" w:type="auto"/>
          </w:tcPr>
          <w:p w14:paraId="707DE10C"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55.94</w:t>
            </w:r>
          </w:p>
        </w:tc>
        <w:tc>
          <w:tcPr>
            <w:tcW w:w="0" w:type="auto"/>
          </w:tcPr>
          <w:p w14:paraId="282F7F73" w14:textId="77777777" w:rsidR="00433EB6" w:rsidRPr="00433EB6" w:rsidRDefault="00433EB6" w:rsidP="00433EB6">
            <w:pPr>
              <w:pStyle w:val="Compact"/>
              <w:jc w:val="center"/>
              <w:rPr>
                <w:rFonts w:ascii="Times New Roman" w:hAnsi="Times New Roman" w:cs="Times New Roman"/>
              </w:rPr>
            </w:pPr>
            <w:r w:rsidRPr="00433EB6">
              <w:rPr>
                <w:rFonts w:ascii="Times New Roman" w:hAnsi="Times New Roman" w:cs="Times New Roman"/>
              </w:rPr>
              <w:t>211.38</w:t>
            </w:r>
          </w:p>
        </w:tc>
      </w:tr>
    </w:tbl>
    <w:p w14:paraId="470507B2"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The cross-section spans low-volatility mega-caps (AAPL, MSFT) and high-volatility growth names (TSLA, NVDA, META). NVDA’s minimum reflects pre-split nominal pricing in late 2022; subsequent appreciation produced the widest relative test-period range among semiconductor names.</w:t>
      </w:r>
    </w:p>
    <w:p w14:paraId="2705200B" w14:textId="77777777" w:rsidR="002F1CB8" w:rsidRPr="00FE1D64" w:rsidRDefault="00000000" w:rsidP="00433EB6">
      <w:pPr>
        <w:pStyle w:val="Heading3"/>
        <w:jc w:val="both"/>
        <w:rPr>
          <w:rFonts w:ascii="Times New Roman" w:hAnsi="Times New Roman" w:cs="Times New Roman"/>
          <w:b/>
          <w:bCs/>
          <w:color w:val="auto"/>
        </w:rPr>
      </w:pPr>
      <w:bookmarkStart w:id="5" w:name="data-cleaning-and-normalisation"/>
      <w:bookmarkEnd w:id="4"/>
      <w:r w:rsidRPr="00FE1D64">
        <w:rPr>
          <w:rFonts w:ascii="Times New Roman" w:hAnsi="Times New Roman" w:cs="Times New Roman"/>
          <w:b/>
          <w:bCs/>
          <w:color w:val="auto"/>
        </w:rPr>
        <w:t>2.2 Data Cleaning and Normalisation</w:t>
      </w:r>
    </w:p>
    <w:p w14:paraId="0AAAFA73"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Missing values arising from market holidays or data gaps were forward-filled (</w:t>
      </w:r>
      <w:r w:rsidRPr="00433EB6">
        <w:rPr>
          <w:rStyle w:val="VerbatimChar"/>
          <w:rFonts w:ascii="Times New Roman" w:hAnsi="Times New Roman" w:cs="Times New Roman"/>
        </w:rPr>
        <w:t>ffill</w:t>
      </w:r>
      <w:r w:rsidRPr="00433EB6">
        <w:rPr>
          <w:rFonts w:ascii="Times New Roman" w:hAnsi="Times New Roman" w:cs="Times New Roman"/>
        </w:rPr>
        <w:t xml:space="preserve">), preserving the most recent valid observation. Zero prices were replaced with NaN prior to filling. Prices were scaled to [0, 1] using </w:t>
      </w:r>
      <w:r w:rsidRPr="00433EB6">
        <w:rPr>
          <w:rStyle w:val="VerbatimChar"/>
          <w:rFonts w:ascii="Times New Roman" w:hAnsi="Times New Roman" w:cs="Times New Roman"/>
        </w:rPr>
        <w:t>sklearn.preprocessing.MinMaxScaler</w:t>
      </w:r>
      <w:r w:rsidRPr="00433EB6">
        <w:rPr>
          <w:rFonts w:ascii="Times New Roman" w:hAnsi="Times New Roman" w:cs="Times New Roman"/>
        </w:rPr>
        <w:t xml:space="preserve"> fitted exclusively on the training partition; validation and test sets were transformed with the training-derived minimum and maximum. This prevents information leakage from future price levels into the scaling parameters.</w:t>
      </w:r>
    </w:p>
    <w:p w14:paraId="5C56C6F2"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lastRenderedPageBreak/>
        <w:t>Chronological splitting followed a 70/10/20 ratio: 70% training, 10% validation, and 20% test. For each ticker, this yielded 1,700 training sequences, 191 validation sequences, and 444 test sequences after construction of 60-day windows (see Section 2.3). Split boundaries were identical across tickers because all series share the same calendar length.</w:t>
      </w:r>
    </w:p>
    <w:p w14:paraId="081B2276"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b/>
          <w:bCs/>
        </w:rPr>
        <w:t>Table 2.2: Split statistics (train/val/test sequences per ticker)</w:t>
      </w:r>
    </w:p>
    <w:tbl>
      <w:tblPr>
        <w:tblStyle w:val="Table"/>
        <w:tblW w:w="5000" w:type="pct"/>
        <w:jc w:val="center"/>
        <w:tblLayout w:type="fixed"/>
        <w:tblLook w:val="0020" w:firstRow="1" w:lastRow="0" w:firstColumn="0" w:lastColumn="0" w:noHBand="0" w:noVBand="0"/>
      </w:tblPr>
      <w:tblGrid>
        <w:gridCol w:w="1064"/>
        <w:gridCol w:w="2261"/>
        <w:gridCol w:w="1995"/>
        <w:gridCol w:w="2128"/>
        <w:gridCol w:w="2128"/>
      </w:tblGrid>
      <w:tr w:rsidR="002F1CB8" w:rsidRPr="00433EB6" w14:paraId="04D86CE6" w14:textId="77777777" w:rsidTr="00FE1D64">
        <w:trPr>
          <w:cnfStyle w:val="100000000000" w:firstRow="1" w:lastRow="0" w:firstColumn="0" w:lastColumn="0" w:oddVBand="0" w:evenVBand="0" w:oddHBand="0" w:evenHBand="0" w:firstRowFirstColumn="0" w:firstRowLastColumn="0" w:lastRowFirstColumn="0" w:lastRowLastColumn="0"/>
          <w:tblHeader/>
          <w:jc w:val="center"/>
        </w:trPr>
        <w:tc>
          <w:tcPr>
            <w:tcW w:w="880" w:type="dxa"/>
          </w:tcPr>
          <w:p w14:paraId="1405B59A"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Ticker</w:t>
            </w:r>
          </w:p>
        </w:tc>
        <w:tc>
          <w:tcPr>
            <w:tcW w:w="1870" w:type="dxa"/>
          </w:tcPr>
          <w:p w14:paraId="3A149948"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Train Sequences</w:t>
            </w:r>
          </w:p>
        </w:tc>
        <w:tc>
          <w:tcPr>
            <w:tcW w:w="1650" w:type="dxa"/>
          </w:tcPr>
          <w:p w14:paraId="43492BCF"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Val Sequences</w:t>
            </w:r>
          </w:p>
        </w:tc>
        <w:tc>
          <w:tcPr>
            <w:tcW w:w="1760" w:type="dxa"/>
          </w:tcPr>
          <w:p w14:paraId="6922771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Test Sequences</w:t>
            </w:r>
          </w:p>
        </w:tc>
        <w:tc>
          <w:tcPr>
            <w:tcW w:w="1760" w:type="dxa"/>
          </w:tcPr>
          <w:p w14:paraId="6A3EC354"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Total Raw Rows</w:t>
            </w:r>
          </w:p>
        </w:tc>
      </w:tr>
      <w:tr w:rsidR="002F1CB8" w:rsidRPr="00433EB6" w14:paraId="5B6D5DA9" w14:textId="77777777" w:rsidTr="00FE1D64">
        <w:trPr>
          <w:jc w:val="center"/>
        </w:trPr>
        <w:tc>
          <w:tcPr>
            <w:tcW w:w="880" w:type="dxa"/>
          </w:tcPr>
          <w:p w14:paraId="7DD65EEF"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AAPL</w:t>
            </w:r>
          </w:p>
        </w:tc>
        <w:tc>
          <w:tcPr>
            <w:tcW w:w="1870" w:type="dxa"/>
          </w:tcPr>
          <w:p w14:paraId="2404FD8C"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6E7FAE1C"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3347689A"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55849C4F"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36A033DB" w14:textId="77777777" w:rsidTr="00FE1D64">
        <w:trPr>
          <w:jc w:val="center"/>
        </w:trPr>
        <w:tc>
          <w:tcPr>
            <w:tcW w:w="880" w:type="dxa"/>
          </w:tcPr>
          <w:p w14:paraId="0DAF09DE"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MSFT</w:t>
            </w:r>
          </w:p>
        </w:tc>
        <w:tc>
          <w:tcPr>
            <w:tcW w:w="1870" w:type="dxa"/>
          </w:tcPr>
          <w:p w14:paraId="0F1A4B97"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7ED28D55"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6E84FFE5"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7F59E48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77057DD0" w14:textId="77777777" w:rsidTr="00FE1D64">
        <w:trPr>
          <w:jc w:val="center"/>
        </w:trPr>
        <w:tc>
          <w:tcPr>
            <w:tcW w:w="880" w:type="dxa"/>
          </w:tcPr>
          <w:p w14:paraId="3AF2304D"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GOOGL</w:t>
            </w:r>
          </w:p>
        </w:tc>
        <w:tc>
          <w:tcPr>
            <w:tcW w:w="1870" w:type="dxa"/>
          </w:tcPr>
          <w:p w14:paraId="7833C858"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7599D805"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2A0121FE"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0881CF97"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4BD0D34D" w14:textId="77777777" w:rsidTr="00FE1D64">
        <w:trPr>
          <w:jc w:val="center"/>
        </w:trPr>
        <w:tc>
          <w:tcPr>
            <w:tcW w:w="880" w:type="dxa"/>
          </w:tcPr>
          <w:p w14:paraId="28B889FA"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AMZN</w:t>
            </w:r>
          </w:p>
        </w:tc>
        <w:tc>
          <w:tcPr>
            <w:tcW w:w="1870" w:type="dxa"/>
          </w:tcPr>
          <w:p w14:paraId="4A920793"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5F395E6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36E6901F"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4633C9C8"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7EC03AFF" w14:textId="77777777" w:rsidTr="00FE1D64">
        <w:trPr>
          <w:jc w:val="center"/>
        </w:trPr>
        <w:tc>
          <w:tcPr>
            <w:tcW w:w="880" w:type="dxa"/>
          </w:tcPr>
          <w:p w14:paraId="2546FC0E"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TSLA</w:t>
            </w:r>
          </w:p>
        </w:tc>
        <w:tc>
          <w:tcPr>
            <w:tcW w:w="1870" w:type="dxa"/>
          </w:tcPr>
          <w:p w14:paraId="2F4058B6"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52981DBA"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30B939B8"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4CE816D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25FEFFEA" w14:textId="77777777" w:rsidTr="00FE1D64">
        <w:trPr>
          <w:jc w:val="center"/>
        </w:trPr>
        <w:tc>
          <w:tcPr>
            <w:tcW w:w="880" w:type="dxa"/>
          </w:tcPr>
          <w:p w14:paraId="2FA43822"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NVDA</w:t>
            </w:r>
          </w:p>
        </w:tc>
        <w:tc>
          <w:tcPr>
            <w:tcW w:w="1870" w:type="dxa"/>
          </w:tcPr>
          <w:p w14:paraId="4A0A2E9E"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03AB3B12"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5B05C295"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0706ABF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399049AD" w14:textId="77777777" w:rsidTr="00FE1D64">
        <w:trPr>
          <w:jc w:val="center"/>
        </w:trPr>
        <w:tc>
          <w:tcPr>
            <w:tcW w:w="880" w:type="dxa"/>
          </w:tcPr>
          <w:p w14:paraId="42AC72CC"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META</w:t>
            </w:r>
          </w:p>
        </w:tc>
        <w:tc>
          <w:tcPr>
            <w:tcW w:w="1870" w:type="dxa"/>
          </w:tcPr>
          <w:p w14:paraId="6CBCDE30"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24A4CEBA"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619B6FA3"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2316B7A7"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4DD14375" w14:textId="77777777" w:rsidTr="00FE1D64">
        <w:trPr>
          <w:jc w:val="center"/>
        </w:trPr>
        <w:tc>
          <w:tcPr>
            <w:tcW w:w="880" w:type="dxa"/>
          </w:tcPr>
          <w:p w14:paraId="6F673AAD"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AVGO</w:t>
            </w:r>
          </w:p>
        </w:tc>
        <w:tc>
          <w:tcPr>
            <w:tcW w:w="1870" w:type="dxa"/>
          </w:tcPr>
          <w:p w14:paraId="6642EDF7"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30B004F5"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6BBAF7E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7EC45A83"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1E8AC84F" w14:textId="77777777" w:rsidTr="00FE1D64">
        <w:trPr>
          <w:jc w:val="center"/>
        </w:trPr>
        <w:tc>
          <w:tcPr>
            <w:tcW w:w="880" w:type="dxa"/>
          </w:tcPr>
          <w:p w14:paraId="7015C0AF"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ORCL</w:t>
            </w:r>
          </w:p>
        </w:tc>
        <w:tc>
          <w:tcPr>
            <w:tcW w:w="1870" w:type="dxa"/>
          </w:tcPr>
          <w:p w14:paraId="0D8DE9F8"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1855944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26254E31"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003579B5"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r w:rsidR="002F1CB8" w:rsidRPr="00433EB6" w14:paraId="686DCD02" w14:textId="77777777" w:rsidTr="00FE1D64">
        <w:trPr>
          <w:jc w:val="center"/>
        </w:trPr>
        <w:tc>
          <w:tcPr>
            <w:tcW w:w="880" w:type="dxa"/>
          </w:tcPr>
          <w:p w14:paraId="4D3330FA"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AMD</w:t>
            </w:r>
          </w:p>
        </w:tc>
        <w:tc>
          <w:tcPr>
            <w:tcW w:w="1870" w:type="dxa"/>
          </w:tcPr>
          <w:p w14:paraId="3FEACA7A"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1,700</w:t>
            </w:r>
          </w:p>
        </w:tc>
        <w:tc>
          <w:tcPr>
            <w:tcW w:w="1650" w:type="dxa"/>
          </w:tcPr>
          <w:p w14:paraId="2D667420"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191</w:t>
            </w:r>
          </w:p>
        </w:tc>
        <w:tc>
          <w:tcPr>
            <w:tcW w:w="1760" w:type="dxa"/>
          </w:tcPr>
          <w:p w14:paraId="4E81C63E"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444</w:t>
            </w:r>
          </w:p>
        </w:tc>
        <w:tc>
          <w:tcPr>
            <w:tcW w:w="1760" w:type="dxa"/>
          </w:tcPr>
          <w:p w14:paraId="639F1176" w14:textId="77777777" w:rsidR="002F1CB8" w:rsidRPr="00433EB6" w:rsidRDefault="00000000" w:rsidP="00FE1D64">
            <w:pPr>
              <w:pStyle w:val="Compact"/>
              <w:jc w:val="center"/>
              <w:rPr>
                <w:rFonts w:ascii="Times New Roman" w:hAnsi="Times New Roman" w:cs="Times New Roman"/>
              </w:rPr>
            </w:pPr>
            <w:r w:rsidRPr="00433EB6">
              <w:rPr>
                <w:rFonts w:ascii="Times New Roman" w:hAnsi="Times New Roman" w:cs="Times New Roman"/>
              </w:rPr>
              <w:t>2,515</w:t>
            </w:r>
          </w:p>
        </w:tc>
      </w:tr>
    </w:tbl>
    <w:p w14:paraId="575EAA34"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Training covered approximately January 2015 through December 2021; validation spanned 2022; and testing covered 2023–2024, deliberately overlapping the Federal Reserve tightening cycle that began in 2022.</w:t>
      </w:r>
    </w:p>
    <w:p w14:paraId="65B47CFB" w14:textId="77777777" w:rsidR="002F1CB8" w:rsidRPr="00FE1D64" w:rsidRDefault="00000000" w:rsidP="00433EB6">
      <w:pPr>
        <w:pStyle w:val="Heading3"/>
        <w:jc w:val="both"/>
        <w:rPr>
          <w:rFonts w:ascii="Times New Roman" w:hAnsi="Times New Roman" w:cs="Times New Roman"/>
          <w:b/>
          <w:bCs/>
          <w:color w:val="auto"/>
        </w:rPr>
      </w:pPr>
      <w:bookmarkStart w:id="6" w:name="sequence-construction"/>
      <w:bookmarkEnd w:id="5"/>
      <w:r w:rsidRPr="00FE1D64">
        <w:rPr>
          <w:rFonts w:ascii="Times New Roman" w:hAnsi="Times New Roman" w:cs="Times New Roman"/>
          <w:b/>
          <w:bCs/>
          <w:color w:val="auto"/>
        </w:rPr>
        <w:t>2.3 Sequence Construction</w:t>
      </w:r>
    </w:p>
    <w:p w14:paraId="582B9F32"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Each supervised example was formed by a 60-day sliding window of scaled close prices as input </w:t>
      </w:r>
      <w:r w:rsidRPr="00433EB6">
        <w:rPr>
          <w:rFonts w:ascii="Times New Roman" w:hAnsi="Times New Roman" w:cs="Times New Roman"/>
          <w:b/>
          <w:bCs/>
        </w:rPr>
        <w:t>X</w:t>
      </w:r>
      <w:r w:rsidRPr="00433EB6">
        <w:rPr>
          <w:rFonts w:ascii="Times New Roman" w:hAnsi="Times New Roman" w:cs="Times New Roman"/>
        </w:rPr>
        <w:t xml:space="preserve"> </w:t>
      </w:r>
      <w:r w:rsidRPr="00433EB6">
        <w:rPr>
          <w:rFonts w:ascii="Cambria Math" w:hAnsi="Cambria Math" w:cs="Cambria Math"/>
        </w:rPr>
        <w:t>∈</w:t>
      </w:r>
      <w:r w:rsidRPr="00433EB6">
        <w:rPr>
          <w:rFonts w:ascii="Times New Roman" w:hAnsi="Times New Roman" w:cs="Times New Roman"/>
        </w:rPr>
        <w:t xml:space="preserve"> ℝ^(60×1), with the next-day scaled close as target </w:t>
      </w:r>
      <w:r w:rsidRPr="00433EB6">
        <w:rPr>
          <w:rFonts w:ascii="Times New Roman" w:hAnsi="Times New Roman" w:cs="Times New Roman"/>
          <w:b/>
          <w:bCs/>
        </w:rPr>
        <w:t>y</w:t>
      </w:r>
      <w:r w:rsidRPr="00433EB6">
        <w:rPr>
          <w:rFonts w:ascii="Times New Roman" w:hAnsi="Times New Roman" w:cs="Times New Roman"/>
        </w:rPr>
        <w:t xml:space="preserve"> </w:t>
      </w:r>
      <w:r w:rsidRPr="00433EB6">
        <w:rPr>
          <w:rFonts w:ascii="Cambria Math" w:hAnsi="Cambria Math" w:cs="Cambria Math"/>
        </w:rPr>
        <w:t>∈</w:t>
      </w:r>
      <w:r w:rsidRPr="00433EB6">
        <w:rPr>
          <w:rFonts w:ascii="Times New Roman" w:hAnsi="Times New Roman" w:cs="Times New Roman"/>
        </w:rPr>
        <w:t xml:space="preserve"> ℝ. Concretely, for time index </w:t>
      </w:r>
      <w:r w:rsidRPr="00433EB6">
        <w:rPr>
          <w:rFonts w:ascii="Times New Roman" w:hAnsi="Times New Roman" w:cs="Times New Roman"/>
          <w:i/>
          <w:iCs/>
        </w:rPr>
        <w:t>t</w:t>
      </w:r>
      <w:r w:rsidRPr="00433EB6">
        <w:rPr>
          <w:rFonts w:ascii="Times New Roman" w:hAnsi="Times New Roman" w:cs="Times New Roman"/>
        </w:rPr>
        <w:t>, the input comprises {</w:t>
      </w:r>
      <w:r w:rsidRPr="00433EB6">
        <w:rPr>
          <w:rFonts w:ascii="Times New Roman" w:hAnsi="Times New Roman" w:cs="Times New Roman"/>
          <w:i/>
          <w:iCs/>
        </w:rPr>
        <w:t>p</w:t>
      </w:r>
      <w:r w:rsidRPr="00433EB6">
        <w:rPr>
          <w:rFonts w:ascii="Times New Roman" w:hAnsi="Times New Roman" w:cs="Times New Roman"/>
        </w:rPr>
        <w:t xml:space="preserve">_{t−60}, …, </w:t>
      </w:r>
      <w:r w:rsidRPr="00433EB6">
        <w:rPr>
          <w:rFonts w:ascii="Times New Roman" w:hAnsi="Times New Roman" w:cs="Times New Roman"/>
          <w:i/>
          <w:iCs/>
        </w:rPr>
        <w:t>p</w:t>
      </w:r>
      <w:r w:rsidRPr="00433EB6">
        <w:rPr>
          <w:rFonts w:ascii="Times New Roman" w:hAnsi="Times New Roman" w:cs="Times New Roman"/>
        </w:rPr>
        <w:t xml:space="preserve">_{t−1}} and the label is </w:t>
      </w:r>
      <w:r w:rsidRPr="00433EB6">
        <w:rPr>
          <w:rFonts w:ascii="Times New Roman" w:hAnsi="Times New Roman" w:cs="Times New Roman"/>
          <w:i/>
          <w:iCs/>
        </w:rPr>
        <w:t>p</w:t>
      </w:r>
      <w:r w:rsidRPr="00433EB6">
        <w:rPr>
          <w:rFonts w:ascii="Times New Roman" w:hAnsi="Times New Roman" w:cs="Times New Roman"/>
        </w:rPr>
        <w:t>_t. This architecture treats each window as a short multivariate time series of length 60 with a single feature channel. Windows were generated independently within each split segment so that no window crosses partition boundaries.</w:t>
      </w:r>
    </w:p>
    <w:p w14:paraId="1C871E3A"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The temporal layout can be visualised as contiguous blocks:</w:t>
      </w:r>
    </w:p>
    <w:p w14:paraId="069F617A" w14:textId="77777777" w:rsidR="002F1CB8" w:rsidRPr="00433EB6" w:rsidRDefault="00000000" w:rsidP="00433EB6">
      <w:pPr>
        <w:pStyle w:val="SourceCode"/>
        <w:jc w:val="center"/>
        <w:rPr>
          <w:rFonts w:ascii="Times New Roman" w:hAnsi="Times New Roman" w:cs="Times New Roman"/>
        </w:rPr>
      </w:pPr>
      <w:r w:rsidRPr="00433EB6">
        <w:rPr>
          <w:rStyle w:val="VerbatimChar"/>
          <w:rFonts w:ascii="Times New Roman" w:hAnsi="Times New Roman" w:cs="Times New Roman"/>
        </w:rPr>
        <w:t>|--- Train (70%) ---|--- Val (10%) ---|--- Test (20%) ---|</w:t>
      </w:r>
      <w:r w:rsidRPr="00433EB6">
        <w:rPr>
          <w:rFonts w:ascii="Times New Roman" w:hAnsi="Times New Roman" w:cs="Times New Roman"/>
        </w:rPr>
        <w:br/>
      </w:r>
      <w:r w:rsidRPr="00433EB6">
        <w:rPr>
          <w:rStyle w:val="VerbatimChar"/>
          <w:rFonts w:ascii="Times New Roman" w:hAnsi="Times New Roman" w:cs="Times New Roman"/>
        </w:rPr>
        <w:t xml:space="preserve">     1700 windows       191 windows       444 windows</w:t>
      </w:r>
    </w:p>
    <w:p w14:paraId="2B6B46F6" w14:textId="77777777" w:rsidR="002F1CB8" w:rsidRPr="00433EB6" w:rsidRDefault="00000000" w:rsidP="00433EB6">
      <w:pPr>
        <w:pStyle w:val="CaptionedFigure"/>
        <w:jc w:val="both"/>
        <w:rPr>
          <w:rFonts w:ascii="Times New Roman" w:hAnsi="Times New Roman" w:cs="Times New Roman"/>
        </w:rPr>
      </w:pPr>
      <w:r w:rsidRPr="00433EB6">
        <w:rPr>
          <w:rFonts w:ascii="Times New Roman" w:hAnsi="Times New Roman" w:cs="Times New Roman"/>
          <w:noProof/>
        </w:rPr>
        <w:lastRenderedPageBreak/>
        <w:drawing>
          <wp:inline distT="0" distB="0" distL="0" distR="0" wp14:anchorId="01B2C67A" wp14:editId="4274DE2F">
            <wp:extent cx="5334000" cy="2667000"/>
            <wp:effectExtent l="0" t="0" r="0" b="0"/>
            <wp:docPr id="15" name="Picture" descr="Figure 1: Train/Val/Test split for AAPL"/>
            <wp:cNvGraphicFramePr/>
            <a:graphic xmlns:a="http://schemas.openxmlformats.org/drawingml/2006/main">
              <a:graphicData uri="http://schemas.openxmlformats.org/drawingml/2006/picture">
                <pic:pic xmlns:pic="http://schemas.openxmlformats.org/drawingml/2006/picture">
                  <pic:nvPicPr>
                    <pic:cNvPr id="16" name="Picture" descr="outputs/figures/02_AAPL_split_boundaries.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4D8E0357" w14:textId="77777777" w:rsidR="002F1CB8" w:rsidRPr="00433EB6" w:rsidRDefault="00000000" w:rsidP="00433EB6">
      <w:pPr>
        <w:pStyle w:val="ImageCaption"/>
        <w:jc w:val="both"/>
        <w:rPr>
          <w:rFonts w:ascii="Times New Roman" w:hAnsi="Times New Roman" w:cs="Times New Roman"/>
        </w:rPr>
      </w:pPr>
      <w:r w:rsidRPr="00433EB6">
        <w:rPr>
          <w:rFonts w:ascii="Times New Roman" w:hAnsi="Times New Roman" w:cs="Times New Roman"/>
        </w:rPr>
        <w:t>Figure 1: Train/Val/Test split for AAPL</w:t>
      </w:r>
    </w:p>
    <w:p w14:paraId="5C22EE61"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Figure 1 illustrates the chronological partition for AAPL, confirming that all model training respects strict temporal ordering and that the test set evaluates genuinely future data.</w:t>
      </w:r>
    </w:p>
    <w:p w14:paraId="431FEDE8"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187C7CD5">
          <v:rect id="_x0000_i1437" style="width:0;height:1.5pt" o:hralign="center" o:hrstd="t" o:hr="t"/>
        </w:pict>
      </w:r>
    </w:p>
    <w:p w14:paraId="3AF6C1FC" w14:textId="77777777" w:rsidR="002F1CB8" w:rsidRPr="00FE1D64" w:rsidRDefault="00000000" w:rsidP="00433EB6">
      <w:pPr>
        <w:pStyle w:val="Heading2"/>
        <w:jc w:val="both"/>
        <w:rPr>
          <w:rFonts w:ascii="Times New Roman" w:hAnsi="Times New Roman" w:cs="Times New Roman"/>
          <w:b/>
          <w:bCs/>
          <w:color w:val="auto"/>
        </w:rPr>
      </w:pPr>
      <w:bookmarkStart w:id="7" w:name="model-investigation"/>
      <w:bookmarkEnd w:id="3"/>
      <w:bookmarkEnd w:id="6"/>
      <w:r w:rsidRPr="00FE1D64">
        <w:rPr>
          <w:rFonts w:ascii="Times New Roman" w:hAnsi="Times New Roman" w:cs="Times New Roman"/>
          <w:b/>
          <w:bCs/>
          <w:color w:val="auto"/>
        </w:rPr>
        <w:t>3. Model Investigation</w:t>
      </w:r>
    </w:p>
    <w:p w14:paraId="277CBF2F" w14:textId="77777777" w:rsidR="002F1CB8" w:rsidRPr="00FE1D64" w:rsidRDefault="00000000" w:rsidP="00433EB6">
      <w:pPr>
        <w:pStyle w:val="Heading3"/>
        <w:jc w:val="both"/>
        <w:rPr>
          <w:rFonts w:ascii="Times New Roman" w:hAnsi="Times New Roman" w:cs="Times New Roman"/>
          <w:b/>
          <w:bCs/>
          <w:color w:val="auto"/>
        </w:rPr>
      </w:pPr>
      <w:bookmarkStart w:id="8" w:name="vanilla-rnn"/>
      <w:r w:rsidRPr="00FE1D64">
        <w:rPr>
          <w:rFonts w:ascii="Times New Roman" w:hAnsi="Times New Roman" w:cs="Times New Roman"/>
          <w:b/>
          <w:bCs/>
          <w:color w:val="auto"/>
        </w:rPr>
        <w:t>3.1 Vanilla RNN</w:t>
      </w:r>
    </w:p>
    <w:p w14:paraId="77BF315B"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The baseline recurrent unit updates its hidden state according to:</w:t>
      </w:r>
    </w:p>
    <w:p w14:paraId="41E52EF8" w14:textId="6993A1DD" w:rsidR="00433EB6" w:rsidRDefault="00433EB6" w:rsidP="00433EB6">
      <w:pPr>
        <w:pStyle w:val="BodyText"/>
        <w:jc w:val="center"/>
        <w:rPr>
          <w:rFonts w:ascii="Times New Roman" w:hAnsi="Times New Roman" w:cs="Times New Roman"/>
          <w:lang w:val="de-DE"/>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+b)</m:t>
          </m:r>
        </m:oMath>
      </m:oMathPara>
    </w:p>
    <w:p w14:paraId="23E74496" w14:textId="046F6E40"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where </w:t>
      </w:r>
      <w:r w:rsidRPr="00433EB6">
        <w:rPr>
          <w:rFonts w:ascii="Times New Roman" w:hAnsi="Times New Roman" w:cs="Times New Roman"/>
          <w:i/>
          <w:iCs/>
        </w:rPr>
        <w:t>h_t</w:t>
      </w:r>
      <w:r w:rsidRPr="00433EB6">
        <w:rPr>
          <w:rFonts w:ascii="Times New Roman" w:hAnsi="Times New Roman" w:cs="Times New Roman"/>
        </w:rPr>
        <w:t xml:space="preserve"> is the hidden state, </w:t>
      </w:r>
      <w:r w:rsidRPr="00433EB6">
        <w:rPr>
          <w:rFonts w:ascii="Times New Roman" w:hAnsi="Times New Roman" w:cs="Times New Roman"/>
          <w:i/>
          <w:iCs/>
        </w:rPr>
        <w:t>x_t</w:t>
      </w:r>
      <w:r w:rsidRPr="00433EB6">
        <w:rPr>
          <w:rFonts w:ascii="Times New Roman" w:hAnsi="Times New Roman" w:cs="Times New Roman"/>
        </w:rPr>
        <w:t xml:space="preserve"> the input at time </w:t>
      </w:r>
      <w:r w:rsidRPr="00433EB6">
        <w:rPr>
          <w:rFonts w:ascii="Times New Roman" w:hAnsi="Times New Roman" w:cs="Times New Roman"/>
          <w:i/>
          <w:iCs/>
        </w:rPr>
        <w:t>t</w:t>
      </w:r>
      <w:r w:rsidRPr="00433EB6">
        <w:rPr>
          <w:rFonts w:ascii="Times New Roman" w:hAnsi="Times New Roman" w:cs="Times New Roman"/>
        </w:rPr>
        <w:t xml:space="preserve">, and </w:t>
      </w:r>
      <w:r w:rsidRPr="00433EB6">
        <w:rPr>
          <w:rFonts w:ascii="Times New Roman" w:hAnsi="Times New Roman" w:cs="Times New Roman"/>
          <w:i/>
          <w:iCs/>
        </w:rPr>
        <w:t>W_h</w:t>
      </w:r>
      <w:r w:rsidRPr="00433EB6">
        <w:rPr>
          <w:rFonts w:ascii="Times New Roman" w:hAnsi="Times New Roman" w:cs="Times New Roman"/>
        </w:rPr>
        <w:t xml:space="preserve">, </w:t>
      </w:r>
      <w:r w:rsidRPr="00433EB6">
        <w:rPr>
          <w:rFonts w:ascii="Times New Roman" w:hAnsi="Times New Roman" w:cs="Times New Roman"/>
          <w:i/>
          <w:iCs/>
        </w:rPr>
        <w:t>W_x</w:t>
      </w:r>
      <w:r w:rsidRPr="00433EB6">
        <w:rPr>
          <w:rFonts w:ascii="Times New Roman" w:hAnsi="Times New Roman" w:cs="Times New Roman"/>
        </w:rPr>
        <w:t xml:space="preserve">, </w:t>
      </w:r>
      <w:r w:rsidRPr="00433EB6">
        <w:rPr>
          <w:rFonts w:ascii="Times New Roman" w:hAnsi="Times New Roman" w:cs="Times New Roman"/>
          <w:i/>
          <w:iCs/>
        </w:rPr>
        <w:t>b</w:t>
      </w:r>
      <w:r w:rsidRPr="00433EB6">
        <w:rPr>
          <w:rFonts w:ascii="Times New Roman" w:hAnsi="Times New Roman" w:cs="Times New Roman"/>
        </w:rPr>
        <w:t xml:space="preserve"> learnable parameters. The implementation stacks two </w:t>
      </w:r>
      <w:r w:rsidRPr="00433EB6">
        <w:rPr>
          <w:rStyle w:val="VerbatimChar"/>
          <w:rFonts w:ascii="Times New Roman" w:hAnsi="Times New Roman" w:cs="Times New Roman"/>
        </w:rPr>
        <w:t>SimpleRNN</w:t>
      </w:r>
      <w:r w:rsidRPr="00433EB6">
        <w:rPr>
          <w:rFonts w:ascii="Times New Roman" w:hAnsi="Times New Roman" w:cs="Times New Roman"/>
        </w:rPr>
        <w:t xml:space="preserve"> layers (64 and 32 units) with dropout and dense readout, totalling </w:t>
      </w:r>
      <w:r w:rsidRPr="00433EB6">
        <w:rPr>
          <w:rFonts w:ascii="Times New Roman" w:hAnsi="Times New Roman" w:cs="Times New Roman"/>
          <w:b/>
          <w:bCs/>
        </w:rPr>
        <w:t>13,665 parameters</w:t>
      </w:r>
      <w:r w:rsidRPr="00433EB6">
        <w:rPr>
          <w:rFonts w:ascii="Times New Roman" w:hAnsi="Times New Roman" w:cs="Times New Roman"/>
        </w:rPr>
        <w:t>.</w:t>
      </w:r>
    </w:p>
    <w:p w14:paraId="7A3F0615" w14:textId="4E12100F"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Vanilla RNNs suffer from the vanishing-gradient problem: during backpropagation through time, gradients shrink exponentially for long sequences, limiting the effective memory horizon. Despite this theoretical weakness, the low parameter count yields a favourable parameter-to-sample ratio of approximately 8:1 (13,665 / 1,700), which proved advantageous for generalisation in Phase 1.</w:t>
      </w:r>
    </w:p>
    <w:p w14:paraId="5ED93A6E" w14:textId="77777777" w:rsidR="002F1CB8" w:rsidRPr="00FE1D64" w:rsidRDefault="00000000" w:rsidP="00433EB6">
      <w:pPr>
        <w:pStyle w:val="Heading3"/>
        <w:jc w:val="both"/>
        <w:rPr>
          <w:rFonts w:ascii="Times New Roman" w:hAnsi="Times New Roman" w:cs="Times New Roman"/>
          <w:b/>
          <w:bCs/>
          <w:color w:val="auto"/>
        </w:rPr>
      </w:pPr>
      <w:bookmarkStart w:id="9" w:name="stacked-lstm"/>
      <w:bookmarkEnd w:id="8"/>
      <w:r w:rsidRPr="00FE1D64">
        <w:rPr>
          <w:rFonts w:ascii="Times New Roman" w:hAnsi="Times New Roman" w:cs="Times New Roman"/>
          <w:b/>
          <w:bCs/>
          <w:color w:val="auto"/>
        </w:rPr>
        <w:t>3.2 Stacked LSTM</w:t>
      </w:r>
    </w:p>
    <w:p w14:paraId="4EA36FE4"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The stacked LSTM replaces simple recurrence with gated memory cells. The four gate equations are:</w:t>
      </w:r>
    </w:p>
    <w:p w14:paraId="6F08672D" w14:textId="025B62B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b/>
          <w:bCs/>
        </w:rPr>
        <w:t>Forget gate:</w:t>
      </w:r>
      <w:r w:rsidRPr="00433EB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p>
    <w:p w14:paraId="306B1206" w14:textId="5A6C34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b/>
          <w:bCs/>
        </w:rPr>
        <w:t>Input gate:</w:t>
      </w:r>
      <w:r w:rsidRPr="00433EB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p>
    <w:p w14:paraId="59BAFE6C" w14:textId="7687C9C3" w:rsidR="00FE1D64" w:rsidRPr="00FE1D64" w:rsidRDefault="00000000" w:rsidP="00433EB6">
      <w:pPr>
        <w:pStyle w:val="BodyText"/>
        <w:jc w:val="both"/>
        <w:rPr>
          <w:rFonts w:ascii="Times New Roman" w:hAnsi="Times New Roman" w:cs="Times New Roman"/>
        </w:rPr>
      </w:pPr>
      <w:r w:rsidRPr="00FE1D64">
        <w:rPr>
          <w:rFonts w:ascii="Times New Roman" w:hAnsi="Times New Roman" w:cs="Times New Roman"/>
          <w:b/>
          <w:bCs/>
          <w:lang w:val="en-MY"/>
        </w:rPr>
        <w:lastRenderedPageBreak/>
        <w:t>Cell state:</w:t>
      </w:r>
      <w:r w:rsidRPr="00FE1D64">
        <w:rPr>
          <w:rFonts w:ascii="Times New Roman" w:hAnsi="Times New Roman" w:cs="Times New Roman"/>
          <w:lang w:val="en-MY"/>
        </w:rPr>
        <w:t xml:space="preserve"> </w:t>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sidR="00FE1D64">
        <w:rPr>
          <w:rFonts w:ascii="Times New Roman" w:hAnsi="Times New Roman" w:cs="Times New Roman"/>
        </w:rPr>
        <w:t xml:space="preserve"> |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oMath>
    </w:p>
    <w:p w14:paraId="767D43C8" w14:textId="13A2D10D" w:rsidR="002F1CB8" w:rsidRPr="00433EB6" w:rsidRDefault="00000000" w:rsidP="00433EB6">
      <w:pPr>
        <w:pStyle w:val="BodyText"/>
        <w:jc w:val="both"/>
        <w:rPr>
          <w:rFonts w:ascii="Times New Roman" w:hAnsi="Times New Roman" w:cs="Times New Roman"/>
          <w:lang w:val="de-DE"/>
        </w:rPr>
      </w:pPr>
      <w:r w:rsidRPr="00433EB6">
        <w:rPr>
          <w:rFonts w:ascii="Times New Roman" w:hAnsi="Times New Roman" w:cs="Times New Roman"/>
          <w:b/>
          <w:bCs/>
          <w:lang w:val="de-DE"/>
        </w:rPr>
        <w:t>Output gate:</w:t>
      </w:r>
      <w:r w:rsidRPr="00433EB6">
        <w:rPr>
          <w:rFonts w:ascii="Times New Roman" w:hAnsi="Times New Roman" w:cs="Times New Roman"/>
          <w:lang w:val="de-DE"/>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e>
        </m:d>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p>
    <w:p w14:paraId="3E9E3D94"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The Phase 1 architecture comprises two LSTM layers (128 and 64 units) with </w:t>
      </w:r>
      <w:r w:rsidRPr="00433EB6">
        <w:rPr>
          <w:rFonts w:ascii="Times New Roman" w:hAnsi="Times New Roman" w:cs="Times New Roman"/>
          <w:b/>
          <w:bCs/>
        </w:rPr>
        <w:t>BatchNorm</w:t>
      </w:r>
      <w:r w:rsidRPr="00433EB6">
        <w:rPr>
          <w:rFonts w:ascii="Times New Roman" w:hAnsi="Times New Roman" w:cs="Times New Roman"/>
        </w:rPr>
        <w:t xml:space="preserve"> applied after each layer, followed by dense layers. Total parameters: </w:t>
      </w:r>
      <w:r w:rsidRPr="00433EB6">
        <w:rPr>
          <w:rFonts w:ascii="Times New Roman" w:hAnsi="Times New Roman" w:cs="Times New Roman"/>
          <w:b/>
          <w:bCs/>
        </w:rPr>
        <w:t>119,745</w:t>
      </w:r>
      <w:r w:rsidRPr="00433EB6">
        <w:rPr>
          <w:rFonts w:ascii="Times New Roman" w:hAnsi="Times New Roman" w:cs="Times New Roman"/>
        </w:rPr>
        <w:t xml:space="preserve"> (≈70 per training sample).</w:t>
      </w:r>
    </w:p>
    <w:p w14:paraId="57AD1C39" w14:textId="6E06C110"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BatchNorm normalises activations using running mean and variance accumulated during training. When the validation and test distributions shift</w:t>
      </w:r>
      <w:r w:rsidR="00433EB6" w:rsidRPr="00433EB6">
        <w:rPr>
          <w:rFonts w:ascii="Times New Roman" w:hAnsi="Times New Roman" w:cs="Times New Roman"/>
        </w:rPr>
        <w:t xml:space="preserve"> </w:t>
      </w:r>
      <w:r w:rsidRPr="00433EB6">
        <w:rPr>
          <w:rFonts w:ascii="Times New Roman" w:hAnsi="Times New Roman" w:cs="Times New Roman"/>
        </w:rPr>
        <w:t>as occurred when 2022 inflation and rate hikes altered volatility and price levels</w:t>
      </w:r>
      <w:r w:rsidR="00433EB6" w:rsidRPr="00433EB6">
        <w:rPr>
          <w:rFonts w:ascii="Times New Roman" w:hAnsi="Times New Roman" w:cs="Times New Roman"/>
        </w:rPr>
        <w:t xml:space="preserve"> </w:t>
      </w:r>
      <w:r w:rsidRPr="00433EB6">
        <w:rPr>
          <w:rFonts w:ascii="Times New Roman" w:hAnsi="Times New Roman" w:cs="Times New Roman"/>
        </w:rPr>
        <w:t xml:space="preserve">BatchNorm layers continued to apply statistics calibrated on the 2015–2021 bull market. This </w:t>
      </w:r>
      <w:r w:rsidRPr="00433EB6">
        <w:rPr>
          <w:rFonts w:ascii="Times New Roman" w:hAnsi="Times New Roman" w:cs="Times New Roman"/>
          <w:b/>
          <w:bCs/>
        </w:rPr>
        <w:t>regime-shift failure</w:t>
      </w:r>
      <w:r w:rsidRPr="00433EB6">
        <w:rPr>
          <w:rFonts w:ascii="Times New Roman" w:hAnsi="Times New Roman" w:cs="Times New Roman"/>
        </w:rPr>
        <w:t xml:space="preserve"> manifests as catastrophic validation-loss spikes during training (see Section 4.3) and severely degraded test-set R² for several tickers (e.g., StackedLSTM AAPL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=-3.58</m:t>
        </m:r>
      </m:oMath>
      <w:r w:rsidRPr="00433EB6">
        <w:rPr>
          <w:rFonts w:ascii="Times New Roman" w:hAnsi="Times New Roman" w:cs="Times New Roman"/>
        </w:rPr>
        <w:t>).</w:t>
      </w:r>
    </w:p>
    <w:p w14:paraId="27209F29" w14:textId="77777777" w:rsidR="002F1CB8" w:rsidRPr="00FE1D64" w:rsidRDefault="00000000" w:rsidP="00433EB6">
      <w:pPr>
        <w:pStyle w:val="Heading3"/>
        <w:jc w:val="both"/>
        <w:rPr>
          <w:rFonts w:ascii="Times New Roman" w:hAnsi="Times New Roman" w:cs="Times New Roman"/>
          <w:b/>
          <w:bCs/>
          <w:color w:val="auto"/>
        </w:rPr>
      </w:pPr>
      <w:bookmarkStart w:id="10" w:name="stacked-gru"/>
      <w:bookmarkEnd w:id="9"/>
      <w:r w:rsidRPr="00FE1D64">
        <w:rPr>
          <w:rFonts w:ascii="Times New Roman" w:hAnsi="Times New Roman" w:cs="Times New Roman"/>
          <w:b/>
          <w:bCs/>
          <w:color w:val="auto"/>
        </w:rPr>
        <w:t>3.3 Stacked GRU</w:t>
      </w:r>
    </w:p>
    <w:p w14:paraId="2986A350"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The GRU simplifies LSTM gating with two equations:</w:t>
      </w:r>
    </w:p>
    <w:p w14:paraId="2D340F7A" w14:textId="0EF08F9B" w:rsidR="002F1CB8" w:rsidRPr="00433EB6" w:rsidRDefault="00000000" w:rsidP="00433EB6">
      <w:pPr>
        <w:pStyle w:val="BodyText"/>
        <w:jc w:val="both"/>
        <w:rPr>
          <w:rFonts w:ascii="Times New Roman" w:hAnsi="Times New Roman" w:cs="Times New Roman"/>
          <w:lang w:val="de-DE"/>
        </w:rPr>
      </w:pPr>
      <w:r w:rsidRPr="00433EB6">
        <w:rPr>
          <w:rFonts w:ascii="Times New Roman" w:hAnsi="Times New Roman" w:cs="Times New Roman"/>
          <w:b/>
          <w:bCs/>
          <w:lang w:val="de-DE"/>
        </w:rPr>
        <w:t>Update gate:</w:t>
      </w:r>
      <w:r w:rsidRPr="00433EB6">
        <w:rPr>
          <w:rFonts w:ascii="Times New Roman" w:hAnsi="Times New Roman" w:cs="Times New Roman"/>
          <w:lang w:val="de-DE"/>
        </w:rPr>
        <w:t xml:space="preserv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z</m:t>
            </m:r>
          </m:sub>
        </m:sSub>
        <m:r>
          <w:rPr>
            <w:rFonts w:ascii="Cambria Math" w:hAnsi="Cambria Math" w:cs="Times New Roman"/>
          </w:rPr>
          <m:t>)</m:t>
        </m:r>
      </m:oMath>
    </w:p>
    <w:p w14:paraId="7DA82E17" w14:textId="77777777" w:rsidR="00FE1D64" w:rsidRPr="00FE1D64" w:rsidRDefault="00000000" w:rsidP="00433EB6">
      <w:pPr>
        <w:pStyle w:val="BodyText"/>
        <w:jc w:val="both"/>
        <w:rPr>
          <w:rFonts w:ascii="Times New Roman" w:hAnsi="Times New Roman" w:cs="Times New Roman"/>
        </w:rPr>
      </w:pPr>
      <w:r w:rsidRPr="00433EB6">
        <w:rPr>
          <w:rFonts w:ascii="Times New Roman" w:hAnsi="Times New Roman" w:cs="Times New Roman"/>
          <w:b/>
          <w:bCs/>
          <w:lang w:val="de-DE"/>
        </w:rPr>
        <w:t>Reset gate:</w:t>
      </w:r>
      <w:r w:rsidRPr="00433EB6">
        <w:rPr>
          <w:rFonts w:ascii="Times New Roman" w:hAnsi="Times New Roman" w:cs="Times New Roman"/>
          <w:lang w:val="de-DE"/>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r</m:t>
                </m:r>
              </m:sub>
            </m:sSub>
          </m:e>
        </m:d>
      </m:oMath>
    </w:p>
    <w:p w14:paraId="414285E0" w14:textId="2C1C095D" w:rsidR="002F1CB8" w:rsidRDefault="00FE1D64" w:rsidP="00433EB6">
      <w:pPr>
        <w:pStyle w:val="BodyText"/>
        <w:jc w:val="both"/>
        <w:rPr>
          <w:rFonts w:ascii="Times New Roman" w:hAnsi="Times New Roman" w:cs="Times New Roman"/>
          <w:i/>
        </w:rPr>
      </w:pPr>
      <w:r>
        <w:rPr>
          <w:rFonts w:ascii="Times New Roman" w:hAnsi="Times New Roman" w:cs="Times New Roman"/>
          <w:b/>
          <w:bCs/>
          <w:lang w:val="de-DE"/>
        </w:rPr>
        <w:t xml:space="preserve">Hidden state proposal: </w:t>
      </w:r>
      <w:r w:rsidR="00000000" w:rsidRPr="00433EB6">
        <w:rPr>
          <w:rFonts w:ascii="Times New Roman" w:hAnsi="Times New Roman" w:cs="Times New Roman"/>
          <w:i/>
          <w:iCs/>
          <w:lang w:val="de-DE"/>
        </w:rPr>
        <w:t xml:space="preserve"> </w:t>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h</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h</m:t>
            </m:r>
          </m:sub>
        </m:sSub>
        <m:r>
          <w:rPr>
            <w:rFonts w:ascii="Cambria Math" w:hAnsi="Cambria Math" w:cs="Times New Roman"/>
          </w:rPr>
          <m:t>)</m:t>
        </m:r>
      </m:oMath>
    </w:p>
    <w:p w14:paraId="74561BBB" w14:textId="2530AC49" w:rsidR="00FE1D64" w:rsidRPr="00FE1D64" w:rsidRDefault="00FE1D64" w:rsidP="00433EB6">
      <w:pPr>
        <w:pStyle w:val="BodyText"/>
        <w:jc w:val="both"/>
        <w:rPr>
          <w:rFonts w:ascii="Times New Roman" w:hAnsi="Times New Roman" w:cs="Times New Roman"/>
          <w:b/>
          <w:bCs/>
          <w:iCs/>
          <w:lang w:val="en-MY"/>
        </w:rPr>
      </w:pPr>
      <w:r>
        <w:rPr>
          <w:rFonts w:ascii="Times New Roman" w:hAnsi="Times New Roman" w:cs="Times New Roman"/>
          <w:b/>
          <w:bCs/>
          <w:iCs/>
        </w:rPr>
        <w:t xml:space="preserve">Final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h</m:t>
                </m:r>
              </m:e>
              <m:lim>
                <m:r>
                  <w:rPr>
                    <w:rFonts w:ascii="Cambria Math" w:hAnsi="Cambria Math" w:cs="Times New Roman"/>
                  </w:rPr>
                  <m:t>~</m:t>
                </m:r>
              </m:lim>
            </m:limUpp>
          </m:e>
          <m:sub>
            <m:r>
              <w:rPr>
                <w:rFonts w:ascii="Cambria Math" w:hAnsi="Cambria Math" w:cs="Times New Roman"/>
              </w:rPr>
              <m:t>t</m:t>
            </m:r>
          </m:sub>
        </m:sSub>
      </m:oMath>
    </w:p>
    <w:p w14:paraId="3016B1F3" w14:textId="0ADE0264"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The implementation mirrors the LSTM stack (128/64 units, BatchNorm, dropout) with </w:t>
      </w:r>
      <w:r w:rsidRPr="00433EB6">
        <w:rPr>
          <w:rFonts w:ascii="Times New Roman" w:hAnsi="Times New Roman" w:cs="Times New Roman"/>
          <w:b/>
          <w:bCs/>
        </w:rPr>
        <w:t>90,049 parameters</w:t>
      </w:r>
      <w:r w:rsidRPr="00433EB6">
        <w:rPr>
          <w:rFonts w:ascii="Times New Roman" w:hAnsi="Times New Roman" w:cs="Times New Roman"/>
        </w:rPr>
        <w:t>. GRU exhibited intermediate performance</w:t>
      </w:r>
      <w:r w:rsidR="00433EB6" w:rsidRPr="00433EB6">
        <w:rPr>
          <w:rFonts w:ascii="Times New Roman" w:hAnsi="Times New Roman" w:cs="Times New Roman"/>
        </w:rPr>
        <w:t xml:space="preserve"> </w:t>
      </w:r>
      <w:r w:rsidRPr="00433EB6">
        <w:rPr>
          <w:rFonts w:ascii="Times New Roman" w:hAnsi="Times New Roman" w:cs="Times New Roman"/>
        </w:rPr>
        <w:t>outperforming LSTM on AAPL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oMath>
      <w:r w:rsidR="00FE1D64">
        <w:rPr>
          <w:rFonts w:ascii="Times New Roman" w:hAnsi="Times New Roman" w:cs="Times New Roman"/>
        </w:rPr>
        <w:t xml:space="preserve"> 0.8568</w:t>
      </w:r>
      <w:r w:rsidRPr="00433EB6">
        <w:rPr>
          <w:rFonts w:ascii="Times New Roman" w:hAnsi="Times New Roman" w:cs="Times New Roman"/>
        </w:rPr>
        <w:t xml:space="preserve"> vs. −3.58) but underperforming on META (RMSE $184.76).</w:t>
      </w:r>
    </w:p>
    <w:p w14:paraId="71B58D5E" w14:textId="77777777" w:rsidR="002F1CB8" w:rsidRPr="005237BB" w:rsidRDefault="00000000" w:rsidP="00433EB6">
      <w:pPr>
        <w:pStyle w:val="Heading3"/>
        <w:jc w:val="both"/>
        <w:rPr>
          <w:rFonts w:ascii="Times New Roman" w:hAnsi="Times New Roman" w:cs="Times New Roman"/>
          <w:b/>
          <w:bCs/>
          <w:color w:val="auto"/>
        </w:rPr>
      </w:pPr>
      <w:bookmarkStart w:id="11" w:name="slimlstm-phase-2"/>
      <w:bookmarkEnd w:id="10"/>
      <w:r w:rsidRPr="005237BB">
        <w:rPr>
          <w:rFonts w:ascii="Times New Roman" w:hAnsi="Times New Roman" w:cs="Times New Roman"/>
          <w:b/>
          <w:bCs/>
          <w:color w:val="auto"/>
        </w:rPr>
        <w:t>3.4 SlimLSTM (Phase 2)</w:t>
      </w:r>
    </w:p>
    <w:p w14:paraId="5CFD4409"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SlimLSTM replaces BatchNorm with </w:t>
      </w:r>
      <w:r w:rsidRPr="00433EB6">
        <w:rPr>
          <w:rFonts w:ascii="Times New Roman" w:hAnsi="Times New Roman" w:cs="Times New Roman"/>
          <w:b/>
          <w:bCs/>
        </w:rPr>
        <w:t>LayerNorm</w:t>
      </w:r>
      <w:r w:rsidRPr="00433EB6">
        <w:rPr>
          <w:rFonts w:ascii="Times New Roman" w:hAnsi="Times New Roman" w:cs="Times New Roman"/>
        </w:rPr>
        <w:t xml:space="preserve">, which normalises across features within each sample rather than across the batch dimension. Because statistics are computed per sequence at inference time, LayerNorm is robust to distributional shift between training and deployment regimes. The architecture uses two LSTM layers (64/32 units) with a critical fix: the second LSTM processes the </w:t>
      </w:r>
      <w:r w:rsidRPr="00433EB6">
        <w:rPr>
          <w:rFonts w:ascii="Times New Roman" w:hAnsi="Times New Roman" w:cs="Times New Roman"/>
          <w:b/>
          <w:bCs/>
        </w:rPr>
        <w:t>full sequence output</w:t>
      </w:r>
      <w:r w:rsidRPr="00433EB6">
        <w:rPr>
          <w:rFonts w:ascii="Times New Roman" w:hAnsi="Times New Roman" w:cs="Times New Roman"/>
        </w:rPr>
        <w:t xml:space="preserve"> of the first layer before selecting the final timestep, preserving temporal context. Parameter count: </w:t>
      </w:r>
      <w:r w:rsidRPr="00433EB6">
        <w:rPr>
          <w:rFonts w:ascii="Times New Roman" w:hAnsi="Times New Roman" w:cs="Times New Roman"/>
          <w:b/>
          <w:bCs/>
        </w:rPr>
        <w:t>30,433</w:t>
      </w:r>
      <w:r w:rsidRPr="00433EB6">
        <w:rPr>
          <w:rFonts w:ascii="Times New Roman" w:hAnsi="Times New Roman" w:cs="Times New Roman"/>
        </w:rPr>
        <w:t>.</w:t>
      </w:r>
    </w:p>
    <w:p w14:paraId="7B27F4E4" w14:textId="15E6BE1A"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SlimLSTM point forecasts were mixed</w:t>
      </w:r>
      <w:r w:rsidR="00433EB6" w:rsidRPr="00433EB6">
        <w:rPr>
          <w:rFonts w:ascii="Times New Roman" w:hAnsi="Times New Roman" w:cs="Times New Roman"/>
        </w:rPr>
        <w:t xml:space="preserve"> </w:t>
      </w:r>
      <w:r w:rsidRPr="00433EB6">
        <w:rPr>
          <w:rFonts w:ascii="Times New Roman" w:hAnsi="Times New Roman" w:cs="Times New Roman"/>
        </w:rPr>
        <w:t xml:space="preserve">strong on AMZN (R² 0.784, RMSE $14.86) and TSLA (R² </w:t>
      </w:r>
      <w:r w:rsidR="005237BB">
        <w:rPr>
          <w:rFonts w:ascii="Times New Roman" w:hAnsi="Times New Roman" w:cs="Times New Roman"/>
        </w:rPr>
        <w:t xml:space="preserve">= </w:t>
      </w:r>
      <w:r w:rsidRPr="00433EB6">
        <w:rPr>
          <w:rFonts w:ascii="Times New Roman" w:hAnsi="Times New Roman" w:cs="Times New Roman"/>
        </w:rPr>
        <w:t xml:space="preserve">0.830, RMSE </w:t>
      </w:r>
      <w:r w:rsidR="005237BB">
        <w:rPr>
          <w:rFonts w:ascii="Times New Roman" w:hAnsi="Times New Roman" w:cs="Times New Roman"/>
        </w:rPr>
        <w:t xml:space="preserve">= </w:t>
      </w:r>
      <w:r w:rsidRPr="00433EB6">
        <w:rPr>
          <w:rFonts w:ascii="Times New Roman" w:hAnsi="Times New Roman" w:cs="Times New Roman"/>
        </w:rPr>
        <w:t>$23.67) but poor on MSFT (R² −3.81, RMSE $107.99), suggesting ticker-specific sensitivity remains even after normalisation fixes.</w:t>
      </w:r>
    </w:p>
    <w:p w14:paraId="46EAD70C" w14:textId="77777777" w:rsidR="002F1CB8" w:rsidRPr="00FE1D64" w:rsidRDefault="00000000" w:rsidP="00433EB6">
      <w:pPr>
        <w:pStyle w:val="Heading3"/>
        <w:jc w:val="both"/>
        <w:rPr>
          <w:rFonts w:ascii="Times New Roman" w:hAnsi="Times New Roman" w:cs="Times New Roman"/>
          <w:b/>
          <w:bCs/>
          <w:color w:val="auto"/>
        </w:rPr>
      </w:pPr>
      <w:bookmarkStart w:id="12" w:name="quantilelstm-phase-2"/>
      <w:bookmarkEnd w:id="11"/>
      <w:r w:rsidRPr="00FE1D64">
        <w:rPr>
          <w:rFonts w:ascii="Times New Roman" w:hAnsi="Times New Roman" w:cs="Times New Roman"/>
          <w:b/>
          <w:bCs/>
          <w:color w:val="auto"/>
        </w:rPr>
        <w:t>3.5 QuantileLSTM (Phase 2)</w:t>
      </w:r>
    </w:p>
    <w:p w14:paraId="3A48C9E4"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QuantileLSTM extends SlimLSTM with three output heads predicting the 5th, 50th, and 95th percentiles simultaneously. Training minimises the pinball (quantile) loss:</w:t>
      </w:r>
    </w:p>
    <w:p w14:paraId="6B8BE03B" w14:textId="0A10C7F8" w:rsidR="002F1CB8" w:rsidRPr="00433EB6" w:rsidRDefault="005237BB" w:rsidP="005237BB">
      <w:pPr>
        <w:pStyle w:val="BodyTex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q</m:t>
              </m:r>
            </m:sub>
          </m:sSub>
          <m:r>
            <w:rPr>
              <w:rFonts w:ascii="Cambria Math" w:hAnsi="Cambria Math" w:cs="Times New Roman"/>
            </w:rPr>
            <m:t>(y,</m:t>
          </m:r>
          <m:limUpp>
            <m:limUppPr>
              <m:ctrlPr>
                <w:rPr>
                  <w:rFonts w:ascii="Cambria Math" w:hAnsi="Cambria Math" w:cs="Times New Roman"/>
                </w:rPr>
              </m:ctrlPr>
            </m:limUppPr>
            <m:e>
              <m:r>
                <w:rPr>
                  <w:rFonts w:ascii="Cambria Math" w:hAnsi="Cambria Math" w:cs="Times New Roman"/>
                </w:rPr>
                <m:t>y</m:t>
              </m:r>
            </m:e>
            <m:lim>
              <m:r>
                <w:rPr>
                  <w:rFonts w:ascii="Cambria Math" w:hAnsi="Cambria Math" w:cs="Times New Roman"/>
                </w:rPr>
                <m:t>^</m:t>
              </m:r>
            </m:lim>
          </m:limUpp>
          <m:r>
            <w:rPr>
              <w:rFonts w:ascii="Cambria Math" w:hAnsi="Cambria Math" w:cs="Times New Roman"/>
            </w:rPr>
            <m:t>)=</m:t>
          </m:r>
          <m:r>
            <m:rPr>
              <m:sty m:val="p"/>
            </m:rPr>
            <w:rPr>
              <w:rFonts w:ascii="Cambria Math" w:hAnsi="Cambria Math" w:cs="Times New Roman"/>
            </w:rPr>
            <m:t>max</m:t>
          </m:r>
          <m:r>
            <w:rPr>
              <w:rFonts w:ascii="Cambria Math" w:hAnsi="Cambria Math" w:cs="Times New Roman"/>
            </w:rPr>
            <m:t>⁡(q(y-</m:t>
          </m:r>
          <m:limUpp>
            <m:limUppPr>
              <m:ctrlPr>
                <w:rPr>
                  <w:rFonts w:ascii="Cambria Math" w:hAnsi="Cambria Math" w:cs="Times New Roman"/>
                </w:rPr>
              </m:ctrlPr>
            </m:limUppPr>
            <m:e>
              <m:r>
                <w:rPr>
                  <w:rFonts w:ascii="Cambria Math" w:hAnsi="Cambria Math" w:cs="Times New Roman"/>
                </w:rPr>
                <m:t>y</m:t>
              </m:r>
            </m:e>
            <m:lim>
              <m:r>
                <w:rPr>
                  <w:rFonts w:ascii="Cambria Math" w:hAnsi="Cambria Math" w:cs="Times New Roman"/>
                </w:rPr>
                <m:t>^</m:t>
              </m:r>
            </m:lim>
          </m:limUpp>
          <m:r>
            <w:rPr>
              <w:rFonts w:ascii="Cambria Math" w:hAnsi="Cambria Math" w:cs="Times New Roman"/>
            </w:rPr>
            <m:t>),(q-1)(y-</m:t>
          </m:r>
          <m:limUpp>
            <m:limUppPr>
              <m:ctrlPr>
                <w:rPr>
                  <w:rFonts w:ascii="Cambria Math" w:hAnsi="Cambria Math" w:cs="Times New Roman"/>
                </w:rPr>
              </m:ctrlPr>
            </m:limUppPr>
            <m:e>
              <m:r>
                <w:rPr>
                  <w:rFonts w:ascii="Cambria Math" w:hAnsi="Cambria Math" w:cs="Times New Roman"/>
                </w:rPr>
                <m:t>y</m:t>
              </m:r>
            </m:e>
            <m:lim>
              <m:r>
                <w:rPr>
                  <w:rFonts w:ascii="Cambria Math" w:hAnsi="Cambria Math" w:cs="Times New Roman"/>
                </w:rPr>
                <m:t>^</m:t>
              </m:r>
            </m:lim>
          </m:limUpp>
          <m:r>
            <w:rPr>
              <w:rFonts w:ascii="Cambria Math" w:hAnsi="Cambria Math" w:cs="Times New Roman"/>
            </w:rPr>
            <m:t>))</m:t>
          </m:r>
        </m:oMath>
      </m:oMathPara>
    </w:p>
    <w:p w14:paraId="7026311D" w14:textId="37F3BBF0"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lastRenderedPageBreak/>
        <w:t xml:space="preserve">for quantile level </w:t>
      </w:r>
      <w:r w:rsidRPr="00433EB6">
        <w:rPr>
          <w:rFonts w:ascii="Times New Roman" w:hAnsi="Times New Roman" w:cs="Times New Roman"/>
          <w:i/>
          <w:iCs/>
        </w:rPr>
        <w:t>q</w:t>
      </w:r>
      <w:r w:rsidRPr="00433EB6">
        <w:rPr>
          <w:rFonts w:ascii="Times New Roman" w:hAnsi="Times New Roman" w:cs="Times New Roman"/>
        </w:rPr>
        <w:t xml:space="preserve"> </w:t>
      </w:r>
      <w:r w:rsidRPr="00433EB6">
        <w:rPr>
          <w:rFonts w:ascii="Cambria Math" w:hAnsi="Cambria Math" w:cs="Cambria Math"/>
        </w:rPr>
        <w:t>∈</w:t>
      </w:r>
      <w:r w:rsidRPr="00433EB6">
        <w:rPr>
          <w:rFonts w:ascii="Times New Roman" w:hAnsi="Times New Roman" w:cs="Times New Roman"/>
        </w:rPr>
        <w:t xml:space="preserve"> {0.05, 0.50, </w:t>
      </w:r>
      <w:r w:rsidR="005237BB" w:rsidRPr="00433EB6">
        <w:rPr>
          <w:rFonts w:ascii="Times New Roman" w:hAnsi="Times New Roman" w:cs="Times New Roman"/>
        </w:rPr>
        <w:t>0.95</w:t>
      </w:r>
      <w:r w:rsidR="005237BB">
        <w:rPr>
          <w:rFonts w:ascii="Times New Roman" w:hAnsi="Times New Roman" w:cs="Times New Roman"/>
        </w:rPr>
        <w:t>}</w:t>
      </w:r>
      <w:r w:rsidR="005237BB" w:rsidRPr="00433EB6">
        <w:rPr>
          <w:rFonts w:ascii="Times New Roman" w:hAnsi="Times New Roman" w:cs="Times New Roman"/>
        </w:rPr>
        <w:t>.</w:t>
      </w:r>
      <w:r w:rsidRPr="00433EB6">
        <w:rPr>
          <w:rFonts w:ascii="Times New Roman" w:hAnsi="Times New Roman" w:cs="Times New Roman"/>
        </w:rPr>
        <w:t xml:space="preserve"> Parameters: </w:t>
      </w:r>
      <w:r w:rsidRPr="00433EB6">
        <w:rPr>
          <w:rFonts w:ascii="Times New Roman" w:hAnsi="Times New Roman" w:cs="Times New Roman"/>
          <w:b/>
          <w:bCs/>
        </w:rPr>
        <w:t>31,523</w:t>
      </w:r>
      <w:r w:rsidRPr="00433EB6">
        <w:rPr>
          <w:rFonts w:ascii="Times New Roman" w:hAnsi="Times New Roman" w:cs="Times New Roman"/>
        </w:rPr>
        <w:t xml:space="preserve">. Direct quantile optimisation avoids the Gaussian assumption implicit in MSE training and produces asymmetric intervals when the data </w:t>
      </w:r>
      <w:r w:rsidR="005237BB" w:rsidRPr="00433EB6">
        <w:rPr>
          <w:rFonts w:ascii="Times New Roman" w:hAnsi="Times New Roman" w:cs="Times New Roman"/>
        </w:rPr>
        <w:t>demands</w:t>
      </w:r>
      <w:r w:rsidRPr="00433EB6">
        <w:rPr>
          <w:rFonts w:ascii="Times New Roman" w:hAnsi="Times New Roman" w:cs="Times New Roman"/>
        </w:rPr>
        <w:t xml:space="preserve"> it. QuantileLSTM achieved the highest interval coverage on TSLA (96.8%) and AMD (90.1%), though interval widths were substantially wider than SlimLSTM + MC on AMZN.</w:t>
      </w:r>
    </w:p>
    <w:p w14:paraId="04372524" w14:textId="77777777" w:rsidR="002F1CB8" w:rsidRPr="00FE1D64" w:rsidRDefault="00000000" w:rsidP="00433EB6">
      <w:pPr>
        <w:pStyle w:val="Heading3"/>
        <w:jc w:val="both"/>
        <w:rPr>
          <w:rFonts w:ascii="Times New Roman" w:hAnsi="Times New Roman" w:cs="Times New Roman"/>
          <w:b/>
          <w:bCs/>
          <w:color w:val="auto"/>
        </w:rPr>
      </w:pPr>
      <w:bookmarkStart w:id="13" w:name="arima510-baseline"/>
      <w:bookmarkEnd w:id="12"/>
      <w:r w:rsidRPr="00FE1D64">
        <w:rPr>
          <w:rFonts w:ascii="Times New Roman" w:hAnsi="Times New Roman" w:cs="Times New Roman"/>
          <w:b/>
          <w:bCs/>
          <w:color w:val="auto"/>
        </w:rPr>
        <w:t>3.6 ARIMA(5,1,0) Baseline</w:t>
      </w:r>
    </w:p>
    <w:p w14:paraId="52989671"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The ARIMA baseline specifies an autoregressive order of 5, first differencing (</w:t>
      </w:r>
      <w:r w:rsidRPr="00433EB6">
        <w:rPr>
          <w:rFonts w:ascii="Times New Roman" w:hAnsi="Times New Roman" w:cs="Times New Roman"/>
          <w:i/>
          <w:iCs/>
        </w:rPr>
        <w:t>d</w:t>
      </w:r>
      <w:r w:rsidRPr="00433EB6">
        <w:rPr>
          <w:rFonts w:ascii="Times New Roman" w:hAnsi="Times New Roman" w:cs="Times New Roman"/>
        </w:rPr>
        <w:t xml:space="preserve"> = 1), and no moving-average term. The AR component models:</w:t>
      </w:r>
    </w:p>
    <w:p w14:paraId="1634777B" w14:textId="68768E6B" w:rsidR="005237BB" w:rsidRPr="005237BB" w:rsidRDefault="005237BB" w:rsidP="005237BB">
      <w:pPr>
        <w:pStyle w:val="BodyText"/>
        <w:jc w:val="center"/>
        <w:rPr>
          <w:rFonts w:ascii="Times New Roman" w:hAnsi="Times New Roman" w:cs="Times New Roman"/>
        </w:rPr>
      </w:pPr>
      <m:oMathPara>
        <m:oMath>
          <m:r>
            <w:rPr>
              <w:rFonts w:ascii="Cambria Math" w:hAnsi="Cambria Math" w:cs="Times New Roman"/>
            </w:rPr>
            <m:t>ϕ</m:t>
          </m:r>
          <m:d>
            <m:dPr>
              <m:ctrlPr>
                <w:rPr>
                  <w:rFonts w:ascii="Cambria Math" w:hAnsi="Cambria Math" w:cs="Times New Roman"/>
                  <w:i/>
                </w:rPr>
              </m:ctrlPr>
            </m:dPr>
            <m:e>
              <m:r>
                <w:rPr>
                  <w:rFonts w:ascii="Cambria Math" w:hAnsi="Cambria Math" w:cs="Times New Roman"/>
                </w:rPr>
                <m:t>B</m:t>
              </m:r>
            </m:e>
          </m:d>
          <m:d>
            <m:dPr>
              <m:ctrlPr>
                <w:rPr>
                  <w:rFonts w:ascii="Cambria Math" w:hAnsi="Cambria Math" w:cs="Times New Roman"/>
                  <w:i/>
                </w:rPr>
              </m:ctrlPr>
            </m:dPr>
            <m:e>
              <m:r>
                <w:rPr>
                  <w:rFonts w:ascii="Cambria Math" w:hAnsi="Cambria Math" w:cs="Times New Roman"/>
                </w:rPr>
                <m:t>1-B</m:t>
              </m:r>
            </m:e>
          </m:d>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oMath>
      </m:oMathPara>
    </w:p>
    <w:p w14:paraId="1067CE1F" w14:textId="40EA0EAC" w:rsidR="005237BB" w:rsidRPr="005237BB" w:rsidRDefault="005237BB" w:rsidP="005237BB">
      <w:pPr>
        <w:pStyle w:val="BodyText"/>
        <w:jc w:val="center"/>
        <w:rPr>
          <w:rFonts w:ascii="Times New Roman" w:hAnsi="Times New Roman" w:cs="Times New Roman"/>
        </w:rPr>
      </w:pPr>
      <m:oMathPara>
        <m:oMath>
          <m:r>
            <w:rPr>
              <w:rFonts w:ascii="Cambria Math" w:hAnsi="Cambria Math" w:cs="Times New Roman"/>
            </w:rPr>
            <m:t>ϕ(B)=1-</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1</m:t>
              </m:r>
            </m:sub>
          </m:sSub>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5</m:t>
              </m:r>
            </m:sub>
          </m:sSub>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5</m:t>
              </m:r>
            </m:sup>
          </m:sSup>
        </m:oMath>
      </m:oMathPara>
    </w:p>
    <w:p w14:paraId="4B67888F" w14:textId="5629A1E3"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First differencing enforces stationarity in the mean; raw equity prices are integrated of order one, and the Augmented Dickey–Fuller logic motivating </w:t>
      </w:r>
      <w:r w:rsidRPr="00433EB6">
        <w:rPr>
          <w:rFonts w:ascii="Times New Roman" w:hAnsi="Times New Roman" w:cs="Times New Roman"/>
          <w:i/>
          <w:iCs/>
        </w:rPr>
        <w:t>d</w:t>
      </w:r>
      <w:r w:rsidRPr="00433EB6">
        <w:rPr>
          <w:rFonts w:ascii="Times New Roman" w:hAnsi="Times New Roman" w:cs="Times New Roman"/>
        </w:rPr>
        <w:t xml:space="preserve"> = 1 is standard in financial time-series practice. Models were re-estimated via walk-forward validation: the training window expands quarterly, each fit produces one-step-ahead forecasts, and RMSE is aggregated per quarter. This methodology adapts ARIMA coefficients to evolving dynamics and provides a fair non-neural comparator that is not subject to neural-specific overfitting pathologies.</w:t>
      </w:r>
    </w:p>
    <w:p w14:paraId="5DEEBE3F"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7ACDB3FE">
          <v:rect id="_x0000_i1438" style="width:0;height:1.5pt" o:hralign="center" o:hrstd="t" o:hr="t"/>
        </w:pict>
      </w:r>
    </w:p>
    <w:p w14:paraId="2B057119" w14:textId="77777777" w:rsidR="002F1CB8" w:rsidRPr="00FE1D64" w:rsidRDefault="00000000" w:rsidP="00433EB6">
      <w:pPr>
        <w:pStyle w:val="Heading2"/>
        <w:jc w:val="both"/>
        <w:rPr>
          <w:rFonts w:ascii="Times New Roman" w:hAnsi="Times New Roman" w:cs="Times New Roman"/>
          <w:b/>
          <w:bCs/>
          <w:color w:val="auto"/>
        </w:rPr>
      </w:pPr>
      <w:bookmarkStart w:id="14" w:name="results-and-evaluation"/>
      <w:bookmarkEnd w:id="7"/>
      <w:bookmarkEnd w:id="13"/>
      <w:r w:rsidRPr="00FE1D64">
        <w:rPr>
          <w:rFonts w:ascii="Times New Roman" w:hAnsi="Times New Roman" w:cs="Times New Roman"/>
          <w:b/>
          <w:bCs/>
          <w:color w:val="auto"/>
        </w:rPr>
        <w:t>4. Results and Evaluation</w:t>
      </w:r>
    </w:p>
    <w:p w14:paraId="0AD08960" w14:textId="77777777" w:rsidR="002F1CB8" w:rsidRPr="00FE1D64" w:rsidRDefault="00000000" w:rsidP="00433EB6">
      <w:pPr>
        <w:pStyle w:val="Heading3"/>
        <w:jc w:val="both"/>
        <w:rPr>
          <w:rFonts w:ascii="Times New Roman" w:hAnsi="Times New Roman" w:cs="Times New Roman"/>
          <w:b/>
          <w:bCs/>
          <w:color w:val="auto"/>
        </w:rPr>
      </w:pPr>
      <w:bookmarkStart w:id="15" w:name="phase-1-point-prediction-results"/>
      <w:r w:rsidRPr="00FE1D64">
        <w:rPr>
          <w:rFonts w:ascii="Times New Roman" w:hAnsi="Times New Roman" w:cs="Times New Roman"/>
          <w:b/>
          <w:bCs/>
          <w:color w:val="auto"/>
        </w:rPr>
        <w:t>4.1 Phase 1 Point Prediction Results</w:t>
      </w:r>
    </w:p>
    <w:p w14:paraId="7D32F1AD"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Phase 1 aggregated results across ten tickers and four model families (VanillaRNN, StackedLSTM, StackedGRU, ARIMA) are visualised below.</w:t>
      </w:r>
    </w:p>
    <w:p w14:paraId="266E76D4" w14:textId="77777777" w:rsidR="002F1CB8" w:rsidRPr="00433EB6" w:rsidRDefault="00000000" w:rsidP="00FE1D64">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407F1574" wp14:editId="6666D87B">
            <wp:extent cx="5334000" cy="2667000"/>
            <wp:effectExtent l="0" t="0" r="0" b="0"/>
            <wp:docPr id="27" name="Picture" descr="Figure 2: RMSE Comparison by Ticker and Model"/>
            <wp:cNvGraphicFramePr/>
            <a:graphic xmlns:a="http://schemas.openxmlformats.org/drawingml/2006/main">
              <a:graphicData uri="http://schemas.openxmlformats.org/drawingml/2006/picture">
                <pic:pic xmlns:pic="http://schemas.openxmlformats.org/drawingml/2006/picture">
                  <pic:nvPicPr>
                    <pic:cNvPr id="28" name="Picture" descr="outputs/figures/10_rmse_comparison.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76D17BF4" w14:textId="77777777" w:rsidR="002F1CB8" w:rsidRPr="00433EB6" w:rsidRDefault="00000000" w:rsidP="00FE1D64">
      <w:pPr>
        <w:pStyle w:val="ImageCaption"/>
        <w:jc w:val="center"/>
        <w:rPr>
          <w:rFonts w:ascii="Times New Roman" w:hAnsi="Times New Roman" w:cs="Times New Roman"/>
        </w:rPr>
      </w:pPr>
      <w:r w:rsidRPr="00433EB6">
        <w:rPr>
          <w:rFonts w:ascii="Times New Roman" w:hAnsi="Times New Roman" w:cs="Times New Roman"/>
        </w:rPr>
        <w:t>Figure 2: RMSE Comparison by Ticker and Model</w:t>
      </w:r>
    </w:p>
    <w:p w14:paraId="5D8D30C8" w14:textId="77777777" w:rsidR="002F1CB8" w:rsidRPr="00433EB6" w:rsidRDefault="00000000" w:rsidP="00FE1D64">
      <w:pPr>
        <w:pStyle w:val="CaptionedFigure"/>
        <w:jc w:val="center"/>
        <w:rPr>
          <w:rFonts w:ascii="Times New Roman" w:hAnsi="Times New Roman" w:cs="Times New Roman"/>
        </w:rPr>
      </w:pPr>
      <w:r w:rsidRPr="00433EB6">
        <w:rPr>
          <w:rFonts w:ascii="Times New Roman" w:hAnsi="Times New Roman" w:cs="Times New Roman"/>
          <w:noProof/>
        </w:rPr>
        <w:lastRenderedPageBreak/>
        <w:drawing>
          <wp:inline distT="0" distB="0" distL="0" distR="0" wp14:anchorId="128BE29E" wp14:editId="489ED91A">
            <wp:extent cx="4773880" cy="2198749"/>
            <wp:effectExtent l="0" t="0" r="0" b="0"/>
            <wp:docPr id="30" name="Picture" descr="Figure 3: MAPE Heatmap"/>
            <wp:cNvGraphicFramePr/>
            <a:graphic xmlns:a="http://schemas.openxmlformats.org/drawingml/2006/main">
              <a:graphicData uri="http://schemas.openxmlformats.org/drawingml/2006/picture">
                <pic:pic xmlns:pic="http://schemas.openxmlformats.org/drawingml/2006/picture">
                  <pic:nvPicPr>
                    <pic:cNvPr id="31" name="Picture" descr="outputs/figures/11_mape_heatmap.png"/>
                    <pic:cNvPicPr>
                      <a:picLocks noChangeAspect="1" noChangeArrowheads="1"/>
                    </pic:cNvPicPr>
                  </pic:nvPicPr>
                  <pic:blipFill rotWithShape="1">
                    <a:blip r:embed="rId9"/>
                    <a:srcRect t="1068" r="10501"/>
                    <a:stretch>
                      <a:fillRect/>
                    </a:stretch>
                  </pic:blipFill>
                  <pic:spPr bwMode="auto">
                    <a:xfrm>
                      <a:off x="0" y="0"/>
                      <a:ext cx="4773880" cy="2198749"/>
                    </a:xfrm>
                    <a:prstGeom prst="rect">
                      <a:avLst/>
                    </a:prstGeom>
                    <a:noFill/>
                    <a:ln>
                      <a:noFill/>
                    </a:ln>
                    <a:extLst>
                      <a:ext uri="{53640926-AAD7-44D8-BBD7-CCE9431645EC}">
                        <a14:shadowObscured xmlns:a14="http://schemas.microsoft.com/office/drawing/2010/main"/>
                      </a:ext>
                    </a:extLst>
                  </pic:spPr>
                </pic:pic>
              </a:graphicData>
            </a:graphic>
          </wp:inline>
        </w:drawing>
      </w:r>
    </w:p>
    <w:p w14:paraId="0C954D4A" w14:textId="77777777" w:rsidR="002F1CB8" w:rsidRPr="00433EB6" w:rsidRDefault="00000000" w:rsidP="00FE1D64">
      <w:pPr>
        <w:pStyle w:val="ImageCaption"/>
        <w:jc w:val="center"/>
        <w:rPr>
          <w:rFonts w:ascii="Times New Roman" w:hAnsi="Times New Roman" w:cs="Times New Roman"/>
        </w:rPr>
      </w:pPr>
      <w:r w:rsidRPr="00433EB6">
        <w:rPr>
          <w:rFonts w:ascii="Times New Roman" w:hAnsi="Times New Roman" w:cs="Times New Roman"/>
        </w:rPr>
        <w:t>Figure 3: MAPE Heatmap</w:t>
      </w:r>
    </w:p>
    <w:p w14:paraId="56C2C12F"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Figure 2 reveals that StackedLSTM and StackedGRU exhibit extreme RMSE inflation on META, AVGO, and AAPL relative to VanillaRNN. Figure 3 confirms MAPE concentrations below 10% for the best model–ticker pairs (AMD, AMZN, GOOGL).</w:t>
      </w:r>
    </w:p>
    <w:p w14:paraId="087A15D9" w14:textId="77777777" w:rsidR="002F1CB8" w:rsidRPr="00433EB6" w:rsidRDefault="00000000" w:rsidP="00FE1D64">
      <w:pPr>
        <w:pStyle w:val="BodyText"/>
        <w:jc w:val="center"/>
        <w:rPr>
          <w:rFonts w:ascii="Times New Roman" w:hAnsi="Times New Roman" w:cs="Times New Roman"/>
        </w:rPr>
      </w:pPr>
      <w:r w:rsidRPr="00433EB6">
        <w:rPr>
          <w:rFonts w:ascii="Times New Roman" w:hAnsi="Times New Roman" w:cs="Times New Roman"/>
          <w:b/>
          <w:bCs/>
        </w:rPr>
        <w:t>Table 4.1: Top 10 best point predictions by R² (Phase 1 models only)</w:t>
      </w:r>
    </w:p>
    <w:tbl>
      <w:tblPr>
        <w:tblStyle w:val="Table"/>
        <w:tblW w:w="0" w:type="auto"/>
        <w:jc w:val="center"/>
        <w:tblLook w:val="0020" w:firstRow="1" w:lastRow="0" w:firstColumn="0" w:lastColumn="0" w:noHBand="0" w:noVBand="0"/>
      </w:tblPr>
      <w:tblGrid>
        <w:gridCol w:w="1616"/>
        <w:gridCol w:w="1056"/>
        <w:gridCol w:w="1210"/>
        <w:gridCol w:w="1303"/>
        <w:gridCol w:w="876"/>
        <w:gridCol w:w="983"/>
      </w:tblGrid>
      <w:tr w:rsidR="002F1CB8" w:rsidRPr="00433EB6" w14:paraId="1FD33926" w14:textId="77777777" w:rsidTr="00FE1D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EA4DD47"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Model</w:t>
            </w:r>
          </w:p>
        </w:tc>
        <w:tc>
          <w:tcPr>
            <w:tcW w:w="0" w:type="auto"/>
          </w:tcPr>
          <w:p w14:paraId="25C9D685"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Ticker</w:t>
            </w:r>
          </w:p>
        </w:tc>
        <w:tc>
          <w:tcPr>
            <w:tcW w:w="0" w:type="auto"/>
          </w:tcPr>
          <w:p w14:paraId="4B376B1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RMSE ($)</w:t>
            </w:r>
          </w:p>
        </w:tc>
        <w:tc>
          <w:tcPr>
            <w:tcW w:w="0" w:type="auto"/>
          </w:tcPr>
          <w:p w14:paraId="2814CCE4"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MAPE (%)</w:t>
            </w:r>
          </w:p>
        </w:tc>
        <w:tc>
          <w:tcPr>
            <w:tcW w:w="0" w:type="auto"/>
          </w:tcPr>
          <w:p w14:paraId="410517C0"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R²</w:t>
            </w:r>
          </w:p>
        </w:tc>
        <w:tc>
          <w:tcPr>
            <w:tcW w:w="0" w:type="auto"/>
          </w:tcPr>
          <w:p w14:paraId="7B6D012E"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DA (%)</w:t>
            </w:r>
          </w:p>
        </w:tc>
      </w:tr>
      <w:tr w:rsidR="002F1CB8" w:rsidRPr="00433EB6" w14:paraId="3E9B43E8" w14:textId="77777777" w:rsidTr="00FE1D64">
        <w:trPr>
          <w:jc w:val="center"/>
        </w:trPr>
        <w:tc>
          <w:tcPr>
            <w:tcW w:w="0" w:type="auto"/>
          </w:tcPr>
          <w:p w14:paraId="05442EF7"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StackedLSTM</w:t>
            </w:r>
          </w:p>
        </w:tc>
        <w:tc>
          <w:tcPr>
            <w:tcW w:w="0" w:type="auto"/>
          </w:tcPr>
          <w:p w14:paraId="23CA6A2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AMZN</w:t>
            </w:r>
          </w:p>
        </w:tc>
        <w:tc>
          <w:tcPr>
            <w:tcW w:w="0" w:type="auto"/>
          </w:tcPr>
          <w:p w14:paraId="2756813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7.71</w:t>
            </w:r>
          </w:p>
        </w:tc>
        <w:tc>
          <w:tcPr>
            <w:tcW w:w="0" w:type="auto"/>
          </w:tcPr>
          <w:p w14:paraId="3CA876F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4.37</w:t>
            </w:r>
          </w:p>
        </w:tc>
        <w:tc>
          <w:tcPr>
            <w:tcW w:w="0" w:type="auto"/>
          </w:tcPr>
          <w:p w14:paraId="25E8ED5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0.9419</w:t>
            </w:r>
          </w:p>
        </w:tc>
        <w:tc>
          <w:tcPr>
            <w:tcW w:w="0" w:type="auto"/>
          </w:tcPr>
          <w:p w14:paraId="73E54BD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48.5</w:t>
            </w:r>
          </w:p>
        </w:tc>
      </w:tr>
      <w:tr w:rsidR="002F1CB8" w:rsidRPr="00433EB6" w14:paraId="1C15B6CB" w14:textId="77777777" w:rsidTr="00FE1D64">
        <w:trPr>
          <w:jc w:val="center"/>
        </w:trPr>
        <w:tc>
          <w:tcPr>
            <w:tcW w:w="0" w:type="auto"/>
          </w:tcPr>
          <w:p w14:paraId="6588FC29"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w:t>
            </w:r>
          </w:p>
        </w:tc>
        <w:tc>
          <w:tcPr>
            <w:tcW w:w="0" w:type="auto"/>
          </w:tcPr>
          <w:p w14:paraId="533EABC7"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AMD</w:t>
            </w:r>
          </w:p>
        </w:tc>
        <w:tc>
          <w:tcPr>
            <w:tcW w:w="0" w:type="auto"/>
          </w:tcPr>
          <w:p w14:paraId="2650C6F0"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7.06</w:t>
            </w:r>
          </w:p>
        </w:tc>
        <w:tc>
          <w:tcPr>
            <w:tcW w:w="0" w:type="auto"/>
          </w:tcPr>
          <w:p w14:paraId="03ECB045"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4.15</w:t>
            </w:r>
          </w:p>
        </w:tc>
        <w:tc>
          <w:tcPr>
            <w:tcW w:w="0" w:type="auto"/>
          </w:tcPr>
          <w:p w14:paraId="2A32FAB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0.9398</w:t>
            </w:r>
          </w:p>
        </w:tc>
        <w:tc>
          <w:tcPr>
            <w:tcW w:w="0" w:type="auto"/>
          </w:tcPr>
          <w:p w14:paraId="00C837EA"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49.2</w:t>
            </w:r>
          </w:p>
        </w:tc>
      </w:tr>
      <w:tr w:rsidR="002F1CB8" w:rsidRPr="00433EB6" w14:paraId="1C60C18A" w14:textId="77777777" w:rsidTr="00FE1D64">
        <w:trPr>
          <w:jc w:val="center"/>
        </w:trPr>
        <w:tc>
          <w:tcPr>
            <w:tcW w:w="0" w:type="auto"/>
          </w:tcPr>
          <w:p w14:paraId="081258BA"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w:t>
            </w:r>
          </w:p>
        </w:tc>
        <w:tc>
          <w:tcPr>
            <w:tcW w:w="0" w:type="auto"/>
          </w:tcPr>
          <w:p w14:paraId="42E2816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META</w:t>
            </w:r>
          </w:p>
        </w:tc>
        <w:tc>
          <w:tcPr>
            <w:tcW w:w="0" w:type="auto"/>
          </w:tcPr>
          <w:p w14:paraId="068BBDA7"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37.07</w:t>
            </w:r>
          </w:p>
        </w:tc>
        <w:tc>
          <w:tcPr>
            <w:tcW w:w="0" w:type="auto"/>
          </w:tcPr>
          <w:p w14:paraId="39F76E4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5.90</w:t>
            </w:r>
          </w:p>
        </w:tc>
        <w:tc>
          <w:tcPr>
            <w:tcW w:w="0" w:type="auto"/>
          </w:tcPr>
          <w:p w14:paraId="644FA0D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0.9060</w:t>
            </w:r>
          </w:p>
        </w:tc>
        <w:tc>
          <w:tcPr>
            <w:tcW w:w="0" w:type="auto"/>
          </w:tcPr>
          <w:p w14:paraId="5DDA57A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47.2</w:t>
            </w:r>
          </w:p>
        </w:tc>
      </w:tr>
      <w:tr w:rsidR="002F1CB8" w:rsidRPr="00433EB6" w14:paraId="06584BD2" w14:textId="77777777" w:rsidTr="00FE1D64">
        <w:trPr>
          <w:jc w:val="center"/>
        </w:trPr>
        <w:tc>
          <w:tcPr>
            <w:tcW w:w="0" w:type="auto"/>
          </w:tcPr>
          <w:p w14:paraId="46ED7CE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w:t>
            </w:r>
          </w:p>
        </w:tc>
        <w:tc>
          <w:tcPr>
            <w:tcW w:w="0" w:type="auto"/>
          </w:tcPr>
          <w:p w14:paraId="1FDCDB5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AMZN</w:t>
            </w:r>
          </w:p>
        </w:tc>
        <w:tc>
          <w:tcPr>
            <w:tcW w:w="0" w:type="auto"/>
          </w:tcPr>
          <w:p w14:paraId="76D69DD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9.89</w:t>
            </w:r>
          </w:p>
        </w:tc>
        <w:tc>
          <w:tcPr>
            <w:tcW w:w="0" w:type="auto"/>
          </w:tcPr>
          <w:p w14:paraId="22735FF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4.33</w:t>
            </w:r>
          </w:p>
        </w:tc>
        <w:tc>
          <w:tcPr>
            <w:tcW w:w="0" w:type="auto"/>
          </w:tcPr>
          <w:p w14:paraId="3F3616A5"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0.9045</w:t>
            </w:r>
          </w:p>
        </w:tc>
        <w:tc>
          <w:tcPr>
            <w:tcW w:w="0" w:type="auto"/>
          </w:tcPr>
          <w:p w14:paraId="190F9874"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46.3</w:t>
            </w:r>
          </w:p>
        </w:tc>
      </w:tr>
      <w:tr w:rsidR="002F1CB8" w:rsidRPr="00433EB6" w14:paraId="32AA1737" w14:textId="77777777" w:rsidTr="00FE1D64">
        <w:trPr>
          <w:jc w:val="center"/>
        </w:trPr>
        <w:tc>
          <w:tcPr>
            <w:tcW w:w="0" w:type="auto"/>
          </w:tcPr>
          <w:p w14:paraId="04617B2E"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w:t>
            </w:r>
          </w:p>
        </w:tc>
        <w:tc>
          <w:tcPr>
            <w:tcW w:w="0" w:type="auto"/>
          </w:tcPr>
          <w:p w14:paraId="2ABF368E"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TSLA</w:t>
            </w:r>
          </w:p>
        </w:tc>
        <w:tc>
          <w:tcPr>
            <w:tcW w:w="0" w:type="auto"/>
          </w:tcPr>
          <w:p w14:paraId="049CAAD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18.54</w:t>
            </w:r>
          </w:p>
        </w:tc>
        <w:tc>
          <w:tcPr>
            <w:tcW w:w="0" w:type="auto"/>
          </w:tcPr>
          <w:p w14:paraId="09520DD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6.02</w:t>
            </w:r>
          </w:p>
        </w:tc>
        <w:tc>
          <w:tcPr>
            <w:tcW w:w="0" w:type="auto"/>
          </w:tcPr>
          <w:p w14:paraId="2BE9928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0.8958</w:t>
            </w:r>
          </w:p>
        </w:tc>
        <w:tc>
          <w:tcPr>
            <w:tcW w:w="0" w:type="auto"/>
          </w:tcPr>
          <w:p w14:paraId="3AA6F8F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49.4</w:t>
            </w:r>
          </w:p>
        </w:tc>
      </w:tr>
      <w:tr w:rsidR="002F1CB8" w:rsidRPr="00433EB6" w14:paraId="4627AADB" w14:textId="77777777" w:rsidTr="00FE1D64">
        <w:trPr>
          <w:jc w:val="center"/>
        </w:trPr>
        <w:tc>
          <w:tcPr>
            <w:tcW w:w="0" w:type="auto"/>
          </w:tcPr>
          <w:p w14:paraId="424959A5"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w:t>
            </w:r>
          </w:p>
        </w:tc>
        <w:tc>
          <w:tcPr>
            <w:tcW w:w="0" w:type="auto"/>
          </w:tcPr>
          <w:p w14:paraId="1300DF6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AVGO</w:t>
            </w:r>
          </w:p>
        </w:tc>
        <w:tc>
          <w:tcPr>
            <w:tcW w:w="0" w:type="auto"/>
          </w:tcPr>
          <w:p w14:paraId="2387C27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15.32</w:t>
            </w:r>
          </w:p>
        </w:tc>
        <w:tc>
          <w:tcPr>
            <w:tcW w:w="0" w:type="auto"/>
          </w:tcPr>
          <w:p w14:paraId="2A3D459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6.07</w:t>
            </w:r>
          </w:p>
        </w:tc>
        <w:tc>
          <w:tcPr>
            <w:tcW w:w="0" w:type="auto"/>
          </w:tcPr>
          <w:p w14:paraId="0BA2DE2A"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0.8583</w:t>
            </w:r>
          </w:p>
        </w:tc>
        <w:tc>
          <w:tcPr>
            <w:tcW w:w="0" w:type="auto"/>
          </w:tcPr>
          <w:p w14:paraId="0231A8D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53.0</w:t>
            </w:r>
          </w:p>
        </w:tc>
      </w:tr>
      <w:tr w:rsidR="002F1CB8" w:rsidRPr="00433EB6" w14:paraId="5AC398C2" w14:textId="77777777" w:rsidTr="00FE1D64">
        <w:trPr>
          <w:jc w:val="center"/>
        </w:trPr>
        <w:tc>
          <w:tcPr>
            <w:tcW w:w="0" w:type="auto"/>
          </w:tcPr>
          <w:p w14:paraId="7AD2707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StackedGRU</w:t>
            </w:r>
          </w:p>
        </w:tc>
        <w:tc>
          <w:tcPr>
            <w:tcW w:w="0" w:type="auto"/>
          </w:tcPr>
          <w:p w14:paraId="7631A56D"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AAPL</w:t>
            </w:r>
          </w:p>
        </w:tc>
        <w:tc>
          <w:tcPr>
            <w:tcW w:w="0" w:type="auto"/>
          </w:tcPr>
          <w:p w14:paraId="69A42DE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9.21</w:t>
            </w:r>
          </w:p>
        </w:tc>
        <w:tc>
          <w:tcPr>
            <w:tcW w:w="0" w:type="auto"/>
          </w:tcPr>
          <w:p w14:paraId="5A82A32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4.40</w:t>
            </w:r>
          </w:p>
        </w:tc>
        <w:tc>
          <w:tcPr>
            <w:tcW w:w="0" w:type="auto"/>
          </w:tcPr>
          <w:p w14:paraId="60BA0900"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0.8568</w:t>
            </w:r>
          </w:p>
        </w:tc>
        <w:tc>
          <w:tcPr>
            <w:tcW w:w="0" w:type="auto"/>
          </w:tcPr>
          <w:p w14:paraId="5BF82C2D"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51.9</w:t>
            </w:r>
          </w:p>
        </w:tc>
      </w:tr>
      <w:tr w:rsidR="002F1CB8" w:rsidRPr="00433EB6" w14:paraId="517259A7" w14:textId="77777777" w:rsidTr="00FE1D64">
        <w:trPr>
          <w:jc w:val="center"/>
        </w:trPr>
        <w:tc>
          <w:tcPr>
            <w:tcW w:w="0" w:type="auto"/>
          </w:tcPr>
          <w:p w14:paraId="1CC81F39"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w:t>
            </w:r>
          </w:p>
        </w:tc>
        <w:tc>
          <w:tcPr>
            <w:tcW w:w="0" w:type="auto"/>
          </w:tcPr>
          <w:p w14:paraId="446291E4"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GOOGL</w:t>
            </w:r>
          </w:p>
        </w:tc>
        <w:tc>
          <w:tcPr>
            <w:tcW w:w="0" w:type="auto"/>
          </w:tcPr>
          <w:p w14:paraId="1483BCE9"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9.50</w:t>
            </w:r>
          </w:p>
        </w:tc>
        <w:tc>
          <w:tcPr>
            <w:tcW w:w="0" w:type="auto"/>
          </w:tcPr>
          <w:p w14:paraId="1CF2EB6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4.68</w:t>
            </w:r>
          </w:p>
        </w:tc>
        <w:tc>
          <w:tcPr>
            <w:tcW w:w="0" w:type="auto"/>
          </w:tcPr>
          <w:p w14:paraId="2E3D56BD"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0.8315</w:t>
            </w:r>
          </w:p>
        </w:tc>
        <w:tc>
          <w:tcPr>
            <w:tcW w:w="0" w:type="auto"/>
          </w:tcPr>
          <w:p w14:paraId="02354A5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47.9</w:t>
            </w:r>
          </w:p>
        </w:tc>
      </w:tr>
      <w:tr w:rsidR="002F1CB8" w:rsidRPr="00433EB6" w14:paraId="68F6C3CD" w14:textId="77777777" w:rsidTr="00FE1D64">
        <w:trPr>
          <w:jc w:val="center"/>
        </w:trPr>
        <w:tc>
          <w:tcPr>
            <w:tcW w:w="0" w:type="auto"/>
          </w:tcPr>
          <w:p w14:paraId="2AE63849"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StackedLSTM</w:t>
            </w:r>
          </w:p>
        </w:tc>
        <w:tc>
          <w:tcPr>
            <w:tcW w:w="0" w:type="auto"/>
          </w:tcPr>
          <w:p w14:paraId="5D0A001D"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GOOGL</w:t>
            </w:r>
          </w:p>
        </w:tc>
        <w:tc>
          <w:tcPr>
            <w:tcW w:w="0" w:type="auto"/>
          </w:tcPr>
          <w:p w14:paraId="63B3503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10.05</w:t>
            </w:r>
          </w:p>
        </w:tc>
        <w:tc>
          <w:tcPr>
            <w:tcW w:w="0" w:type="auto"/>
          </w:tcPr>
          <w:p w14:paraId="71186B1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5.37</w:t>
            </w:r>
          </w:p>
        </w:tc>
        <w:tc>
          <w:tcPr>
            <w:tcW w:w="0" w:type="auto"/>
          </w:tcPr>
          <w:p w14:paraId="50D09AB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0.8115</w:t>
            </w:r>
          </w:p>
        </w:tc>
        <w:tc>
          <w:tcPr>
            <w:tcW w:w="0" w:type="auto"/>
          </w:tcPr>
          <w:p w14:paraId="6DCCE840"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51.9</w:t>
            </w:r>
          </w:p>
        </w:tc>
      </w:tr>
      <w:tr w:rsidR="002F1CB8" w:rsidRPr="00433EB6" w14:paraId="37B68D9B" w14:textId="77777777" w:rsidTr="00FE1D64">
        <w:trPr>
          <w:jc w:val="center"/>
        </w:trPr>
        <w:tc>
          <w:tcPr>
            <w:tcW w:w="0" w:type="auto"/>
          </w:tcPr>
          <w:p w14:paraId="5DC286A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StackedGRU</w:t>
            </w:r>
          </w:p>
        </w:tc>
        <w:tc>
          <w:tcPr>
            <w:tcW w:w="0" w:type="auto"/>
          </w:tcPr>
          <w:p w14:paraId="0AB5C10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AMD</w:t>
            </w:r>
          </w:p>
        </w:tc>
        <w:tc>
          <w:tcPr>
            <w:tcW w:w="0" w:type="auto"/>
          </w:tcPr>
          <w:p w14:paraId="79BB71D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12.64</w:t>
            </w:r>
          </w:p>
        </w:tc>
        <w:tc>
          <w:tcPr>
            <w:tcW w:w="0" w:type="auto"/>
          </w:tcPr>
          <w:p w14:paraId="270A99A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8.35</w:t>
            </w:r>
          </w:p>
        </w:tc>
        <w:tc>
          <w:tcPr>
            <w:tcW w:w="0" w:type="auto"/>
          </w:tcPr>
          <w:p w14:paraId="5CB541A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0.8067</w:t>
            </w:r>
          </w:p>
        </w:tc>
        <w:tc>
          <w:tcPr>
            <w:tcW w:w="0" w:type="auto"/>
          </w:tcPr>
          <w:p w14:paraId="30A4A765"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49.7</w:t>
            </w:r>
          </w:p>
        </w:tc>
      </w:tr>
    </w:tbl>
    <w:p w14:paraId="71634AD2"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The top two positions are occupied by StackedLSTM/AMZN and VanillaRNN/AMD, with R² values exceeding 0.93. Notably, simpler VanillaRNN occupies six of the top ten slots, supporting the hypothesis that capacity should match data availability.</w:t>
      </w:r>
    </w:p>
    <w:p w14:paraId="093A607D" w14:textId="77777777" w:rsidR="002F1CB8" w:rsidRPr="00FE1D64" w:rsidRDefault="00000000" w:rsidP="00433EB6">
      <w:pPr>
        <w:pStyle w:val="Heading3"/>
        <w:jc w:val="both"/>
        <w:rPr>
          <w:rFonts w:ascii="Times New Roman" w:hAnsi="Times New Roman" w:cs="Times New Roman"/>
          <w:b/>
          <w:bCs/>
          <w:color w:val="auto"/>
        </w:rPr>
      </w:pPr>
      <w:bookmarkStart w:id="16" w:name="directional-accuracy"/>
      <w:bookmarkEnd w:id="15"/>
      <w:r w:rsidRPr="00FE1D64">
        <w:rPr>
          <w:rFonts w:ascii="Times New Roman" w:hAnsi="Times New Roman" w:cs="Times New Roman"/>
          <w:b/>
          <w:bCs/>
          <w:color w:val="auto"/>
        </w:rPr>
        <w:lastRenderedPageBreak/>
        <w:t>4.2 Directional Accuracy</w:t>
      </w:r>
    </w:p>
    <w:p w14:paraId="1F945B2D" w14:textId="77777777" w:rsidR="002F1CB8" w:rsidRPr="00433EB6" w:rsidRDefault="00000000" w:rsidP="00FE1D64">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53D1D856" wp14:editId="34653A7A">
            <wp:extent cx="5334000" cy="2667000"/>
            <wp:effectExtent l="0" t="0" r="0" b="0"/>
            <wp:docPr id="34" name="Picture" descr="Figure 4: Directional Accuracy"/>
            <wp:cNvGraphicFramePr/>
            <a:graphic xmlns:a="http://schemas.openxmlformats.org/drawingml/2006/main">
              <a:graphicData uri="http://schemas.openxmlformats.org/drawingml/2006/picture">
                <pic:pic xmlns:pic="http://schemas.openxmlformats.org/drawingml/2006/picture">
                  <pic:nvPicPr>
                    <pic:cNvPr id="35" name="Picture" descr="outputs/figures/12_directional_accuracy.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197A96EE" w14:textId="77777777" w:rsidR="002F1CB8" w:rsidRPr="00433EB6" w:rsidRDefault="00000000" w:rsidP="00FE1D64">
      <w:pPr>
        <w:pStyle w:val="ImageCaption"/>
        <w:jc w:val="center"/>
        <w:rPr>
          <w:rFonts w:ascii="Times New Roman" w:hAnsi="Times New Roman" w:cs="Times New Roman"/>
        </w:rPr>
      </w:pPr>
      <w:r w:rsidRPr="00433EB6">
        <w:rPr>
          <w:rFonts w:ascii="Times New Roman" w:hAnsi="Times New Roman" w:cs="Times New Roman"/>
        </w:rPr>
        <w:t>Figure 4: Directional Accuracy</w:t>
      </w:r>
    </w:p>
    <w:p w14:paraId="0EFCEA2D" w14:textId="16336305"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Directional accuracy measures the percentage of correct up/down predictions relative to the previous day. Across all Phase 1 models and tickers, DA ranged from </w:t>
      </w:r>
      <w:r w:rsidRPr="00433EB6">
        <w:rPr>
          <w:rFonts w:ascii="Times New Roman" w:hAnsi="Times New Roman" w:cs="Times New Roman"/>
          <w:b/>
          <w:bCs/>
        </w:rPr>
        <w:t>46.3%</w:t>
      </w:r>
      <w:r w:rsidRPr="00433EB6">
        <w:rPr>
          <w:rFonts w:ascii="Times New Roman" w:hAnsi="Times New Roman" w:cs="Times New Roman"/>
        </w:rPr>
        <w:t xml:space="preserve"> (VanillaRNN, AMZN) to </w:t>
      </w:r>
      <w:r w:rsidRPr="00433EB6">
        <w:rPr>
          <w:rFonts w:ascii="Times New Roman" w:hAnsi="Times New Roman" w:cs="Times New Roman"/>
          <w:b/>
          <w:bCs/>
        </w:rPr>
        <w:t>53.5%</w:t>
      </w:r>
      <w:r w:rsidRPr="00433EB6">
        <w:rPr>
          <w:rFonts w:ascii="Times New Roman" w:hAnsi="Times New Roman" w:cs="Times New Roman"/>
        </w:rPr>
        <w:t xml:space="preserve"> (ARIMA, NVDA), with </w:t>
      </w:r>
      <w:r w:rsidR="00433EB6" w:rsidRPr="00433EB6">
        <w:rPr>
          <w:rFonts w:ascii="Times New Roman" w:hAnsi="Times New Roman" w:cs="Times New Roman"/>
        </w:rPr>
        <w:t>most</w:t>
      </w:r>
      <w:r w:rsidRPr="00433EB6">
        <w:rPr>
          <w:rFonts w:ascii="Times New Roman" w:hAnsi="Times New Roman" w:cs="Times New Roman"/>
        </w:rPr>
        <w:t xml:space="preserve"> observations clustered between 48% and 52%.</w:t>
      </w:r>
    </w:p>
    <w:p w14:paraId="17B07F4A"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This near-random performance aligns with Fama’s (1970) weak-form EMH: historical prices appear to contain little exploitable directional signal at the daily horizon. Models that achieve high R² do so primarily by tracking price </w:t>
      </w:r>
      <w:r w:rsidRPr="00433EB6">
        <w:rPr>
          <w:rFonts w:ascii="Times New Roman" w:hAnsi="Times New Roman" w:cs="Times New Roman"/>
          <w:b/>
          <w:bCs/>
        </w:rPr>
        <w:t>level</w:t>
      </w:r>
      <w:r w:rsidRPr="00433EB6">
        <w:rPr>
          <w:rFonts w:ascii="Times New Roman" w:hAnsi="Times New Roman" w:cs="Times New Roman"/>
        </w:rPr>
        <w:t xml:space="preserve"> and short-term momentum magnitude, not by systematically predicting the sign of the next return. Figure 4 shows no model consistently exceeding the 50% random baseline by a margin that would survive transaction costs.</w:t>
      </w:r>
    </w:p>
    <w:p w14:paraId="69100389" w14:textId="77777777" w:rsidR="002F1CB8" w:rsidRPr="00FE1D64" w:rsidRDefault="00000000" w:rsidP="00433EB6">
      <w:pPr>
        <w:pStyle w:val="Heading3"/>
        <w:jc w:val="both"/>
        <w:rPr>
          <w:rFonts w:ascii="Times New Roman" w:hAnsi="Times New Roman" w:cs="Times New Roman"/>
          <w:b/>
          <w:bCs/>
          <w:color w:val="auto"/>
        </w:rPr>
      </w:pPr>
      <w:bookmarkStart w:id="17" w:name="training-behaviour"/>
      <w:bookmarkEnd w:id="16"/>
      <w:r w:rsidRPr="00FE1D64">
        <w:rPr>
          <w:rFonts w:ascii="Times New Roman" w:hAnsi="Times New Roman" w:cs="Times New Roman"/>
          <w:b/>
          <w:bCs/>
          <w:color w:val="auto"/>
        </w:rPr>
        <w:t>4.3 Training Behaviour</w:t>
      </w:r>
    </w:p>
    <w:p w14:paraId="26648DD1" w14:textId="77777777" w:rsidR="002F1CB8" w:rsidRPr="00433EB6" w:rsidRDefault="00000000" w:rsidP="00FE1D64">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2A812EFE" wp14:editId="38F4837E">
            <wp:extent cx="5334000" cy="2667000"/>
            <wp:effectExtent l="0" t="0" r="0" b="0"/>
            <wp:docPr id="38" name="Picture" descr="Figure 5: AAPL VanillaRNN Loss Curve"/>
            <wp:cNvGraphicFramePr/>
            <a:graphic xmlns:a="http://schemas.openxmlformats.org/drawingml/2006/main">
              <a:graphicData uri="http://schemas.openxmlformats.org/drawingml/2006/picture">
                <pic:pic xmlns:pic="http://schemas.openxmlformats.org/drawingml/2006/picture">
                  <pic:nvPicPr>
                    <pic:cNvPr id="39" name="Picture" descr="outputs/figures/05_AAPL_vanilla_rnn_loss_curve.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14:paraId="7AA145BE"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5: AAPL VanillaRNN Loss Curve</w:t>
      </w:r>
    </w:p>
    <w:p w14:paraId="17FD7A6B" w14:textId="77777777" w:rsidR="002F1CB8" w:rsidRPr="00433EB6" w:rsidRDefault="00000000" w:rsidP="00FE1D64">
      <w:pPr>
        <w:pStyle w:val="CaptionedFigure"/>
        <w:jc w:val="center"/>
        <w:rPr>
          <w:rFonts w:ascii="Times New Roman" w:hAnsi="Times New Roman" w:cs="Times New Roman"/>
        </w:rPr>
      </w:pPr>
      <w:r w:rsidRPr="00433EB6">
        <w:rPr>
          <w:rFonts w:ascii="Times New Roman" w:hAnsi="Times New Roman" w:cs="Times New Roman"/>
          <w:noProof/>
        </w:rPr>
        <w:lastRenderedPageBreak/>
        <w:drawing>
          <wp:inline distT="0" distB="0" distL="0" distR="0" wp14:anchorId="17653B9D" wp14:editId="21ACAA6A">
            <wp:extent cx="5334000" cy="2667000"/>
            <wp:effectExtent l="0" t="0" r="0" b="0"/>
            <wp:docPr id="41" name="Picture" descr="Figure 6: AAPL LSTM Loss Curve — val_loss spike"/>
            <wp:cNvGraphicFramePr/>
            <a:graphic xmlns:a="http://schemas.openxmlformats.org/drawingml/2006/main">
              <a:graphicData uri="http://schemas.openxmlformats.org/drawingml/2006/picture">
                <pic:pic xmlns:pic="http://schemas.openxmlformats.org/drawingml/2006/picture">
                  <pic:nvPicPr>
                    <pic:cNvPr id="42" name="Picture" descr="outputs/figures/05_AAPL_lstm_loss_curve.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724E2007" w14:textId="475B6600"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 xml:space="preserve">Figure 6: AAPL LSTM Loss Curve </w:t>
      </w:r>
      <w:r w:rsidR="00433EB6" w:rsidRPr="00433EB6">
        <w:rPr>
          <w:rFonts w:ascii="Times New Roman" w:hAnsi="Times New Roman" w:cs="Times New Roman"/>
        </w:rPr>
        <w:t xml:space="preserve"> </w:t>
      </w:r>
      <w:r w:rsidRPr="00433EB6">
        <w:rPr>
          <w:rFonts w:ascii="Times New Roman" w:hAnsi="Times New Roman" w:cs="Times New Roman"/>
        </w:rPr>
        <w:t xml:space="preserve"> val_loss spike</w:t>
      </w:r>
    </w:p>
    <w:p w14:paraId="3A2F9F7C" w14:textId="729D6F16"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Training dynamics contrast sharply between architectures. AAPL VanillaRNN (Figure 5) exhibits smooth convergence: validation loss stabilises below 0.4 after approximately 15 epochs without catastrophic spikes. In contrast, AAPL StackedLSTM (Figure 6) records a validation-loss spike of </w:t>
      </w:r>
      <w:r w:rsidRPr="00433EB6">
        <w:rPr>
          <w:rFonts w:ascii="Times New Roman" w:hAnsi="Times New Roman" w:cs="Times New Roman"/>
          <w:b/>
          <w:bCs/>
        </w:rPr>
        <w:t>6.67 at epoch 10</w:t>
      </w:r>
      <w:r w:rsidRPr="00433EB6">
        <w:rPr>
          <w:rFonts w:ascii="Times New Roman" w:hAnsi="Times New Roman" w:cs="Times New Roman"/>
        </w:rPr>
        <w:t xml:space="preserve"> while training loss continues to decline</w:t>
      </w:r>
      <w:r w:rsidR="00433EB6" w:rsidRPr="00433EB6">
        <w:rPr>
          <w:rFonts w:ascii="Times New Roman" w:hAnsi="Times New Roman" w:cs="Times New Roman"/>
        </w:rPr>
        <w:t xml:space="preserve"> </w:t>
      </w:r>
      <w:r w:rsidRPr="00433EB6">
        <w:rPr>
          <w:rFonts w:ascii="Times New Roman" w:hAnsi="Times New Roman" w:cs="Times New Roman"/>
        </w:rPr>
        <w:t>a hallmark of overfitting amplified by BatchNorm statistics mismatch.</w:t>
      </w:r>
    </w:p>
    <w:p w14:paraId="50062419"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Similar spikes were observed on other tickers: AMZN StackedLSTM reached </w:t>
      </w:r>
      <w:r w:rsidRPr="00433EB6">
        <w:rPr>
          <w:rFonts w:ascii="Times New Roman" w:hAnsi="Times New Roman" w:cs="Times New Roman"/>
          <w:b/>
          <w:bCs/>
        </w:rPr>
        <w:t>14.74</w:t>
      </w:r>
      <w:r w:rsidRPr="00433EB6">
        <w:rPr>
          <w:rFonts w:ascii="Times New Roman" w:hAnsi="Times New Roman" w:cs="Times New Roman"/>
        </w:rPr>
        <w:t xml:space="preserve"> at epoch 10, and NVDA StackedLSTM reached </w:t>
      </w:r>
      <w:r w:rsidRPr="00433EB6">
        <w:rPr>
          <w:rFonts w:ascii="Times New Roman" w:hAnsi="Times New Roman" w:cs="Times New Roman"/>
          <w:b/>
          <w:bCs/>
        </w:rPr>
        <w:t>8.83</w:t>
      </w:r>
      <w:r w:rsidRPr="00433EB6">
        <w:rPr>
          <w:rFonts w:ascii="Times New Roman" w:hAnsi="Times New Roman" w:cs="Times New Roman"/>
        </w:rPr>
        <w:t xml:space="preserve"> at epoch 10. MSFT StackedLSTM deteriorated most severely, with validation loss climbing to </w:t>
      </w:r>
      <w:r w:rsidRPr="00433EB6">
        <w:rPr>
          <w:rFonts w:ascii="Times New Roman" w:hAnsi="Times New Roman" w:cs="Times New Roman"/>
          <w:b/>
          <w:bCs/>
        </w:rPr>
        <w:t>59.09</w:t>
      </w:r>
      <w:r w:rsidRPr="00433EB6">
        <w:rPr>
          <w:rFonts w:ascii="Times New Roman" w:hAnsi="Times New Roman" w:cs="Times New Roman"/>
        </w:rPr>
        <w:t xml:space="preserve"> by epoch 16. These instabilities correlate with negative test-set R² values and confirm that validation-curve monitoring is essential when deploying high-capacity recurrent models on non-stationary financial data.</w:t>
      </w:r>
    </w:p>
    <w:p w14:paraId="16A3BAEF" w14:textId="0F8CB804" w:rsidR="002F1CB8" w:rsidRPr="005237BB" w:rsidRDefault="00000000" w:rsidP="00433EB6">
      <w:pPr>
        <w:pStyle w:val="Heading3"/>
        <w:jc w:val="both"/>
        <w:rPr>
          <w:rFonts w:ascii="Times New Roman" w:hAnsi="Times New Roman" w:cs="Times New Roman"/>
          <w:b/>
          <w:bCs/>
          <w:color w:val="auto"/>
        </w:rPr>
      </w:pPr>
      <w:bookmarkStart w:id="18" w:name="prediction-quality-best-vs-worst"/>
      <w:bookmarkEnd w:id="17"/>
      <w:r w:rsidRPr="005237BB">
        <w:rPr>
          <w:rFonts w:ascii="Times New Roman" w:hAnsi="Times New Roman" w:cs="Times New Roman"/>
          <w:b/>
          <w:bCs/>
          <w:color w:val="auto"/>
        </w:rPr>
        <w:lastRenderedPageBreak/>
        <w:t xml:space="preserve">4.4 Prediction Quality </w:t>
      </w:r>
      <w:r w:rsidR="00FE1D64" w:rsidRPr="005237BB">
        <w:rPr>
          <w:rFonts w:ascii="Times New Roman" w:hAnsi="Times New Roman" w:cs="Times New Roman"/>
          <w:b/>
          <w:bCs/>
          <w:color w:val="auto"/>
        </w:rPr>
        <w:t>(</w:t>
      </w:r>
      <w:r w:rsidRPr="005237BB">
        <w:rPr>
          <w:rFonts w:ascii="Times New Roman" w:hAnsi="Times New Roman" w:cs="Times New Roman"/>
          <w:b/>
          <w:bCs/>
          <w:color w:val="auto"/>
        </w:rPr>
        <w:t>Best vs Worst</w:t>
      </w:r>
      <w:r w:rsidR="00FE1D64" w:rsidRPr="005237BB">
        <w:rPr>
          <w:rFonts w:ascii="Times New Roman" w:hAnsi="Times New Roman" w:cs="Times New Roman"/>
          <w:b/>
          <w:bCs/>
          <w:color w:val="auto"/>
        </w:rPr>
        <w:t>)</w:t>
      </w:r>
    </w:p>
    <w:p w14:paraId="22473339" w14:textId="77777777" w:rsidR="002F1CB8" w:rsidRPr="00433EB6" w:rsidRDefault="00000000" w:rsidP="00FE1D64">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781256B5" wp14:editId="7295526A">
            <wp:extent cx="5334000" cy="2667000"/>
            <wp:effectExtent l="0" t="0" r="0" b="0"/>
            <wp:docPr id="45" name="Picture" descr="Figure 7: TSLA All Models Comparison"/>
            <wp:cNvGraphicFramePr/>
            <a:graphic xmlns:a="http://schemas.openxmlformats.org/drawingml/2006/main">
              <a:graphicData uri="http://schemas.openxmlformats.org/drawingml/2006/picture">
                <pic:pic xmlns:pic="http://schemas.openxmlformats.org/drawingml/2006/picture">
                  <pic:nvPicPr>
                    <pic:cNvPr id="46" name="Picture" descr="outputs/figures/13_TSLA_all_models_comparison.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2084E7BA"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7: TSLA All Models Comparison</w:t>
      </w:r>
    </w:p>
    <w:p w14:paraId="25BA9221" w14:textId="77777777" w:rsidR="002F1CB8" w:rsidRPr="00433EB6" w:rsidRDefault="00000000" w:rsidP="00433EB6">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6587A5AA" wp14:editId="1FEB6006">
            <wp:extent cx="5334000" cy="2667000"/>
            <wp:effectExtent l="0" t="0" r="0" b="0"/>
            <wp:docPr id="48" name="Picture" descr="Figure 8: AMD VanillaRNN Prediction"/>
            <wp:cNvGraphicFramePr/>
            <a:graphic xmlns:a="http://schemas.openxmlformats.org/drawingml/2006/main">
              <a:graphicData uri="http://schemas.openxmlformats.org/drawingml/2006/picture">
                <pic:pic xmlns:pic="http://schemas.openxmlformats.org/drawingml/2006/picture">
                  <pic:nvPicPr>
                    <pic:cNvPr id="49" name="Picture" descr="outputs/figures/07_AMD_vanilla_rnn_prediction.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14:paraId="0184C160"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8: AMD VanillaRNN Prediction</w:t>
      </w:r>
    </w:p>
    <w:p w14:paraId="5CFB3AFE"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Figure 7 illustrates TSLA predictions across all model families. VanillaRNN (RMSE $18.54, R² 0.8958) tracks the realised path closely, whereas StackedLSTM (RMSE $91.55, R² −1.54) diverges substantially during volatile episodes. Figure 8 presents the best overall point forecast: VanillaRNN on AMD (RMSE $7.06, R² 0.9398), where predicted and actual series are visually indistinguishable over much of the test horizon.</w:t>
      </w:r>
    </w:p>
    <w:p w14:paraId="2D13082E"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The worst Phase 1 performances include StackedLSTM on META (RMSE $216.89, R² −2.22) and StackedGRU on META (RMSE $184.76, R² −1.33), where high model capacity coincided with extreme price appreciation and elevated volatility in the test window.</w:t>
      </w:r>
    </w:p>
    <w:p w14:paraId="4E2D8CD9" w14:textId="180464D3" w:rsidR="002F1CB8" w:rsidRPr="00FE1D64" w:rsidRDefault="00000000" w:rsidP="00433EB6">
      <w:pPr>
        <w:pStyle w:val="Heading3"/>
        <w:jc w:val="both"/>
        <w:rPr>
          <w:rFonts w:ascii="Times New Roman" w:hAnsi="Times New Roman" w:cs="Times New Roman"/>
          <w:b/>
          <w:bCs/>
          <w:color w:val="auto"/>
        </w:rPr>
      </w:pPr>
      <w:bookmarkStart w:id="19" w:name="phase-2-range-forecasting-results"/>
      <w:bookmarkEnd w:id="18"/>
      <w:r w:rsidRPr="00FE1D64">
        <w:rPr>
          <w:rFonts w:ascii="Times New Roman" w:hAnsi="Times New Roman" w:cs="Times New Roman"/>
          <w:b/>
          <w:bCs/>
          <w:color w:val="auto"/>
        </w:rPr>
        <w:lastRenderedPageBreak/>
        <w:t xml:space="preserve">4.5 Phase 2 </w:t>
      </w:r>
      <w:r w:rsidR="00433EB6" w:rsidRPr="00FE1D64">
        <w:rPr>
          <w:rFonts w:ascii="Times New Roman" w:hAnsi="Times New Roman" w:cs="Times New Roman"/>
          <w:b/>
          <w:bCs/>
          <w:color w:val="auto"/>
        </w:rPr>
        <w:t xml:space="preserve"> </w:t>
      </w:r>
      <w:r w:rsidRPr="00FE1D64">
        <w:rPr>
          <w:rFonts w:ascii="Times New Roman" w:hAnsi="Times New Roman" w:cs="Times New Roman"/>
          <w:b/>
          <w:bCs/>
          <w:color w:val="auto"/>
        </w:rPr>
        <w:t xml:space="preserve"> Range Forecasting Results</w:t>
      </w:r>
    </w:p>
    <w:p w14:paraId="44814D41"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Phase 2 evaluated probabilistic forecasts using SlimLSTM + MC Dropout, VanillaRNN + MC Dropout, and QuantileLSTM. MC Dropout intervals were </w:t>
      </w:r>
      <w:r w:rsidRPr="00433EB6">
        <w:rPr>
          <w:rFonts w:ascii="Times New Roman" w:hAnsi="Times New Roman" w:cs="Times New Roman"/>
          <w:b/>
          <w:bCs/>
        </w:rPr>
        <w:t>MAE-calibrated</w:t>
      </w:r>
      <w:r w:rsidRPr="00433EB6">
        <w:rPr>
          <w:rFonts w:ascii="Times New Roman" w:hAnsi="Times New Roman" w:cs="Times New Roman"/>
        </w:rPr>
        <w:t xml:space="preserve"> to 90% nominal coverage (σ = MAE × 1.645) because raw dropout bounds exhibited near-zero empirical coverage on several tickers (MSFT VanillaRNN: 0.0%; AVGO VanillaRNN: 0.0%; ORCL VanillaRNN: 0.0%).</w:t>
      </w:r>
    </w:p>
    <w:p w14:paraId="2F7D8A16" w14:textId="45951B0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b/>
          <w:bCs/>
        </w:rPr>
        <w:t xml:space="preserve">Table 4.2: Range forecasting results </w:t>
      </w:r>
      <w:r w:rsidR="00433EB6" w:rsidRPr="00433EB6">
        <w:rPr>
          <w:rFonts w:ascii="Times New Roman" w:hAnsi="Times New Roman" w:cs="Times New Roman"/>
          <w:b/>
          <w:bCs/>
        </w:rPr>
        <w:t xml:space="preserve"> </w:t>
      </w:r>
      <w:r w:rsidRPr="00433EB6">
        <w:rPr>
          <w:rFonts w:ascii="Times New Roman" w:hAnsi="Times New Roman" w:cs="Times New Roman"/>
          <w:b/>
          <w:bCs/>
        </w:rPr>
        <w:t xml:space="preserve"> top 15 by coverage (MC and QuantileLSTM only)</w:t>
      </w:r>
    </w:p>
    <w:tbl>
      <w:tblPr>
        <w:tblStyle w:val="Table"/>
        <w:tblW w:w="0" w:type="auto"/>
        <w:jc w:val="center"/>
        <w:tblLook w:val="0020" w:firstRow="1" w:lastRow="0" w:firstColumn="0" w:lastColumn="0" w:noHBand="0" w:noVBand="0"/>
      </w:tblPr>
      <w:tblGrid>
        <w:gridCol w:w="2058"/>
        <w:gridCol w:w="1056"/>
        <w:gridCol w:w="876"/>
        <w:gridCol w:w="1012"/>
        <w:gridCol w:w="1256"/>
        <w:gridCol w:w="1623"/>
      </w:tblGrid>
      <w:tr w:rsidR="002F1CB8" w:rsidRPr="00433EB6" w14:paraId="609C6875" w14:textId="77777777" w:rsidTr="00433EB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272ECD"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Model</w:t>
            </w:r>
          </w:p>
        </w:tc>
        <w:tc>
          <w:tcPr>
            <w:tcW w:w="0" w:type="auto"/>
          </w:tcPr>
          <w:p w14:paraId="403B733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Ticker</w:t>
            </w:r>
          </w:p>
        </w:tc>
        <w:tc>
          <w:tcPr>
            <w:tcW w:w="0" w:type="auto"/>
          </w:tcPr>
          <w:p w14:paraId="43C10CA1" w14:textId="7687348D"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 xml:space="preserve">RMSE </w:t>
            </w:r>
          </w:p>
        </w:tc>
        <w:tc>
          <w:tcPr>
            <w:tcW w:w="0" w:type="auto"/>
          </w:tcPr>
          <w:p w14:paraId="600E6709" w14:textId="338BDE19" w:rsidR="002F1CB8" w:rsidRPr="00433EB6" w:rsidRDefault="00433EB6" w:rsidP="00433EB6">
            <w:pPr>
              <w:pStyle w:val="Compact"/>
              <w:jc w:val="center"/>
              <w:rPr>
                <w:rFonts w:ascii="Times New Roman" w:hAnsi="Times New Roman" w:cs="Times New Roman"/>
              </w:rPr>
            </w:pPr>
            <m:oMath>
              <m:r>
                <w:rPr>
                  <w:rFonts w:ascii="Cambria Math" w:hAnsi="Cambria Math" w:cs="Times New Roman"/>
                </w:rPr>
                <m:t>R</m:t>
              </m:r>
              <m:r>
                <m:rPr>
                  <m:sty m:val="p"/>
                </m:rPr>
                <w:rPr>
                  <w:rFonts w:ascii="Cambria Math" w:hAnsi="Cambria Math" w:cs="Times New Roman"/>
                </w:rPr>
                <m:t>²(</m:t>
              </m:r>
            </m:oMath>
            <w:r w:rsidRPr="00433EB6">
              <w:rPr>
                <w:rFonts w:ascii="Times New Roman" w:hAnsi="Times New Roman" w:cs="Times New Roman"/>
              </w:rPr>
              <w:t>)</w:t>
            </w:r>
          </w:p>
        </w:tc>
        <w:tc>
          <w:tcPr>
            <w:tcW w:w="0" w:type="auto"/>
          </w:tcPr>
          <w:p w14:paraId="2393A95A" w14:textId="03A2DFD1" w:rsidR="002F1CB8" w:rsidRPr="00433EB6" w:rsidRDefault="00433EB6" w:rsidP="00433EB6">
            <w:pPr>
              <w:pStyle w:val="Compact"/>
              <w:jc w:val="center"/>
              <w:rPr>
                <w:rFonts w:ascii="Times New Roman" w:hAnsi="Times New Roman" w:cs="Times New Roman"/>
              </w:rPr>
            </w:pPr>
            <m:oMathPara>
              <m:oMath>
                <m:r>
                  <w:rPr>
                    <w:rFonts w:ascii="Cambria Math" w:hAnsi="Cambria Math" w:cs="Times New Roman"/>
                  </w:rPr>
                  <m:t>Coverage</m:t>
                </m:r>
              </m:oMath>
            </m:oMathPara>
          </w:p>
        </w:tc>
        <w:tc>
          <w:tcPr>
            <w:tcW w:w="0" w:type="auto"/>
          </w:tcPr>
          <w:p w14:paraId="72D49671" w14:textId="7802CB0B" w:rsidR="002F1CB8" w:rsidRPr="00433EB6" w:rsidRDefault="00433EB6" w:rsidP="00433EB6">
            <w:pPr>
              <w:pStyle w:val="Compact"/>
              <w:jc w:val="center"/>
              <w:rPr>
                <w:rFonts w:ascii="Times New Roman" w:hAnsi="Times New Roman" w:cs="Times New Roman"/>
              </w:rPr>
            </w:pPr>
            <w:r>
              <w:rPr>
                <w:rFonts w:ascii="Times New Roman" w:hAnsi="Times New Roman" w:cs="Times New Roman"/>
              </w:rPr>
              <w:t>Interval Width</w:t>
            </w:r>
          </w:p>
        </w:tc>
      </w:tr>
      <w:tr w:rsidR="002F1CB8" w:rsidRPr="00433EB6" w14:paraId="5A67668D" w14:textId="77777777" w:rsidTr="00433EB6">
        <w:trPr>
          <w:jc w:val="center"/>
        </w:trPr>
        <w:tc>
          <w:tcPr>
            <w:tcW w:w="0" w:type="auto"/>
          </w:tcPr>
          <w:p w14:paraId="6B6030A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 + MC</w:t>
            </w:r>
          </w:p>
        </w:tc>
        <w:tc>
          <w:tcPr>
            <w:tcW w:w="0" w:type="auto"/>
          </w:tcPr>
          <w:p w14:paraId="6436B8C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MSFT</w:t>
            </w:r>
          </w:p>
        </w:tc>
        <w:tc>
          <w:tcPr>
            <w:tcW w:w="0" w:type="auto"/>
          </w:tcPr>
          <w:p w14:paraId="225B82E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162.06</w:t>
            </w:r>
          </w:p>
        </w:tc>
        <w:tc>
          <w:tcPr>
            <w:tcW w:w="0" w:type="auto"/>
          </w:tcPr>
          <w:p w14:paraId="2BBAE018"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−9.8225</w:t>
            </w:r>
          </w:p>
        </w:tc>
        <w:tc>
          <w:tcPr>
            <w:tcW w:w="0" w:type="auto"/>
          </w:tcPr>
          <w:p w14:paraId="3B33C75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100.0</w:t>
            </w:r>
          </w:p>
        </w:tc>
        <w:tc>
          <w:tcPr>
            <w:tcW w:w="0" w:type="auto"/>
          </w:tcPr>
          <w:p w14:paraId="4C725D05"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507.92</w:t>
            </w:r>
          </w:p>
        </w:tc>
      </w:tr>
      <w:tr w:rsidR="002F1CB8" w:rsidRPr="00433EB6" w14:paraId="270C3D31" w14:textId="77777777" w:rsidTr="00433EB6">
        <w:trPr>
          <w:jc w:val="center"/>
        </w:trPr>
        <w:tc>
          <w:tcPr>
            <w:tcW w:w="0" w:type="auto"/>
          </w:tcPr>
          <w:p w14:paraId="4BD611FA"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QuantileLSTM</w:t>
            </w:r>
          </w:p>
        </w:tc>
        <w:tc>
          <w:tcPr>
            <w:tcW w:w="0" w:type="auto"/>
          </w:tcPr>
          <w:p w14:paraId="6E7C8D1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TSLA</w:t>
            </w:r>
          </w:p>
        </w:tc>
        <w:tc>
          <w:tcPr>
            <w:tcW w:w="0" w:type="auto"/>
          </w:tcPr>
          <w:p w14:paraId="3B3DB36D"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33.33</w:t>
            </w:r>
          </w:p>
        </w:tc>
        <w:tc>
          <w:tcPr>
            <w:tcW w:w="0" w:type="auto"/>
          </w:tcPr>
          <w:p w14:paraId="4919310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0.6635</w:t>
            </w:r>
          </w:p>
        </w:tc>
        <w:tc>
          <w:tcPr>
            <w:tcW w:w="0" w:type="auto"/>
          </w:tcPr>
          <w:p w14:paraId="667B41A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96.8</w:t>
            </w:r>
          </w:p>
        </w:tc>
        <w:tc>
          <w:tcPr>
            <w:tcW w:w="0" w:type="auto"/>
          </w:tcPr>
          <w:p w14:paraId="219332B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132.67</w:t>
            </w:r>
          </w:p>
        </w:tc>
      </w:tr>
      <w:tr w:rsidR="002F1CB8" w:rsidRPr="00433EB6" w14:paraId="22B5E655" w14:textId="77777777" w:rsidTr="00433EB6">
        <w:trPr>
          <w:jc w:val="center"/>
        </w:trPr>
        <w:tc>
          <w:tcPr>
            <w:tcW w:w="0" w:type="auto"/>
          </w:tcPr>
          <w:p w14:paraId="1B943D9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SlimLSTM + MC</w:t>
            </w:r>
          </w:p>
        </w:tc>
        <w:tc>
          <w:tcPr>
            <w:tcW w:w="0" w:type="auto"/>
          </w:tcPr>
          <w:p w14:paraId="210AC96E"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MSFT</w:t>
            </w:r>
          </w:p>
        </w:tc>
        <w:tc>
          <w:tcPr>
            <w:tcW w:w="0" w:type="auto"/>
          </w:tcPr>
          <w:p w14:paraId="35DE4E10"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108.67</w:t>
            </w:r>
          </w:p>
        </w:tc>
        <w:tc>
          <w:tcPr>
            <w:tcW w:w="0" w:type="auto"/>
          </w:tcPr>
          <w:p w14:paraId="2C65922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−3.8664</w:t>
            </w:r>
          </w:p>
        </w:tc>
        <w:tc>
          <w:tcPr>
            <w:tcW w:w="0" w:type="auto"/>
          </w:tcPr>
          <w:p w14:paraId="4FA3DF6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94.8</w:t>
            </w:r>
          </w:p>
        </w:tc>
        <w:tc>
          <w:tcPr>
            <w:tcW w:w="0" w:type="auto"/>
          </w:tcPr>
          <w:p w14:paraId="5CBEE72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321.91</w:t>
            </w:r>
          </w:p>
        </w:tc>
      </w:tr>
      <w:tr w:rsidR="002F1CB8" w:rsidRPr="00433EB6" w14:paraId="0915DA0C" w14:textId="77777777" w:rsidTr="00433EB6">
        <w:trPr>
          <w:jc w:val="center"/>
        </w:trPr>
        <w:tc>
          <w:tcPr>
            <w:tcW w:w="0" w:type="auto"/>
          </w:tcPr>
          <w:p w14:paraId="375222B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QuantileLSTM</w:t>
            </w:r>
          </w:p>
        </w:tc>
        <w:tc>
          <w:tcPr>
            <w:tcW w:w="0" w:type="auto"/>
          </w:tcPr>
          <w:p w14:paraId="6509DC01"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AMD</w:t>
            </w:r>
          </w:p>
        </w:tc>
        <w:tc>
          <w:tcPr>
            <w:tcW w:w="0" w:type="auto"/>
          </w:tcPr>
          <w:p w14:paraId="464A0E4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14.45</w:t>
            </w:r>
          </w:p>
        </w:tc>
        <w:tc>
          <w:tcPr>
            <w:tcW w:w="0" w:type="auto"/>
          </w:tcPr>
          <w:p w14:paraId="22133DB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0.7476</w:t>
            </w:r>
          </w:p>
        </w:tc>
        <w:tc>
          <w:tcPr>
            <w:tcW w:w="0" w:type="auto"/>
          </w:tcPr>
          <w:p w14:paraId="573399F4"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90.1</w:t>
            </w:r>
          </w:p>
        </w:tc>
        <w:tc>
          <w:tcPr>
            <w:tcW w:w="0" w:type="auto"/>
          </w:tcPr>
          <w:p w14:paraId="71A604D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42.31</w:t>
            </w:r>
          </w:p>
        </w:tc>
      </w:tr>
      <w:tr w:rsidR="002F1CB8" w:rsidRPr="00433EB6" w14:paraId="3C7E56F7" w14:textId="77777777" w:rsidTr="00433EB6">
        <w:trPr>
          <w:jc w:val="center"/>
        </w:trPr>
        <w:tc>
          <w:tcPr>
            <w:tcW w:w="0" w:type="auto"/>
          </w:tcPr>
          <w:p w14:paraId="265ABBBA"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 + MC</w:t>
            </w:r>
          </w:p>
        </w:tc>
        <w:tc>
          <w:tcPr>
            <w:tcW w:w="0" w:type="auto"/>
          </w:tcPr>
          <w:p w14:paraId="01E09F59"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GOOGL</w:t>
            </w:r>
          </w:p>
        </w:tc>
        <w:tc>
          <w:tcPr>
            <w:tcW w:w="0" w:type="auto"/>
          </w:tcPr>
          <w:p w14:paraId="214DC57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50.85</w:t>
            </w:r>
          </w:p>
        </w:tc>
        <w:tc>
          <w:tcPr>
            <w:tcW w:w="0" w:type="auto"/>
          </w:tcPr>
          <w:p w14:paraId="3F9D3F8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−3.8273</w:t>
            </w:r>
          </w:p>
        </w:tc>
        <w:tc>
          <w:tcPr>
            <w:tcW w:w="0" w:type="auto"/>
          </w:tcPr>
          <w:p w14:paraId="0E9BBC1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88.5</w:t>
            </w:r>
          </w:p>
        </w:tc>
        <w:tc>
          <w:tcPr>
            <w:tcW w:w="0" w:type="auto"/>
          </w:tcPr>
          <w:p w14:paraId="078CB81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149.00</w:t>
            </w:r>
          </w:p>
        </w:tc>
      </w:tr>
      <w:tr w:rsidR="002F1CB8" w:rsidRPr="00433EB6" w14:paraId="0ED26F48" w14:textId="77777777" w:rsidTr="00433EB6">
        <w:trPr>
          <w:jc w:val="center"/>
        </w:trPr>
        <w:tc>
          <w:tcPr>
            <w:tcW w:w="0" w:type="auto"/>
          </w:tcPr>
          <w:p w14:paraId="55DB260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QuantileLSTM</w:t>
            </w:r>
          </w:p>
        </w:tc>
        <w:tc>
          <w:tcPr>
            <w:tcW w:w="0" w:type="auto"/>
          </w:tcPr>
          <w:p w14:paraId="534FEF9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MSFT</w:t>
            </w:r>
          </w:p>
        </w:tc>
        <w:tc>
          <w:tcPr>
            <w:tcW w:w="0" w:type="auto"/>
          </w:tcPr>
          <w:p w14:paraId="3CA7E533"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79.87</w:t>
            </w:r>
          </w:p>
        </w:tc>
        <w:tc>
          <w:tcPr>
            <w:tcW w:w="0" w:type="auto"/>
          </w:tcPr>
          <w:p w14:paraId="1010B1D8"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−1.6288</w:t>
            </w:r>
          </w:p>
        </w:tc>
        <w:tc>
          <w:tcPr>
            <w:tcW w:w="0" w:type="auto"/>
          </w:tcPr>
          <w:p w14:paraId="6B83568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88.5</w:t>
            </w:r>
          </w:p>
        </w:tc>
        <w:tc>
          <w:tcPr>
            <w:tcW w:w="0" w:type="auto"/>
          </w:tcPr>
          <w:p w14:paraId="289C4A1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227.00</w:t>
            </w:r>
          </w:p>
        </w:tc>
      </w:tr>
      <w:tr w:rsidR="002F1CB8" w:rsidRPr="00433EB6" w14:paraId="3F7F4571" w14:textId="77777777" w:rsidTr="00433EB6">
        <w:trPr>
          <w:jc w:val="center"/>
        </w:trPr>
        <w:tc>
          <w:tcPr>
            <w:tcW w:w="0" w:type="auto"/>
          </w:tcPr>
          <w:p w14:paraId="3A03CF5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 + MC</w:t>
            </w:r>
          </w:p>
        </w:tc>
        <w:tc>
          <w:tcPr>
            <w:tcW w:w="0" w:type="auto"/>
          </w:tcPr>
          <w:p w14:paraId="3F36CAB9"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AMD</w:t>
            </w:r>
          </w:p>
        </w:tc>
        <w:tc>
          <w:tcPr>
            <w:tcW w:w="0" w:type="auto"/>
          </w:tcPr>
          <w:p w14:paraId="340BEDEE"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55.30</w:t>
            </w:r>
          </w:p>
        </w:tc>
        <w:tc>
          <w:tcPr>
            <w:tcW w:w="0" w:type="auto"/>
          </w:tcPr>
          <w:p w14:paraId="48B38B51"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−2.6980</w:t>
            </w:r>
          </w:p>
        </w:tc>
        <w:tc>
          <w:tcPr>
            <w:tcW w:w="0" w:type="auto"/>
          </w:tcPr>
          <w:p w14:paraId="2AF483A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88.3</w:t>
            </w:r>
          </w:p>
        </w:tc>
        <w:tc>
          <w:tcPr>
            <w:tcW w:w="0" w:type="auto"/>
          </w:tcPr>
          <w:p w14:paraId="016CA19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165.58</w:t>
            </w:r>
          </w:p>
        </w:tc>
      </w:tr>
      <w:tr w:rsidR="002F1CB8" w:rsidRPr="00433EB6" w14:paraId="225171A2" w14:textId="77777777" w:rsidTr="00433EB6">
        <w:trPr>
          <w:jc w:val="center"/>
        </w:trPr>
        <w:tc>
          <w:tcPr>
            <w:tcW w:w="0" w:type="auto"/>
          </w:tcPr>
          <w:p w14:paraId="1097CD0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QuantileLSTM</w:t>
            </w:r>
          </w:p>
        </w:tc>
        <w:tc>
          <w:tcPr>
            <w:tcW w:w="0" w:type="auto"/>
          </w:tcPr>
          <w:p w14:paraId="2AA0733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AAPL</w:t>
            </w:r>
          </w:p>
        </w:tc>
        <w:tc>
          <w:tcPr>
            <w:tcW w:w="0" w:type="auto"/>
          </w:tcPr>
          <w:p w14:paraId="68709BE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56.40</w:t>
            </w:r>
          </w:p>
        </w:tc>
        <w:tc>
          <w:tcPr>
            <w:tcW w:w="0" w:type="auto"/>
          </w:tcPr>
          <w:p w14:paraId="431A037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−4.3669</w:t>
            </w:r>
          </w:p>
        </w:tc>
        <w:tc>
          <w:tcPr>
            <w:tcW w:w="0" w:type="auto"/>
          </w:tcPr>
          <w:p w14:paraId="58032965"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87.6</w:t>
            </w:r>
          </w:p>
        </w:tc>
        <w:tc>
          <w:tcPr>
            <w:tcW w:w="0" w:type="auto"/>
          </w:tcPr>
          <w:p w14:paraId="0C57E0A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167.75</w:t>
            </w:r>
          </w:p>
        </w:tc>
      </w:tr>
      <w:tr w:rsidR="002F1CB8" w:rsidRPr="00433EB6" w14:paraId="70146929" w14:textId="77777777" w:rsidTr="00433EB6">
        <w:trPr>
          <w:jc w:val="center"/>
        </w:trPr>
        <w:tc>
          <w:tcPr>
            <w:tcW w:w="0" w:type="auto"/>
          </w:tcPr>
          <w:p w14:paraId="298111F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SlimLSTM + MC</w:t>
            </w:r>
          </w:p>
        </w:tc>
        <w:tc>
          <w:tcPr>
            <w:tcW w:w="0" w:type="auto"/>
          </w:tcPr>
          <w:p w14:paraId="579B20D2"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AMZN</w:t>
            </w:r>
          </w:p>
        </w:tc>
        <w:tc>
          <w:tcPr>
            <w:tcW w:w="0" w:type="auto"/>
          </w:tcPr>
          <w:p w14:paraId="75470E4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12.40</w:t>
            </w:r>
          </w:p>
        </w:tc>
        <w:tc>
          <w:tcPr>
            <w:tcW w:w="0" w:type="auto"/>
          </w:tcPr>
          <w:p w14:paraId="41FC7D0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0.8500</w:t>
            </w:r>
          </w:p>
        </w:tc>
        <w:tc>
          <w:tcPr>
            <w:tcW w:w="0" w:type="auto"/>
          </w:tcPr>
          <w:p w14:paraId="0E558CD4"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86.3</w:t>
            </w:r>
          </w:p>
        </w:tc>
        <w:tc>
          <w:tcPr>
            <w:tcW w:w="0" w:type="auto"/>
          </w:tcPr>
          <w:p w14:paraId="03084A3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26.52</w:t>
            </w:r>
          </w:p>
        </w:tc>
      </w:tr>
      <w:tr w:rsidR="002F1CB8" w:rsidRPr="00433EB6" w14:paraId="10B1BC8D" w14:textId="77777777" w:rsidTr="00433EB6">
        <w:trPr>
          <w:jc w:val="center"/>
        </w:trPr>
        <w:tc>
          <w:tcPr>
            <w:tcW w:w="0" w:type="auto"/>
          </w:tcPr>
          <w:p w14:paraId="5A133EC9"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SlimLSTM + MC</w:t>
            </w:r>
          </w:p>
        </w:tc>
        <w:tc>
          <w:tcPr>
            <w:tcW w:w="0" w:type="auto"/>
          </w:tcPr>
          <w:p w14:paraId="2F5C7D5D"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TSLA</w:t>
            </w:r>
          </w:p>
        </w:tc>
        <w:tc>
          <w:tcPr>
            <w:tcW w:w="0" w:type="auto"/>
          </w:tcPr>
          <w:p w14:paraId="0A42122F"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22.38</w:t>
            </w:r>
          </w:p>
        </w:tc>
        <w:tc>
          <w:tcPr>
            <w:tcW w:w="0" w:type="auto"/>
          </w:tcPr>
          <w:p w14:paraId="23C04DC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0.8482</w:t>
            </w:r>
          </w:p>
        </w:tc>
        <w:tc>
          <w:tcPr>
            <w:tcW w:w="0" w:type="auto"/>
          </w:tcPr>
          <w:p w14:paraId="237551D8"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85.8</w:t>
            </w:r>
          </w:p>
        </w:tc>
        <w:tc>
          <w:tcPr>
            <w:tcW w:w="0" w:type="auto"/>
          </w:tcPr>
          <w:p w14:paraId="66D190E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41.51</w:t>
            </w:r>
          </w:p>
        </w:tc>
      </w:tr>
      <w:tr w:rsidR="002F1CB8" w:rsidRPr="00433EB6" w14:paraId="2221459A" w14:textId="77777777" w:rsidTr="00433EB6">
        <w:trPr>
          <w:jc w:val="center"/>
        </w:trPr>
        <w:tc>
          <w:tcPr>
            <w:tcW w:w="0" w:type="auto"/>
          </w:tcPr>
          <w:p w14:paraId="0D9B28A5"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 + MC</w:t>
            </w:r>
          </w:p>
        </w:tc>
        <w:tc>
          <w:tcPr>
            <w:tcW w:w="0" w:type="auto"/>
          </w:tcPr>
          <w:p w14:paraId="1472F6FE"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AAPL</w:t>
            </w:r>
          </w:p>
        </w:tc>
        <w:tc>
          <w:tcPr>
            <w:tcW w:w="0" w:type="auto"/>
          </w:tcPr>
          <w:p w14:paraId="197A38D4"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47.48</w:t>
            </w:r>
          </w:p>
        </w:tc>
        <w:tc>
          <w:tcPr>
            <w:tcW w:w="0" w:type="auto"/>
          </w:tcPr>
          <w:p w14:paraId="00E2EC98"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−2.8038</w:t>
            </w:r>
          </w:p>
        </w:tc>
        <w:tc>
          <w:tcPr>
            <w:tcW w:w="0" w:type="auto"/>
          </w:tcPr>
          <w:p w14:paraId="1C9B32F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85.8</w:t>
            </w:r>
          </w:p>
        </w:tc>
        <w:tc>
          <w:tcPr>
            <w:tcW w:w="0" w:type="auto"/>
          </w:tcPr>
          <w:p w14:paraId="08FE62C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139.35</w:t>
            </w:r>
          </w:p>
        </w:tc>
      </w:tr>
      <w:tr w:rsidR="002F1CB8" w:rsidRPr="00433EB6" w14:paraId="1A713C92" w14:textId="77777777" w:rsidTr="00433EB6">
        <w:trPr>
          <w:jc w:val="center"/>
        </w:trPr>
        <w:tc>
          <w:tcPr>
            <w:tcW w:w="0" w:type="auto"/>
          </w:tcPr>
          <w:p w14:paraId="7177EF1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 + MC</w:t>
            </w:r>
          </w:p>
        </w:tc>
        <w:tc>
          <w:tcPr>
            <w:tcW w:w="0" w:type="auto"/>
          </w:tcPr>
          <w:p w14:paraId="211C01CA"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AMZN</w:t>
            </w:r>
          </w:p>
        </w:tc>
        <w:tc>
          <w:tcPr>
            <w:tcW w:w="0" w:type="auto"/>
          </w:tcPr>
          <w:p w14:paraId="4A7D55B5"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47.95</w:t>
            </w:r>
          </w:p>
        </w:tc>
        <w:tc>
          <w:tcPr>
            <w:tcW w:w="0" w:type="auto"/>
          </w:tcPr>
          <w:p w14:paraId="454DEADA"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−1.2449</w:t>
            </w:r>
          </w:p>
        </w:tc>
        <w:tc>
          <w:tcPr>
            <w:tcW w:w="0" w:type="auto"/>
          </w:tcPr>
          <w:p w14:paraId="59378ED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85.8</w:t>
            </w:r>
          </w:p>
        </w:tc>
        <w:tc>
          <w:tcPr>
            <w:tcW w:w="0" w:type="auto"/>
          </w:tcPr>
          <w:p w14:paraId="436F287E"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131.26</w:t>
            </w:r>
          </w:p>
        </w:tc>
      </w:tr>
      <w:tr w:rsidR="002F1CB8" w:rsidRPr="00433EB6" w14:paraId="5CD6AD83" w14:textId="77777777" w:rsidTr="00433EB6">
        <w:trPr>
          <w:jc w:val="center"/>
        </w:trPr>
        <w:tc>
          <w:tcPr>
            <w:tcW w:w="0" w:type="auto"/>
          </w:tcPr>
          <w:p w14:paraId="052D7BDE"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SlimLSTM + MC</w:t>
            </w:r>
          </w:p>
        </w:tc>
        <w:tc>
          <w:tcPr>
            <w:tcW w:w="0" w:type="auto"/>
          </w:tcPr>
          <w:p w14:paraId="3CF5AA6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AMD</w:t>
            </w:r>
          </w:p>
        </w:tc>
        <w:tc>
          <w:tcPr>
            <w:tcW w:w="0" w:type="auto"/>
          </w:tcPr>
          <w:p w14:paraId="3797C29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57.18</w:t>
            </w:r>
          </w:p>
        </w:tc>
        <w:tc>
          <w:tcPr>
            <w:tcW w:w="0" w:type="auto"/>
          </w:tcPr>
          <w:p w14:paraId="5411983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−2.9534</w:t>
            </w:r>
          </w:p>
        </w:tc>
        <w:tc>
          <w:tcPr>
            <w:tcW w:w="0" w:type="auto"/>
          </w:tcPr>
          <w:p w14:paraId="42084826"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85.4</w:t>
            </w:r>
          </w:p>
        </w:tc>
        <w:tc>
          <w:tcPr>
            <w:tcW w:w="0" w:type="auto"/>
          </w:tcPr>
          <w:p w14:paraId="52C4A40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162.70</w:t>
            </w:r>
          </w:p>
        </w:tc>
      </w:tr>
      <w:tr w:rsidR="002F1CB8" w:rsidRPr="00433EB6" w14:paraId="17354140" w14:textId="77777777" w:rsidTr="00433EB6">
        <w:trPr>
          <w:jc w:val="center"/>
        </w:trPr>
        <w:tc>
          <w:tcPr>
            <w:tcW w:w="0" w:type="auto"/>
          </w:tcPr>
          <w:p w14:paraId="32CB612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VanillaRNN + MC</w:t>
            </w:r>
          </w:p>
        </w:tc>
        <w:tc>
          <w:tcPr>
            <w:tcW w:w="0" w:type="auto"/>
          </w:tcPr>
          <w:p w14:paraId="3F5B7BA6"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AVGO</w:t>
            </w:r>
          </w:p>
        </w:tc>
        <w:tc>
          <w:tcPr>
            <w:tcW w:w="0" w:type="auto"/>
          </w:tcPr>
          <w:p w14:paraId="33A35EA8"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79.63</w:t>
            </w:r>
          </w:p>
        </w:tc>
        <w:tc>
          <w:tcPr>
            <w:tcW w:w="0" w:type="auto"/>
          </w:tcPr>
          <w:p w14:paraId="1D73143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−2.8285</w:t>
            </w:r>
          </w:p>
        </w:tc>
        <w:tc>
          <w:tcPr>
            <w:tcW w:w="0" w:type="auto"/>
          </w:tcPr>
          <w:p w14:paraId="62DB833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83.6</w:t>
            </w:r>
          </w:p>
        </w:tc>
        <w:tc>
          <w:tcPr>
            <w:tcW w:w="0" w:type="auto"/>
          </w:tcPr>
          <w:p w14:paraId="1A4654F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226.22</w:t>
            </w:r>
          </w:p>
        </w:tc>
      </w:tr>
      <w:tr w:rsidR="002F1CB8" w:rsidRPr="00433EB6" w14:paraId="7786B384" w14:textId="77777777" w:rsidTr="00433EB6">
        <w:trPr>
          <w:jc w:val="center"/>
        </w:trPr>
        <w:tc>
          <w:tcPr>
            <w:tcW w:w="0" w:type="auto"/>
          </w:tcPr>
          <w:p w14:paraId="7114E15B"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QuantileLSTM</w:t>
            </w:r>
          </w:p>
        </w:tc>
        <w:tc>
          <w:tcPr>
            <w:tcW w:w="0" w:type="auto"/>
          </w:tcPr>
          <w:p w14:paraId="4916473C"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ORCL</w:t>
            </w:r>
          </w:p>
        </w:tc>
        <w:tc>
          <w:tcPr>
            <w:tcW w:w="0" w:type="auto"/>
          </w:tcPr>
          <w:p w14:paraId="76B7A747" w14:textId="77777777" w:rsidR="002F1CB8" w:rsidRPr="00433EB6" w:rsidRDefault="00000000" w:rsidP="00433EB6">
            <w:pPr>
              <w:pStyle w:val="Compact"/>
              <w:jc w:val="both"/>
              <w:rPr>
                <w:rFonts w:ascii="Times New Roman" w:hAnsi="Times New Roman" w:cs="Times New Roman"/>
              </w:rPr>
            </w:pPr>
            <w:r w:rsidRPr="00433EB6">
              <w:rPr>
                <w:rFonts w:ascii="Times New Roman" w:hAnsi="Times New Roman" w:cs="Times New Roman"/>
              </w:rPr>
              <w:t>61.16</w:t>
            </w:r>
          </w:p>
        </w:tc>
        <w:tc>
          <w:tcPr>
            <w:tcW w:w="0" w:type="auto"/>
          </w:tcPr>
          <w:p w14:paraId="7E9950D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−4.6066</w:t>
            </w:r>
          </w:p>
        </w:tc>
        <w:tc>
          <w:tcPr>
            <w:tcW w:w="0" w:type="auto"/>
          </w:tcPr>
          <w:p w14:paraId="5AC03B1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83.3</w:t>
            </w:r>
          </w:p>
        </w:tc>
        <w:tc>
          <w:tcPr>
            <w:tcW w:w="0" w:type="auto"/>
          </w:tcPr>
          <w:p w14:paraId="1BA72D6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182.43</w:t>
            </w:r>
          </w:p>
        </w:tc>
      </w:tr>
    </w:tbl>
    <w:p w14:paraId="05A1D800" w14:textId="5C66F599"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The standout result is </w:t>
      </w:r>
      <w:r w:rsidRPr="00433EB6">
        <w:rPr>
          <w:rFonts w:ascii="Times New Roman" w:hAnsi="Times New Roman" w:cs="Times New Roman"/>
          <w:b/>
          <w:bCs/>
        </w:rPr>
        <w:t>SlimLSTM + MC on AMZN</w:t>
      </w:r>
      <w:r w:rsidRPr="00433EB6">
        <w:rPr>
          <w:rFonts w:ascii="Times New Roman" w:hAnsi="Times New Roman" w:cs="Times New Roman"/>
        </w:rPr>
        <w:t xml:space="preserve">: 86.3% coverage with an average interval width of only </w:t>
      </w:r>
      <w:r w:rsidRPr="00433EB6">
        <w:rPr>
          <w:rFonts w:ascii="Times New Roman" w:hAnsi="Times New Roman" w:cs="Times New Roman"/>
          <w:b/>
          <w:bCs/>
        </w:rPr>
        <w:t>$26.52</w:t>
      </w:r>
      <w:r w:rsidRPr="00433EB6">
        <w:rPr>
          <w:rFonts w:ascii="Times New Roman" w:hAnsi="Times New Roman" w:cs="Times New Roman"/>
        </w:rPr>
        <w:t xml:space="preserve">, while maintaining strong point accuracy (RMSE $12.40, R² 0.8500). By contrast, MSFT VanillaRNN + MC achieves 100% coverage only by producing intervals averaging </w:t>
      </w:r>
      <w:r w:rsidRPr="00433EB6">
        <w:rPr>
          <w:rFonts w:ascii="Times New Roman" w:hAnsi="Times New Roman" w:cs="Times New Roman"/>
          <w:b/>
          <w:bCs/>
        </w:rPr>
        <w:t>$507.92</w:t>
      </w:r>
      <w:r w:rsidRPr="00433EB6">
        <w:rPr>
          <w:rFonts w:ascii="Times New Roman" w:hAnsi="Times New Roman" w:cs="Times New Roman"/>
        </w:rPr>
        <w:t xml:space="preserve"> wide</w:t>
      </w:r>
      <w:r w:rsidR="00433EB6" w:rsidRPr="00433EB6">
        <w:rPr>
          <w:rFonts w:ascii="Times New Roman" w:hAnsi="Times New Roman" w:cs="Times New Roman"/>
        </w:rPr>
        <w:t xml:space="preserve"> </w:t>
      </w:r>
      <w:r w:rsidRPr="00433EB6">
        <w:rPr>
          <w:rFonts w:ascii="Times New Roman" w:hAnsi="Times New Roman" w:cs="Times New Roman"/>
        </w:rPr>
        <w:t>economically uninformative. QuantileLSTM on TSLA attains 96.8% coverage with R² 0.6635, demonstrating that direct quantile optimisation can deliver well-calibrated bands on volatile names.</w:t>
      </w:r>
    </w:p>
    <w:p w14:paraId="2CE83405" w14:textId="77777777" w:rsidR="002F1CB8" w:rsidRPr="00433EB6" w:rsidRDefault="00000000" w:rsidP="00433EB6">
      <w:pPr>
        <w:pStyle w:val="CaptionedFigure"/>
        <w:jc w:val="center"/>
        <w:rPr>
          <w:rFonts w:ascii="Times New Roman" w:hAnsi="Times New Roman" w:cs="Times New Roman"/>
        </w:rPr>
      </w:pPr>
      <w:r w:rsidRPr="00433EB6">
        <w:rPr>
          <w:rFonts w:ascii="Times New Roman" w:hAnsi="Times New Roman" w:cs="Times New Roman"/>
          <w:noProof/>
        </w:rPr>
        <w:lastRenderedPageBreak/>
        <w:drawing>
          <wp:inline distT="0" distB="0" distL="0" distR="0" wp14:anchorId="23CF83EC" wp14:editId="6B04C1FC">
            <wp:extent cx="5334000" cy="2667000"/>
            <wp:effectExtent l="0" t="0" r="0" b="0"/>
            <wp:docPr id="52" name="Picture" descr="Figure 9: AMZN SlimLSTM MC Dropout CI"/>
            <wp:cNvGraphicFramePr/>
            <a:graphic xmlns:a="http://schemas.openxmlformats.org/drawingml/2006/main">
              <a:graphicData uri="http://schemas.openxmlformats.org/drawingml/2006/picture">
                <pic:pic xmlns:pic="http://schemas.openxmlformats.org/drawingml/2006/picture">
                  <pic:nvPicPr>
                    <pic:cNvPr id="53" name="Picture" descr="outputs/figures/14_AMZN_slim_lstm_mc_dropout_CI.png"/>
                    <pic:cNvPicPr>
                      <a:picLocks noChangeAspect="1" noChangeArrowheads="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p>
    <w:p w14:paraId="63206A3F"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9: AMZN SlimLSTM MC Dropout CI</w:t>
      </w:r>
    </w:p>
    <w:p w14:paraId="6D98E932" w14:textId="77777777" w:rsidR="002F1CB8" w:rsidRPr="00433EB6" w:rsidRDefault="00000000" w:rsidP="00433EB6">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3092C4CD" wp14:editId="0994C7D0">
            <wp:extent cx="5334000" cy="2667000"/>
            <wp:effectExtent l="0" t="0" r="0" b="0"/>
            <wp:docPr id="55" name="Picture" descr="Figure 10: TSLA QuantileLSTM Quantile Bands"/>
            <wp:cNvGraphicFramePr/>
            <a:graphic xmlns:a="http://schemas.openxmlformats.org/drawingml/2006/main">
              <a:graphicData uri="http://schemas.openxmlformats.org/drawingml/2006/picture">
                <pic:pic xmlns:pic="http://schemas.openxmlformats.org/drawingml/2006/picture">
                  <pic:nvPicPr>
                    <pic:cNvPr id="56" name="Picture" descr="outputs/figures/15_TSLA_quantile_bands.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14:paraId="1E371C1A"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10: TSLA QuantileLSTM Quantile Bands</w:t>
      </w:r>
    </w:p>
    <w:p w14:paraId="433DCB84" w14:textId="77777777" w:rsidR="002F1CB8" w:rsidRPr="00433EB6" w:rsidRDefault="00000000" w:rsidP="00433EB6">
      <w:pPr>
        <w:pStyle w:val="CaptionedFigure"/>
        <w:jc w:val="center"/>
        <w:rPr>
          <w:rFonts w:ascii="Times New Roman" w:hAnsi="Times New Roman" w:cs="Times New Roman"/>
        </w:rPr>
      </w:pPr>
      <w:r w:rsidRPr="00433EB6">
        <w:rPr>
          <w:rFonts w:ascii="Times New Roman" w:hAnsi="Times New Roman" w:cs="Times New Roman"/>
          <w:noProof/>
        </w:rPr>
        <w:lastRenderedPageBreak/>
        <w:drawing>
          <wp:inline distT="0" distB="0" distL="0" distR="0" wp14:anchorId="2BC23A26" wp14:editId="553D9780">
            <wp:extent cx="5334000" cy="2286000"/>
            <wp:effectExtent l="0" t="0" r="0" b="0"/>
            <wp:docPr id="58" name="Picture" descr="Figure 11: Coverage Rate Comparison"/>
            <wp:cNvGraphicFramePr/>
            <a:graphic xmlns:a="http://schemas.openxmlformats.org/drawingml/2006/main">
              <a:graphicData uri="http://schemas.openxmlformats.org/drawingml/2006/picture">
                <pic:pic xmlns:pic="http://schemas.openxmlformats.org/drawingml/2006/picture">
                  <pic:nvPicPr>
                    <pic:cNvPr id="59" name="Picture" descr="outputs/figures/16_coverage_rate.png"/>
                    <pic:cNvPicPr>
                      <a:picLocks noChangeAspect="1" noChangeArrowheads="1"/>
                    </pic:cNvPicPr>
                  </pic:nvPicPr>
                  <pic:blipFill>
                    <a:blip r:embed="rId17"/>
                    <a:stretch>
                      <a:fillRect/>
                    </a:stretch>
                  </pic:blipFill>
                  <pic:spPr bwMode="auto">
                    <a:xfrm>
                      <a:off x="0" y="0"/>
                      <a:ext cx="5334000" cy="2286000"/>
                    </a:xfrm>
                    <a:prstGeom prst="rect">
                      <a:avLst/>
                    </a:prstGeom>
                    <a:noFill/>
                    <a:ln w="9525">
                      <a:noFill/>
                      <a:headEnd/>
                      <a:tailEnd/>
                    </a:ln>
                  </pic:spPr>
                </pic:pic>
              </a:graphicData>
            </a:graphic>
          </wp:inline>
        </w:drawing>
      </w:r>
    </w:p>
    <w:p w14:paraId="34B55807"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11: Coverage Rate Comparison</w:t>
      </w:r>
    </w:p>
    <w:p w14:paraId="2BFECC8D" w14:textId="77777777" w:rsidR="002F1CB8" w:rsidRPr="00433EB6" w:rsidRDefault="00000000" w:rsidP="00433EB6">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36E9DF38" wp14:editId="45253964">
            <wp:extent cx="5334000" cy="2667000"/>
            <wp:effectExtent l="0" t="0" r="0" b="0"/>
            <wp:docPr id="61" name="Picture" descr="Figure 12: Interval Width vs RMSE"/>
            <wp:cNvGraphicFramePr/>
            <a:graphic xmlns:a="http://schemas.openxmlformats.org/drawingml/2006/main">
              <a:graphicData uri="http://schemas.openxmlformats.org/drawingml/2006/picture">
                <pic:pic xmlns:pic="http://schemas.openxmlformats.org/drawingml/2006/picture">
                  <pic:nvPicPr>
                    <pic:cNvPr id="62" name="Picture" descr="outputs/figures/17_width_vs_rmse.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14:paraId="68FA060D"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12: Interval Width vs RMSE</w:t>
      </w:r>
    </w:p>
    <w:p w14:paraId="5AC70FD7"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Figure 9 confirms tight, well-centred intervals on AMZN. Figure 12 visualises the coverage–width–RMSE trade-off, highlighting AMZN SlimLSTM + MC as the Pareto-efficient configuration among Phase 2 models.</w:t>
      </w:r>
    </w:p>
    <w:p w14:paraId="21B79342" w14:textId="18A04085" w:rsidR="002F1CB8" w:rsidRPr="00FE1D64" w:rsidRDefault="00000000" w:rsidP="00433EB6">
      <w:pPr>
        <w:pStyle w:val="Heading3"/>
        <w:jc w:val="both"/>
        <w:rPr>
          <w:rFonts w:ascii="Times New Roman" w:hAnsi="Times New Roman" w:cs="Times New Roman"/>
          <w:b/>
          <w:bCs/>
          <w:color w:val="auto"/>
        </w:rPr>
      </w:pPr>
      <w:bookmarkStart w:id="20" w:name="X50466b69bd4c660f007a1c05b973f65fc3b2189"/>
      <w:bookmarkEnd w:id="19"/>
      <w:r w:rsidRPr="00FE1D64">
        <w:rPr>
          <w:rFonts w:ascii="Times New Roman" w:hAnsi="Times New Roman" w:cs="Times New Roman"/>
          <w:b/>
          <w:bCs/>
          <w:color w:val="auto"/>
        </w:rPr>
        <w:t>4.6 Walk-Forward Validation</w:t>
      </w:r>
      <w:r w:rsidR="00FE1D64">
        <w:rPr>
          <w:rFonts w:ascii="Times New Roman" w:hAnsi="Times New Roman" w:cs="Times New Roman"/>
          <w:b/>
          <w:bCs/>
          <w:color w:val="auto"/>
        </w:rPr>
        <w:t xml:space="preserve"> </w:t>
      </w:r>
      <w:r w:rsidR="00433EB6" w:rsidRPr="00FE1D64">
        <w:rPr>
          <w:rFonts w:ascii="Times New Roman" w:hAnsi="Times New Roman" w:cs="Times New Roman"/>
          <w:b/>
          <w:bCs/>
          <w:color w:val="auto"/>
        </w:rPr>
        <w:t>(</w:t>
      </w:r>
      <w:r w:rsidRPr="00FE1D64">
        <w:rPr>
          <w:rFonts w:ascii="Times New Roman" w:hAnsi="Times New Roman" w:cs="Times New Roman"/>
          <w:b/>
          <w:bCs/>
          <w:color w:val="auto"/>
        </w:rPr>
        <w:t>Regime Shift Evidence</w:t>
      </w:r>
      <w:r w:rsidR="00433EB6" w:rsidRPr="00FE1D64">
        <w:rPr>
          <w:rFonts w:ascii="Times New Roman" w:hAnsi="Times New Roman" w:cs="Times New Roman"/>
          <w:b/>
          <w:bCs/>
          <w:color w:val="auto"/>
        </w:rPr>
        <w:t>)</w:t>
      </w:r>
    </w:p>
    <w:p w14:paraId="1A9910E3" w14:textId="42A4010B"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Walk-forward validation was conducted on AAPL, MSFT, and TSLA using expanding quarterly retraining from an initial training cutoff of 31 December 2020 (forecasts begin 2020-12-31). Quarterly RMSE was computed over each subsequent 63-trading-day forecast window. In Table 4.3, </w:t>
      </w:r>
      <w:r w:rsidRPr="00433EB6">
        <w:rPr>
          <w:rFonts w:ascii="Times New Roman" w:hAnsi="Times New Roman" w:cs="Times New Roman"/>
          <w:b/>
          <w:bCs/>
        </w:rPr>
        <w:t>Quarter_End</w:t>
      </w:r>
      <w:r w:rsidRPr="00433EB6">
        <w:rPr>
          <w:rFonts w:ascii="Times New Roman" w:hAnsi="Times New Roman" w:cs="Times New Roman"/>
        </w:rPr>
        <w:t xml:space="preserve"> denotes the last trading day of that forecast window</w:t>
      </w:r>
      <w:r w:rsidR="00433EB6" w:rsidRPr="00433EB6">
        <w:rPr>
          <w:rFonts w:ascii="Times New Roman" w:hAnsi="Times New Roman" w:cs="Times New Roman"/>
        </w:rPr>
        <w:t xml:space="preserve"> </w:t>
      </w:r>
      <w:r w:rsidRPr="00433EB6">
        <w:rPr>
          <w:rFonts w:ascii="Times New Roman" w:hAnsi="Times New Roman" w:cs="Times New Roman"/>
        </w:rPr>
        <w:t xml:space="preserve">the date to which the reported RMSE </w:t>
      </w:r>
      <w:r w:rsidR="00FE1D64" w:rsidRPr="00433EB6">
        <w:rPr>
          <w:rFonts w:ascii="Times New Roman" w:hAnsi="Times New Roman" w:cs="Times New Roman"/>
        </w:rPr>
        <w:t>applies,</w:t>
      </w:r>
      <w:r w:rsidR="00433EB6" w:rsidRPr="00433EB6">
        <w:rPr>
          <w:rFonts w:ascii="Times New Roman" w:hAnsi="Times New Roman" w:cs="Times New Roman"/>
        </w:rPr>
        <w:t xml:space="preserve"> </w:t>
      </w:r>
      <w:r w:rsidRPr="00433EB6">
        <w:rPr>
          <w:rFonts w:ascii="Times New Roman" w:hAnsi="Times New Roman" w:cs="Times New Roman"/>
        </w:rPr>
        <w:t>not the training cutoff.</w:t>
      </w:r>
    </w:p>
    <w:p w14:paraId="7D2999FF" w14:textId="77777777" w:rsidR="002F1CB8" w:rsidRPr="00433EB6" w:rsidRDefault="00000000" w:rsidP="00433EB6">
      <w:pPr>
        <w:pStyle w:val="CaptionedFigure"/>
        <w:jc w:val="center"/>
        <w:rPr>
          <w:rFonts w:ascii="Times New Roman" w:hAnsi="Times New Roman" w:cs="Times New Roman"/>
        </w:rPr>
      </w:pPr>
      <w:r w:rsidRPr="00433EB6">
        <w:rPr>
          <w:rFonts w:ascii="Times New Roman" w:hAnsi="Times New Roman" w:cs="Times New Roman"/>
          <w:noProof/>
        </w:rPr>
        <w:lastRenderedPageBreak/>
        <w:drawing>
          <wp:inline distT="0" distB="0" distL="0" distR="0" wp14:anchorId="40178732" wp14:editId="61AA6925">
            <wp:extent cx="5334000" cy="2667000"/>
            <wp:effectExtent l="0" t="0" r="0" b="0"/>
            <wp:docPr id="65" name="Picture" descr="Figure 13: Walk-Forward Quarterly RMSE"/>
            <wp:cNvGraphicFramePr/>
            <a:graphic xmlns:a="http://schemas.openxmlformats.org/drawingml/2006/main">
              <a:graphicData uri="http://schemas.openxmlformats.org/drawingml/2006/picture">
                <pic:pic xmlns:pic="http://schemas.openxmlformats.org/drawingml/2006/picture">
                  <pic:nvPicPr>
                    <pic:cNvPr id="66" name="Picture" descr="outputs/figures/18_walkforward_quarterly_rmse.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14:paraId="4005BB0E"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13: Walk-Forward Quarterly RMSE</w:t>
      </w:r>
    </w:p>
    <w:p w14:paraId="36E5E5D2"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b/>
          <w:bCs/>
        </w:rPr>
        <w:t>Table 4.3: Walk-forward quarterly RMSE for AAPL, MSFT, TSLA ($)</w:t>
      </w:r>
      <w:r w:rsidRPr="00433EB6">
        <w:rPr>
          <w:rFonts w:ascii="Times New Roman" w:hAnsi="Times New Roman" w:cs="Times New Roman"/>
        </w:rPr>
        <w:br/>
      </w:r>
      <w:r w:rsidRPr="00433EB6">
        <w:rPr>
          <w:rFonts w:ascii="Times New Roman" w:hAnsi="Times New Roman" w:cs="Times New Roman"/>
          <w:i/>
          <w:iCs/>
        </w:rPr>
        <w:t xml:space="preserve">Source: </w:t>
      </w:r>
      <w:r w:rsidRPr="00433EB6">
        <w:rPr>
          <w:rStyle w:val="VerbatimChar"/>
          <w:rFonts w:ascii="Times New Roman" w:hAnsi="Times New Roman" w:cs="Times New Roman"/>
          <w:i/>
          <w:iCs/>
        </w:rPr>
        <w:t>AAPL_walkforward_quarterly_rmse.csv</w:t>
      </w:r>
      <w:r w:rsidRPr="00433EB6">
        <w:rPr>
          <w:rFonts w:ascii="Times New Roman" w:hAnsi="Times New Roman" w:cs="Times New Roman"/>
          <w:i/>
          <w:iCs/>
        </w:rPr>
        <w:t xml:space="preserve">, </w:t>
      </w:r>
      <w:r w:rsidRPr="00433EB6">
        <w:rPr>
          <w:rStyle w:val="VerbatimChar"/>
          <w:rFonts w:ascii="Times New Roman" w:hAnsi="Times New Roman" w:cs="Times New Roman"/>
          <w:i/>
          <w:iCs/>
        </w:rPr>
        <w:t>MSFT_walkforward_quarterly_rmse.csv</w:t>
      </w:r>
      <w:r w:rsidRPr="00433EB6">
        <w:rPr>
          <w:rFonts w:ascii="Times New Roman" w:hAnsi="Times New Roman" w:cs="Times New Roman"/>
          <w:i/>
          <w:iCs/>
        </w:rPr>
        <w:t xml:space="preserve">, </w:t>
      </w:r>
      <w:r w:rsidRPr="00433EB6">
        <w:rPr>
          <w:rStyle w:val="VerbatimChar"/>
          <w:rFonts w:ascii="Times New Roman" w:hAnsi="Times New Roman" w:cs="Times New Roman"/>
          <w:i/>
          <w:iCs/>
        </w:rPr>
        <w:t>TSLA_walkforward_quarterly_rmse.csv</w:t>
      </w:r>
    </w:p>
    <w:tbl>
      <w:tblPr>
        <w:tblStyle w:val="Table"/>
        <w:tblW w:w="0" w:type="auto"/>
        <w:jc w:val="center"/>
        <w:tblLook w:val="0020" w:firstRow="1" w:lastRow="0" w:firstColumn="0" w:lastColumn="0" w:noHBand="0" w:noVBand="0"/>
      </w:tblPr>
      <w:tblGrid>
        <w:gridCol w:w="1456"/>
        <w:gridCol w:w="1557"/>
        <w:gridCol w:w="1557"/>
        <w:gridCol w:w="1530"/>
      </w:tblGrid>
      <w:tr w:rsidR="002F1CB8" w:rsidRPr="00433EB6" w14:paraId="72F3C09F" w14:textId="77777777" w:rsidTr="00433EB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CAE8C0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Quarter_End</w:t>
            </w:r>
          </w:p>
        </w:tc>
        <w:tc>
          <w:tcPr>
            <w:tcW w:w="0" w:type="auto"/>
          </w:tcPr>
          <w:p w14:paraId="3F3F6B45"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AAPL RMSE</w:t>
            </w:r>
          </w:p>
        </w:tc>
        <w:tc>
          <w:tcPr>
            <w:tcW w:w="0" w:type="auto"/>
          </w:tcPr>
          <w:p w14:paraId="7F0317C5"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MSFT RMSE</w:t>
            </w:r>
          </w:p>
        </w:tc>
        <w:tc>
          <w:tcPr>
            <w:tcW w:w="0" w:type="auto"/>
          </w:tcPr>
          <w:p w14:paraId="34B3DB6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TSLA RMSE</w:t>
            </w:r>
          </w:p>
        </w:tc>
      </w:tr>
      <w:tr w:rsidR="002F1CB8" w:rsidRPr="00433EB6" w14:paraId="6B85E3AC" w14:textId="77777777" w:rsidTr="00433EB6">
        <w:trPr>
          <w:jc w:val="center"/>
        </w:trPr>
        <w:tc>
          <w:tcPr>
            <w:tcW w:w="0" w:type="auto"/>
          </w:tcPr>
          <w:p w14:paraId="0C31904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2021-04-01</w:t>
            </w:r>
          </w:p>
        </w:tc>
        <w:tc>
          <w:tcPr>
            <w:tcW w:w="0" w:type="auto"/>
          </w:tcPr>
          <w:p w14:paraId="647962E3"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17.82</w:t>
            </w:r>
          </w:p>
        </w:tc>
        <w:tc>
          <w:tcPr>
            <w:tcW w:w="0" w:type="auto"/>
          </w:tcPr>
          <w:p w14:paraId="1FD38FE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23.07</w:t>
            </w:r>
          </w:p>
        </w:tc>
        <w:tc>
          <w:tcPr>
            <w:tcW w:w="0" w:type="auto"/>
          </w:tcPr>
          <w:p w14:paraId="12449146"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98.31</w:t>
            </w:r>
          </w:p>
        </w:tc>
      </w:tr>
      <w:tr w:rsidR="002F1CB8" w:rsidRPr="00433EB6" w14:paraId="3CFF34C9" w14:textId="77777777" w:rsidTr="00433EB6">
        <w:trPr>
          <w:jc w:val="center"/>
        </w:trPr>
        <w:tc>
          <w:tcPr>
            <w:tcW w:w="0" w:type="auto"/>
          </w:tcPr>
          <w:p w14:paraId="0A7C350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2021-07-01</w:t>
            </w:r>
          </w:p>
        </w:tc>
        <w:tc>
          <w:tcPr>
            <w:tcW w:w="0" w:type="auto"/>
          </w:tcPr>
          <w:p w14:paraId="5A09E9A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79.07</w:t>
            </w:r>
          </w:p>
        </w:tc>
        <w:tc>
          <w:tcPr>
            <w:tcW w:w="0" w:type="auto"/>
          </w:tcPr>
          <w:p w14:paraId="4956D09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20.58</w:t>
            </w:r>
          </w:p>
        </w:tc>
        <w:tc>
          <w:tcPr>
            <w:tcW w:w="0" w:type="auto"/>
          </w:tcPr>
          <w:p w14:paraId="228E026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15.16</w:t>
            </w:r>
          </w:p>
        </w:tc>
      </w:tr>
      <w:tr w:rsidR="002F1CB8" w:rsidRPr="00433EB6" w14:paraId="04C01223" w14:textId="77777777" w:rsidTr="00433EB6">
        <w:trPr>
          <w:jc w:val="center"/>
        </w:trPr>
        <w:tc>
          <w:tcPr>
            <w:tcW w:w="0" w:type="auto"/>
          </w:tcPr>
          <w:p w14:paraId="2598D72A"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2021-09-30</w:t>
            </w:r>
          </w:p>
        </w:tc>
        <w:tc>
          <w:tcPr>
            <w:tcW w:w="0" w:type="auto"/>
          </w:tcPr>
          <w:p w14:paraId="73833F6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92.12</w:t>
            </w:r>
          </w:p>
        </w:tc>
        <w:tc>
          <w:tcPr>
            <w:tcW w:w="0" w:type="auto"/>
          </w:tcPr>
          <w:p w14:paraId="0D24F1E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56.43</w:t>
            </w:r>
          </w:p>
        </w:tc>
        <w:tc>
          <w:tcPr>
            <w:tcW w:w="0" w:type="auto"/>
          </w:tcPr>
          <w:p w14:paraId="5D619C8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22.00</w:t>
            </w:r>
          </w:p>
        </w:tc>
      </w:tr>
      <w:tr w:rsidR="002F1CB8" w:rsidRPr="00433EB6" w14:paraId="412CD81F" w14:textId="77777777" w:rsidTr="00433EB6">
        <w:trPr>
          <w:jc w:val="center"/>
        </w:trPr>
        <w:tc>
          <w:tcPr>
            <w:tcW w:w="0" w:type="auto"/>
          </w:tcPr>
          <w:p w14:paraId="578489A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2021-12-30</w:t>
            </w:r>
          </w:p>
        </w:tc>
        <w:tc>
          <w:tcPr>
            <w:tcW w:w="0" w:type="auto"/>
          </w:tcPr>
          <w:p w14:paraId="12A29E3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22.35</w:t>
            </w:r>
          </w:p>
        </w:tc>
        <w:tc>
          <w:tcPr>
            <w:tcW w:w="0" w:type="auto"/>
          </w:tcPr>
          <w:p w14:paraId="039BB0A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197.04</w:t>
            </w:r>
          </w:p>
        </w:tc>
        <w:tc>
          <w:tcPr>
            <w:tcW w:w="0" w:type="auto"/>
          </w:tcPr>
          <w:p w14:paraId="06D5550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131.88</w:t>
            </w:r>
          </w:p>
        </w:tc>
      </w:tr>
      <w:tr w:rsidR="002F1CB8" w:rsidRPr="00433EB6" w14:paraId="1C3C1FF0" w14:textId="77777777" w:rsidTr="00433EB6">
        <w:trPr>
          <w:jc w:val="center"/>
        </w:trPr>
        <w:tc>
          <w:tcPr>
            <w:tcW w:w="0" w:type="auto"/>
          </w:tcPr>
          <w:p w14:paraId="706BF586"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2022-03-31</w:t>
            </w:r>
          </w:p>
        </w:tc>
        <w:tc>
          <w:tcPr>
            <w:tcW w:w="0" w:type="auto"/>
          </w:tcPr>
          <w:p w14:paraId="78B714D4"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102.90</w:t>
            </w:r>
          </w:p>
        </w:tc>
        <w:tc>
          <w:tcPr>
            <w:tcW w:w="0" w:type="auto"/>
          </w:tcPr>
          <w:p w14:paraId="22A712A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171.44</w:t>
            </w:r>
          </w:p>
        </w:tc>
        <w:tc>
          <w:tcPr>
            <w:tcW w:w="0" w:type="auto"/>
          </w:tcPr>
          <w:p w14:paraId="7E83AAC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71.11</w:t>
            </w:r>
          </w:p>
        </w:tc>
      </w:tr>
      <w:tr w:rsidR="002F1CB8" w:rsidRPr="00433EB6" w14:paraId="3E481377" w14:textId="77777777" w:rsidTr="00433EB6">
        <w:trPr>
          <w:jc w:val="center"/>
        </w:trPr>
        <w:tc>
          <w:tcPr>
            <w:tcW w:w="0" w:type="auto"/>
          </w:tcPr>
          <w:p w14:paraId="49A20D2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2022-07-01</w:t>
            </w:r>
          </w:p>
        </w:tc>
        <w:tc>
          <w:tcPr>
            <w:tcW w:w="0" w:type="auto"/>
          </w:tcPr>
          <w:p w14:paraId="68DEAE1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66.42</w:t>
            </w:r>
          </w:p>
        </w:tc>
        <w:tc>
          <w:tcPr>
            <w:tcW w:w="0" w:type="auto"/>
          </w:tcPr>
          <w:p w14:paraId="41CA636E"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20.96</w:t>
            </w:r>
          </w:p>
        </w:tc>
        <w:tc>
          <w:tcPr>
            <w:tcW w:w="0" w:type="auto"/>
          </w:tcPr>
          <w:p w14:paraId="0C554516"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32.75</w:t>
            </w:r>
          </w:p>
        </w:tc>
      </w:tr>
      <w:tr w:rsidR="002F1CB8" w:rsidRPr="00433EB6" w14:paraId="59FC323F" w14:textId="77777777" w:rsidTr="00433EB6">
        <w:trPr>
          <w:jc w:val="center"/>
        </w:trPr>
        <w:tc>
          <w:tcPr>
            <w:tcW w:w="0" w:type="auto"/>
          </w:tcPr>
          <w:p w14:paraId="6E1F9817"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2022-09-30</w:t>
            </w:r>
          </w:p>
        </w:tc>
        <w:tc>
          <w:tcPr>
            <w:tcW w:w="0" w:type="auto"/>
          </w:tcPr>
          <w:p w14:paraId="4D1A9EB8"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87.55</w:t>
            </w:r>
          </w:p>
        </w:tc>
        <w:tc>
          <w:tcPr>
            <w:tcW w:w="0" w:type="auto"/>
          </w:tcPr>
          <w:p w14:paraId="1147D62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30.01</w:t>
            </w:r>
          </w:p>
        </w:tc>
        <w:tc>
          <w:tcPr>
            <w:tcW w:w="0" w:type="auto"/>
          </w:tcPr>
          <w:p w14:paraId="0BEE8F4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12.48</w:t>
            </w:r>
          </w:p>
        </w:tc>
      </w:tr>
      <w:tr w:rsidR="002F1CB8" w:rsidRPr="00433EB6" w14:paraId="4A298939" w14:textId="77777777" w:rsidTr="00433EB6">
        <w:trPr>
          <w:jc w:val="center"/>
        </w:trPr>
        <w:tc>
          <w:tcPr>
            <w:tcW w:w="0" w:type="auto"/>
          </w:tcPr>
          <w:p w14:paraId="3B207A5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2022-12-30</w:t>
            </w:r>
          </w:p>
        </w:tc>
        <w:tc>
          <w:tcPr>
            <w:tcW w:w="0" w:type="auto"/>
          </w:tcPr>
          <w:p w14:paraId="68026B8A"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70.20</w:t>
            </w:r>
          </w:p>
        </w:tc>
        <w:tc>
          <w:tcPr>
            <w:tcW w:w="0" w:type="auto"/>
          </w:tcPr>
          <w:p w14:paraId="3FE48AB7"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33.00</w:t>
            </w:r>
          </w:p>
        </w:tc>
        <w:tc>
          <w:tcPr>
            <w:tcW w:w="0" w:type="auto"/>
          </w:tcPr>
          <w:p w14:paraId="3DAA5271"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29.42</w:t>
            </w:r>
          </w:p>
        </w:tc>
      </w:tr>
      <w:tr w:rsidR="002F1CB8" w:rsidRPr="00433EB6" w14:paraId="4D28AB27" w14:textId="77777777" w:rsidTr="00433EB6">
        <w:trPr>
          <w:jc w:val="center"/>
        </w:trPr>
        <w:tc>
          <w:tcPr>
            <w:tcW w:w="0" w:type="auto"/>
          </w:tcPr>
          <w:p w14:paraId="3682372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2023-04-03</w:t>
            </w:r>
          </w:p>
        </w:tc>
        <w:tc>
          <w:tcPr>
            <w:tcW w:w="0" w:type="auto"/>
          </w:tcPr>
          <w:p w14:paraId="3C8BD9F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6.64</w:t>
            </w:r>
          </w:p>
        </w:tc>
        <w:tc>
          <w:tcPr>
            <w:tcW w:w="0" w:type="auto"/>
          </w:tcPr>
          <w:p w14:paraId="5C36CFE5"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110.52</w:t>
            </w:r>
          </w:p>
        </w:tc>
        <w:tc>
          <w:tcPr>
            <w:tcW w:w="0" w:type="auto"/>
          </w:tcPr>
          <w:p w14:paraId="3DD2703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95.15</w:t>
            </w:r>
          </w:p>
        </w:tc>
      </w:tr>
      <w:tr w:rsidR="002F1CB8" w:rsidRPr="00433EB6" w14:paraId="309F1C90" w14:textId="77777777" w:rsidTr="00433EB6">
        <w:trPr>
          <w:jc w:val="center"/>
        </w:trPr>
        <w:tc>
          <w:tcPr>
            <w:tcW w:w="0" w:type="auto"/>
          </w:tcPr>
          <w:p w14:paraId="2C3ACC96"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2023-07-05</w:t>
            </w:r>
          </w:p>
        </w:tc>
        <w:tc>
          <w:tcPr>
            <w:tcW w:w="0" w:type="auto"/>
          </w:tcPr>
          <w:p w14:paraId="66C77307"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96.62</w:t>
            </w:r>
          </w:p>
        </w:tc>
        <w:tc>
          <w:tcPr>
            <w:tcW w:w="0" w:type="auto"/>
          </w:tcPr>
          <w:p w14:paraId="0C94B9E6"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126.95</w:t>
            </w:r>
          </w:p>
        </w:tc>
        <w:tc>
          <w:tcPr>
            <w:tcW w:w="0" w:type="auto"/>
          </w:tcPr>
          <w:p w14:paraId="40AC64A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16.61</w:t>
            </w:r>
          </w:p>
        </w:tc>
      </w:tr>
      <w:tr w:rsidR="002F1CB8" w:rsidRPr="00433EB6" w14:paraId="1DDD729B" w14:textId="77777777" w:rsidTr="00433EB6">
        <w:trPr>
          <w:jc w:val="center"/>
        </w:trPr>
        <w:tc>
          <w:tcPr>
            <w:tcW w:w="0" w:type="auto"/>
          </w:tcPr>
          <w:p w14:paraId="6317806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2023-10-03</w:t>
            </w:r>
          </w:p>
        </w:tc>
        <w:tc>
          <w:tcPr>
            <w:tcW w:w="0" w:type="auto"/>
          </w:tcPr>
          <w:p w14:paraId="17A4C855"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103.17</w:t>
            </w:r>
          </w:p>
        </w:tc>
        <w:tc>
          <w:tcPr>
            <w:tcW w:w="0" w:type="auto"/>
          </w:tcPr>
          <w:p w14:paraId="27A6161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133.31</w:t>
            </w:r>
          </w:p>
        </w:tc>
        <w:tc>
          <w:tcPr>
            <w:tcW w:w="0" w:type="auto"/>
          </w:tcPr>
          <w:p w14:paraId="29AAF09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162.04</w:t>
            </w:r>
          </w:p>
        </w:tc>
      </w:tr>
      <w:tr w:rsidR="002F1CB8" w:rsidRPr="00433EB6" w14:paraId="50BDFE2D" w14:textId="77777777" w:rsidTr="00433EB6">
        <w:trPr>
          <w:jc w:val="center"/>
        </w:trPr>
        <w:tc>
          <w:tcPr>
            <w:tcW w:w="0" w:type="auto"/>
          </w:tcPr>
          <w:p w14:paraId="5382674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2024-01-03</w:t>
            </w:r>
          </w:p>
        </w:tc>
        <w:tc>
          <w:tcPr>
            <w:tcW w:w="0" w:type="auto"/>
          </w:tcPr>
          <w:p w14:paraId="4CC190EC"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104.12</w:t>
            </w:r>
          </w:p>
        </w:tc>
        <w:tc>
          <w:tcPr>
            <w:tcW w:w="0" w:type="auto"/>
          </w:tcPr>
          <w:p w14:paraId="38E17E0F"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185.70</w:t>
            </w:r>
          </w:p>
        </w:tc>
        <w:tc>
          <w:tcPr>
            <w:tcW w:w="0" w:type="auto"/>
          </w:tcPr>
          <w:p w14:paraId="3DADD48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135.91</w:t>
            </w:r>
          </w:p>
        </w:tc>
      </w:tr>
      <w:tr w:rsidR="002F1CB8" w:rsidRPr="00433EB6" w14:paraId="34FFE03B" w14:textId="77777777" w:rsidTr="00433EB6">
        <w:trPr>
          <w:jc w:val="center"/>
        </w:trPr>
        <w:tc>
          <w:tcPr>
            <w:tcW w:w="0" w:type="auto"/>
          </w:tcPr>
          <w:p w14:paraId="23CCEFB9"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2024-04-04</w:t>
            </w:r>
          </w:p>
        </w:tc>
        <w:tc>
          <w:tcPr>
            <w:tcW w:w="0" w:type="auto"/>
          </w:tcPr>
          <w:p w14:paraId="08154ADA"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92.53</w:t>
            </w:r>
          </w:p>
        </w:tc>
        <w:tc>
          <w:tcPr>
            <w:tcW w:w="0" w:type="auto"/>
          </w:tcPr>
          <w:p w14:paraId="33E53AFA"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218.34</w:t>
            </w:r>
          </w:p>
        </w:tc>
        <w:tc>
          <w:tcPr>
            <w:tcW w:w="0" w:type="auto"/>
          </w:tcPr>
          <w:p w14:paraId="7C1461FB"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7.87</w:t>
            </w:r>
          </w:p>
        </w:tc>
      </w:tr>
      <w:tr w:rsidR="002F1CB8" w:rsidRPr="00433EB6" w14:paraId="7AAD10BA" w14:textId="77777777" w:rsidTr="00433EB6">
        <w:trPr>
          <w:jc w:val="center"/>
        </w:trPr>
        <w:tc>
          <w:tcPr>
            <w:tcW w:w="0" w:type="auto"/>
          </w:tcPr>
          <w:p w14:paraId="574A0FA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2024-07-05</w:t>
            </w:r>
          </w:p>
        </w:tc>
        <w:tc>
          <w:tcPr>
            <w:tcW w:w="0" w:type="auto"/>
          </w:tcPr>
          <w:p w14:paraId="4F463EF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98.93</w:t>
            </w:r>
          </w:p>
        </w:tc>
        <w:tc>
          <w:tcPr>
            <w:tcW w:w="0" w:type="auto"/>
          </w:tcPr>
          <w:p w14:paraId="54E9B13D"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240.80</w:t>
            </w:r>
          </w:p>
        </w:tc>
        <w:tc>
          <w:tcPr>
            <w:tcW w:w="0" w:type="auto"/>
          </w:tcPr>
          <w:p w14:paraId="24415D82"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75.97</w:t>
            </w:r>
          </w:p>
        </w:tc>
      </w:tr>
      <w:tr w:rsidR="002F1CB8" w:rsidRPr="00433EB6" w14:paraId="7B28C165" w14:textId="77777777" w:rsidTr="00433EB6">
        <w:trPr>
          <w:jc w:val="center"/>
        </w:trPr>
        <w:tc>
          <w:tcPr>
            <w:tcW w:w="0" w:type="auto"/>
          </w:tcPr>
          <w:p w14:paraId="5C679ADE"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2024-10-03</w:t>
            </w:r>
          </w:p>
        </w:tc>
        <w:tc>
          <w:tcPr>
            <w:tcW w:w="0" w:type="auto"/>
          </w:tcPr>
          <w:p w14:paraId="0DAD14B0"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126.73</w:t>
            </w:r>
          </w:p>
        </w:tc>
        <w:tc>
          <w:tcPr>
            <w:tcW w:w="0" w:type="auto"/>
          </w:tcPr>
          <w:p w14:paraId="43FF55D7"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232.08</w:t>
            </w:r>
          </w:p>
        </w:tc>
        <w:tc>
          <w:tcPr>
            <w:tcW w:w="0" w:type="auto"/>
          </w:tcPr>
          <w:p w14:paraId="358CF1E5" w14:textId="77777777" w:rsidR="002F1CB8" w:rsidRPr="00433EB6" w:rsidRDefault="00000000" w:rsidP="00433EB6">
            <w:pPr>
              <w:pStyle w:val="Compact"/>
              <w:jc w:val="center"/>
              <w:rPr>
                <w:rFonts w:ascii="Times New Roman" w:hAnsi="Times New Roman" w:cs="Times New Roman"/>
              </w:rPr>
            </w:pPr>
            <w:r w:rsidRPr="00433EB6">
              <w:rPr>
                <w:rFonts w:ascii="Times New Roman" w:hAnsi="Times New Roman" w:cs="Times New Roman"/>
              </w:rPr>
              <w:t>118.58</w:t>
            </w:r>
          </w:p>
        </w:tc>
      </w:tr>
    </w:tbl>
    <w:p w14:paraId="65902C69"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AAPL RMSE rose from </w:t>
      </w:r>
      <w:r w:rsidRPr="00433EB6">
        <w:rPr>
          <w:rFonts w:ascii="Times New Roman" w:hAnsi="Times New Roman" w:cs="Times New Roman"/>
          <w:b/>
          <w:bCs/>
        </w:rPr>
        <w:t>$17.82</w:t>
      </w:r>
      <w:r w:rsidRPr="00433EB6">
        <w:rPr>
          <w:rFonts w:ascii="Times New Roman" w:hAnsi="Times New Roman" w:cs="Times New Roman"/>
        </w:rPr>
        <w:t xml:space="preserve"> (Q1) to </w:t>
      </w:r>
      <w:r w:rsidRPr="00433EB6">
        <w:rPr>
          <w:rFonts w:ascii="Times New Roman" w:hAnsi="Times New Roman" w:cs="Times New Roman"/>
          <w:b/>
          <w:bCs/>
        </w:rPr>
        <w:t>$126.73</w:t>
      </w:r>
      <w:r w:rsidRPr="00433EB6">
        <w:rPr>
          <w:rFonts w:ascii="Times New Roman" w:hAnsi="Times New Roman" w:cs="Times New Roman"/>
        </w:rPr>
        <w:t xml:space="preserve"> (Q15), a 7.1× increase. MSFT exhibited the most pronounced deterioration: </w:t>
      </w:r>
      <w:r w:rsidRPr="00433EB6">
        <w:rPr>
          <w:rFonts w:ascii="Times New Roman" w:hAnsi="Times New Roman" w:cs="Times New Roman"/>
          <w:b/>
          <w:bCs/>
        </w:rPr>
        <w:t>$23.07</w:t>
      </w:r>
      <w:r w:rsidRPr="00433EB6">
        <w:rPr>
          <w:rFonts w:ascii="Times New Roman" w:hAnsi="Times New Roman" w:cs="Times New Roman"/>
        </w:rPr>
        <w:t xml:space="preserve"> → </w:t>
      </w:r>
      <w:r w:rsidRPr="00433EB6">
        <w:rPr>
          <w:rFonts w:ascii="Times New Roman" w:hAnsi="Times New Roman" w:cs="Times New Roman"/>
          <w:b/>
          <w:bCs/>
        </w:rPr>
        <w:t>$232.08</w:t>
      </w:r>
      <w:r w:rsidRPr="00433EB6">
        <w:rPr>
          <w:rFonts w:ascii="Times New Roman" w:hAnsi="Times New Roman" w:cs="Times New Roman"/>
        </w:rPr>
        <w:t xml:space="preserve"> (10.1×). These trajectories indicate that models trained predominantly on the zero-interest-rate period (2015–2021) encounter severe error inflation when evaluated on 2023–2024 observations characterised by elevated discount </w:t>
      </w:r>
      <w:r w:rsidRPr="00433EB6">
        <w:rPr>
          <w:rFonts w:ascii="Times New Roman" w:hAnsi="Times New Roman" w:cs="Times New Roman"/>
        </w:rPr>
        <w:lastRenderedPageBreak/>
        <w:t>rates and altered sector rotations. TSLA RMSE remained volatile throughout (range $7.87–$162.04), reflecting its inherent idiosyncratic risk rather than monotonic drift.</w:t>
      </w:r>
    </w:p>
    <w:p w14:paraId="6704A790" w14:textId="77777777" w:rsidR="002F1CB8" w:rsidRPr="00433EB6" w:rsidRDefault="00000000" w:rsidP="00433EB6">
      <w:pPr>
        <w:pStyle w:val="CaptionedFigure"/>
        <w:jc w:val="center"/>
        <w:rPr>
          <w:rFonts w:ascii="Times New Roman" w:hAnsi="Times New Roman" w:cs="Times New Roman"/>
        </w:rPr>
      </w:pPr>
      <w:r w:rsidRPr="00433EB6">
        <w:rPr>
          <w:rFonts w:ascii="Times New Roman" w:hAnsi="Times New Roman" w:cs="Times New Roman"/>
          <w:noProof/>
        </w:rPr>
        <w:drawing>
          <wp:inline distT="0" distB="0" distL="0" distR="0" wp14:anchorId="6190A46E" wp14:editId="0500F0B3">
            <wp:extent cx="5334000" cy="2667000"/>
            <wp:effectExtent l="0" t="0" r="0" b="0"/>
            <wp:docPr id="68" name="Picture" descr="Figure 14: TSLA MC Dropout Annotated"/>
            <wp:cNvGraphicFramePr/>
            <a:graphic xmlns:a="http://schemas.openxmlformats.org/drawingml/2006/main">
              <a:graphicData uri="http://schemas.openxmlformats.org/drawingml/2006/picture">
                <pic:pic xmlns:pic="http://schemas.openxmlformats.org/drawingml/2006/picture">
                  <pic:nvPicPr>
                    <pic:cNvPr id="69" name="Picture" descr="outputs/figures/19_TSLA_mc_annotated.png"/>
                    <pic:cNvPicPr>
                      <a:picLocks noChangeAspect="1" noChangeArrowheads="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14:paraId="389D1CF9" w14:textId="77777777" w:rsidR="002F1CB8" w:rsidRPr="00433EB6" w:rsidRDefault="00000000" w:rsidP="00433EB6">
      <w:pPr>
        <w:pStyle w:val="ImageCaption"/>
        <w:jc w:val="center"/>
        <w:rPr>
          <w:rFonts w:ascii="Times New Roman" w:hAnsi="Times New Roman" w:cs="Times New Roman"/>
        </w:rPr>
      </w:pPr>
      <w:r w:rsidRPr="00433EB6">
        <w:rPr>
          <w:rFonts w:ascii="Times New Roman" w:hAnsi="Times New Roman" w:cs="Times New Roman"/>
        </w:rPr>
        <w:t>Figure 14: TSLA MC Dropout Annotated</w:t>
      </w:r>
    </w:p>
    <w:p w14:paraId="7E6D583E"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Figure 14 overlays MC Dropout intervals on TSLA with annotated market events, illustrating interval widening during high-volatility episodes and the difficulty of maintaining calibrated uncertainty under regime change. The interval widens visibly around the post-election rally of November 2024 (actual price: ~$450), where the calibrated band spans approximately $133, compared to $41 during the low-volatility mid-2024 period.</w:t>
      </w:r>
    </w:p>
    <w:p w14:paraId="43DF2FEB"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101EA340">
          <v:rect id="_x0000_i1439" style="width:0;height:1.5pt" o:hralign="center" o:hrstd="t" o:hr="t"/>
        </w:pict>
      </w:r>
    </w:p>
    <w:p w14:paraId="643E2BB3" w14:textId="77777777" w:rsidR="002F1CB8" w:rsidRPr="00FE1D64" w:rsidRDefault="00000000" w:rsidP="00433EB6">
      <w:pPr>
        <w:pStyle w:val="Heading2"/>
        <w:jc w:val="both"/>
        <w:rPr>
          <w:rFonts w:ascii="Times New Roman" w:hAnsi="Times New Roman" w:cs="Times New Roman"/>
          <w:b/>
          <w:bCs/>
          <w:color w:val="auto"/>
        </w:rPr>
      </w:pPr>
      <w:bookmarkStart w:id="21" w:name="critical-analysis"/>
      <w:bookmarkEnd w:id="14"/>
      <w:bookmarkEnd w:id="20"/>
      <w:r w:rsidRPr="00FE1D64">
        <w:rPr>
          <w:rFonts w:ascii="Times New Roman" w:hAnsi="Times New Roman" w:cs="Times New Roman"/>
          <w:b/>
          <w:bCs/>
          <w:color w:val="auto"/>
        </w:rPr>
        <w:t>5. Critical Analysis</w:t>
      </w:r>
    </w:p>
    <w:p w14:paraId="401F705B" w14:textId="77777777" w:rsidR="002F1CB8" w:rsidRPr="00FE1D64" w:rsidRDefault="00000000" w:rsidP="00433EB6">
      <w:pPr>
        <w:pStyle w:val="Heading3"/>
        <w:jc w:val="both"/>
        <w:rPr>
          <w:rFonts w:ascii="Times New Roman" w:hAnsi="Times New Roman" w:cs="Times New Roman"/>
          <w:b/>
          <w:bCs/>
          <w:color w:val="auto"/>
        </w:rPr>
      </w:pPr>
      <w:bookmarkStart w:id="22" w:name="strengths"/>
      <w:r w:rsidRPr="00FE1D64">
        <w:rPr>
          <w:rFonts w:ascii="Times New Roman" w:hAnsi="Times New Roman" w:cs="Times New Roman"/>
          <w:b/>
          <w:bCs/>
          <w:color w:val="auto"/>
        </w:rPr>
        <w:t>5.1 Strengths</w:t>
      </w:r>
    </w:p>
    <w:p w14:paraId="11263657"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Several methodological and empirical strengths emerge from this investigation. First, the </w:t>
      </w:r>
      <w:r w:rsidRPr="00433EB6">
        <w:rPr>
          <w:rFonts w:ascii="Times New Roman" w:hAnsi="Times New Roman" w:cs="Times New Roman"/>
          <w:b/>
          <w:bCs/>
        </w:rPr>
        <w:t>VanillaRNN generalisation advantage</w:t>
      </w:r>
      <w:r w:rsidRPr="00433EB6">
        <w:rPr>
          <w:rFonts w:ascii="Times New Roman" w:hAnsi="Times New Roman" w:cs="Times New Roman"/>
        </w:rPr>
        <w:t xml:space="preserve"> attributable to its low parameter-to-sample ratio (8:1 vs. 70:1 for StackedLSTM) was consistently observed: VanillaRNN secured six of the top ten R² rankings despite lacking gating mechanisms. Second, </w:t>
      </w:r>
      <w:r w:rsidRPr="00433EB6">
        <w:rPr>
          <w:rFonts w:ascii="Times New Roman" w:hAnsi="Times New Roman" w:cs="Times New Roman"/>
          <w:b/>
          <w:bCs/>
        </w:rPr>
        <w:t>SlimLSTM + MC on AMZN</w:t>
      </w:r>
      <w:r w:rsidRPr="00433EB6">
        <w:rPr>
          <w:rFonts w:ascii="Times New Roman" w:hAnsi="Times New Roman" w:cs="Times New Roman"/>
        </w:rPr>
        <w:t xml:space="preserve"> delivered the best coverage–width trade-off in Phase 2 (86.3% coverage, $26.52 width) while preserving R² 0.8500, demonstrating that Phase 2 architectural fixes yield practically useful uncertainty bands when the underlying point forecast is accurate. Third, </w:t>
      </w:r>
      <w:r w:rsidRPr="00433EB6">
        <w:rPr>
          <w:rFonts w:ascii="Times New Roman" w:hAnsi="Times New Roman" w:cs="Times New Roman"/>
          <w:b/>
          <w:bCs/>
        </w:rPr>
        <w:t>QuantileLSTM’s direct quantile optimisation</w:t>
      </w:r>
      <w:r w:rsidRPr="00433EB6">
        <w:rPr>
          <w:rFonts w:ascii="Times New Roman" w:hAnsi="Times New Roman" w:cs="Times New Roman"/>
        </w:rPr>
        <w:t xml:space="preserve"> produced well-calibrated bands on TSLA (96.8% coverage) without post-hoc MAE scaling, validating the pinball-loss approach for heteroskedastic assets.</w:t>
      </w:r>
    </w:p>
    <w:p w14:paraId="01FF74F0" w14:textId="07757538"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The experimental pipeline itself</w:t>
      </w:r>
      <w:r w:rsidR="00433EB6" w:rsidRPr="00433EB6">
        <w:rPr>
          <w:rFonts w:ascii="Times New Roman" w:hAnsi="Times New Roman" w:cs="Times New Roman"/>
        </w:rPr>
        <w:t xml:space="preserve"> </w:t>
      </w:r>
      <w:r w:rsidRPr="00433EB6">
        <w:rPr>
          <w:rFonts w:ascii="Times New Roman" w:hAnsi="Times New Roman" w:cs="Times New Roman"/>
        </w:rPr>
        <w:t>chronological splits, train-only scaling, walk-forward ARIMA benchmarking, and unified metric reporting</w:t>
      </w:r>
      <w:r w:rsidR="00433EB6" w:rsidRPr="00433EB6">
        <w:rPr>
          <w:rFonts w:ascii="Times New Roman" w:hAnsi="Times New Roman" w:cs="Times New Roman"/>
        </w:rPr>
        <w:t xml:space="preserve"> </w:t>
      </w:r>
      <w:r w:rsidRPr="00433EB6">
        <w:rPr>
          <w:rFonts w:ascii="Times New Roman" w:hAnsi="Times New Roman" w:cs="Times New Roman"/>
        </w:rPr>
        <w:t>provides a reproducible framework for comparing neural and classical forecasters on identical data.</w:t>
      </w:r>
    </w:p>
    <w:p w14:paraId="35238EF7" w14:textId="77777777" w:rsidR="00E15A4F" w:rsidRDefault="00000000" w:rsidP="00433EB6">
      <w:pPr>
        <w:pStyle w:val="Heading3"/>
        <w:jc w:val="both"/>
        <w:rPr>
          <w:rFonts w:ascii="Times New Roman" w:hAnsi="Times New Roman" w:cs="Times New Roman"/>
          <w:b/>
          <w:bCs/>
          <w:color w:val="auto"/>
        </w:rPr>
      </w:pPr>
      <w:bookmarkStart w:id="23" w:name="X1912048b65ace461915c74df6d049359d7b22f4"/>
      <w:bookmarkEnd w:id="22"/>
      <w:r w:rsidRPr="00FE1D64">
        <w:rPr>
          <w:rFonts w:ascii="Times New Roman" w:hAnsi="Times New Roman" w:cs="Times New Roman"/>
          <w:b/>
          <w:bCs/>
          <w:color w:val="auto"/>
        </w:rPr>
        <w:lastRenderedPageBreak/>
        <w:t>5.2 Limitation</w:t>
      </w:r>
      <w:r w:rsidR="00E15A4F">
        <w:rPr>
          <w:rFonts w:ascii="Times New Roman" w:hAnsi="Times New Roman" w:cs="Times New Roman"/>
          <w:b/>
          <w:bCs/>
          <w:color w:val="auto"/>
        </w:rPr>
        <w:t>s</w:t>
      </w:r>
      <w:r w:rsidRPr="00FE1D64">
        <w:rPr>
          <w:rFonts w:ascii="Times New Roman" w:hAnsi="Times New Roman" w:cs="Times New Roman"/>
          <w:b/>
          <w:bCs/>
          <w:color w:val="auto"/>
        </w:rPr>
        <w:t xml:space="preserve"> </w:t>
      </w:r>
    </w:p>
    <w:p w14:paraId="4035B9AF" w14:textId="5A4DC5FA" w:rsidR="002F1CB8" w:rsidRPr="00FE1D64" w:rsidRDefault="00E15A4F" w:rsidP="00433EB6">
      <w:pPr>
        <w:pStyle w:val="Heading3"/>
        <w:jc w:val="both"/>
        <w:rPr>
          <w:rFonts w:ascii="Times New Roman" w:hAnsi="Times New Roman" w:cs="Times New Roman"/>
          <w:b/>
          <w:bCs/>
          <w:color w:val="auto"/>
        </w:rPr>
      </w:pPr>
      <w:r w:rsidRPr="00FE1D64">
        <w:rPr>
          <w:rFonts w:ascii="Times New Roman" w:hAnsi="Times New Roman" w:cs="Times New Roman"/>
          <w:b/>
          <w:bCs/>
          <w:color w:val="auto"/>
        </w:rPr>
        <w:t>5.2</w:t>
      </w:r>
      <w:r>
        <w:rPr>
          <w:rFonts w:ascii="Times New Roman" w:hAnsi="Times New Roman" w:cs="Times New Roman"/>
          <w:b/>
          <w:bCs/>
          <w:color w:val="auto"/>
        </w:rPr>
        <w:t>.1</w:t>
      </w:r>
      <w:r w:rsidRPr="00FE1D64">
        <w:rPr>
          <w:rFonts w:ascii="Times New Roman" w:hAnsi="Times New Roman" w:cs="Times New Roman"/>
          <w:b/>
          <w:bCs/>
          <w:color w:val="auto"/>
        </w:rPr>
        <w:t xml:space="preserve"> </w:t>
      </w:r>
      <w:r w:rsidR="00000000" w:rsidRPr="00FE1D64">
        <w:rPr>
          <w:rFonts w:ascii="Times New Roman" w:hAnsi="Times New Roman" w:cs="Times New Roman"/>
          <w:b/>
          <w:bCs/>
          <w:color w:val="auto"/>
        </w:rPr>
        <w:t>Overfitting and Capacity Mismatch</w:t>
      </w:r>
    </w:p>
    <w:p w14:paraId="682145A4"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StackedLSTM’s 119,745 parameters relative to 1,700 training windows yield approximately </w:t>
      </w:r>
      <w:r w:rsidRPr="00433EB6">
        <w:rPr>
          <w:rFonts w:ascii="Times New Roman" w:hAnsi="Times New Roman" w:cs="Times New Roman"/>
          <w:b/>
          <w:bCs/>
        </w:rPr>
        <w:t>70 parameters per sample</w:t>
      </w:r>
      <w:r w:rsidRPr="00433EB6">
        <w:rPr>
          <w:rFonts w:ascii="Times New Roman" w:hAnsi="Times New Roman" w:cs="Times New Roman"/>
        </w:rPr>
        <w:t>, far exceeding the ~8:1 ratio of VanillaRNN (13,665 / 1,700). This mismatch precipitates memorisation of training-set noise, evidenced by validation-loss spikes (AAPL: 6.67; AMZN: 14.74; NVDA: 8.83 at epoch 10) while training loss monotonically decreases. Negative test R² values for StackedLSTM on AAPL (−3.58), META (−2.22), and TSLA (−1.54) confirm that the model performs worse than a horizontal mean baseline.</w:t>
      </w:r>
    </w:p>
    <w:p w14:paraId="5F7997F7"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The lesson is structural: in data-scarce financial settings (≈1,700 sequences), high-capacity gated architectures require either substantially more data, regularisation beyond dropout, or architecture modifications (as in SlimLSTM) to generalise effectively.</w:t>
      </w:r>
    </w:p>
    <w:p w14:paraId="56C7D471" w14:textId="024B51F6" w:rsidR="002F1CB8" w:rsidRPr="00FE1D64" w:rsidRDefault="00000000" w:rsidP="00433EB6">
      <w:pPr>
        <w:pStyle w:val="Heading3"/>
        <w:jc w:val="both"/>
        <w:rPr>
          <w:rFonts w:ascii="Times New Roman" w:hAnsi="Times New Roman" w:cs="Times New Roman"/>
          <w:b/>
          <w:bCs/>
          <w:color w:val="auto"/>
        </w:rPr>
      </w:pPr>
      <w:bookmarkStart w:id="24" w:name="X0bc0af80aba9a50b93f7b5ea1ead90a35f99727"/>
      <w:bookmarkEnd w:id="23"/>
      <w:r w:rsidRPr="00FE1D64">
        <w:rPr>
          <w:rFonts w:ascii="Times New Roman" w:hAnsi="Times New Roman" w:cs="Times New Roman"/>
          <w:b/>
          <w:bCs/>
          <w:color w:val="auto"/>
        </w:rPr>
        <w:t>5.</w:t>
      </w:r>
      <w:r w:rsidR="00E15A4F">
        <w:rPr>
          <w:rFonts w:ascii="Times New Roman" w:hAnsi="Times New Roman" w:cs="Times New Roman"/>
          <w:b/>
          <w:bCs/>
          <w:color w:val="auto"/>
        </w:rPr>
        <w:t>2.2</w:t>
      </w:r>
      <w:r w:rsidRPr="00FE1D64">
        <w:rPr>
          <w:rFonts w:ascii="Times New Roman" w:hAnsi="Times New Roman" w:cs="Times New Roman"/>
          <w:b/>
          <w:bCs/>
          <w:color w:val="auto"/>
        </w:rPr>
        <w:t xml:space="preserve"> Regime Shift and Data Dependency</w:t>
      </w:r>
    </w:p>
    <w:p w14:paraId="4B2DDA9A"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BatchNorm’s reliance on training-set running statistics constitutes a </w:t>
      </w:r>
      <w:r w:rsidRPr="00433EB6">
        <w:rPr>
          <w:rFonts w:ascii="Times New Roman" w:hAnsi="Times New Roman" w:cs="Times New Roman"/>
          <w:b/>
          <w:bCs/>
        </w:rPr>
        <w:t>regime-shift failure mode</w:t>
      </w:r>
      <w:r w:rsidRPr="00433EB6">
        <w:rPr>
          <w:rFonts w:ascii="Times New Roman" w:hAnsi="Times New Roman" w:cs="Times New Roman"/>
        </w:rPr>
        <w:t>. Statistics locked to the 2015–2021 bull market are misapplied when 2022–2024 observations exhibit different volatility and mean-reversion properties. Walk-forward evidence quantifies this: AAPL quarterly RMSE grew from $17.82 to $126.73; MSFT from $23.07 to $232.08.</w:t>
      </w:r>
    </w:p>
    <w:p w14:paraId="392820D6" w14:textId="3EC3D8C8"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The training period encompassed the zero-interest-rate policy (ZIRP) era, while the test period coincided with aggressive Federal Reserve tightening (2022–2023) and the subsequent AI-driven rally (2023–2024). Univariate price history cannot encode these macroeconomic transitions, and models that implicitly assume </w:t>
      </w:r>
      <w:r w:rsidR="00FE1D64" w:rsidRPr="00433EB6">
        <w:rPr>
          <w:rFonts w:ascii="Times New Roman" w:hAnsi="Times New Roman" w:cs="Times New Roman"/>
        </w:rPr>
        <w:t>stationary,</w:t>
      </w:r>
      <w:r w:rsidR="00433EB6" w:rsidRPr="00433EB6">
        <w:rPr>
          <w:rFonts w:ascii="Times New Roman" w:hAnsi="Times New Roman" w:cs="Times New Roman"/>
        </w:rPr>
        <w:t xml:space="preserve"> </w:t>
      </w:r>
      <w:r w:rsidRPr="00433EB6">
        <w:rPr>
          <w:rFonts w:ascii="Times New Roman" w:hAnsi="Times New Roman" w:cs="Times New Roman"/>
        </w:rPr>
        <w:t>particularly those with fixed normalisation layers</w:t>
      </w:r>
      <w:r w:rsidR="00433EB6" w:rsidRPr="00433EB6">
        <w:rPr>
          <w:rFonts w:ascii="Times New Roman" w:hAnsi="Times New Roman" w:cs="Times New Roman"/>
        </w:rPr>
        <w:t xml:space="preserve"> </w:t>
      </w:r>
      <w:r w:rsidRPr="00433EB6">
        <w:rPr>
          <w:rFonts w:ascii="Times New Roman" w:hAnsi="Times New Roman" w:cs="Times New Roman"/>
        </w:rPr>
        <w:t>fail accordingly. LayerNorm (SlimLSTM) mitigates but does not eliminate this limitation, as MSFT SlimLSTM still achieved R² −3.81 on the fixed split.</w:t>
      </w:r>
    </w:p>
    <w:p w14:paraId="538071E1" w14:textId="3DA46740" w:rsidR="002F1CB8" w:rsidRPr="00FE1D64" w:rsidRDefault="00000000" w:rsidP="00433EB6">
      <w:pPr>
        <w:pStyle w:val="Heading3"/>
        <w:jc w:val="both"/>
        <w:rPr>
          <w:rFonts w:ascii="Times New Roman" w:hAnsi="Times New Roman" w:cs="Times New Roman"/>
          <w:b/>
          <w:bCs/>
          <w:color w:val="auto"/>
        </w:rPr>
      </w:pPr>
      <w:bookmarkStart w:id="25" w:name="limitation-3-market-efficiency-da-50"/>
      <w:bookmarkEnd w:id="24"/>
      <w:r w:rsidRPr="00FE1D64">
        <w:rPr>
          <w:rFonts w:ascii="Times New Roman" w:hAnsi="Times New Roman" w:cs="Times New Roman"/>
          <w:b/>
          <w:bCs/>
          <w:color w:val="auto"/>
        </w:rPr>
        <w:t>5.</w:t>
      </w:r>
      <w:r w:rsidR="00E15A4F">
        <w:rPr>
          <w:rFonts w:ascii="Times New Roman" w:hAnsi="Times New Roman" w:cs="Times New Roman"/>
          <w:b/>
          <w:bCs/>
          <w:color w:val="auto"/>
        </w:rPr>
        <w:t>2.3</w:t>
      </w:r>
      <w:r w:rsidRPr="00FE1D64">
        <w:rPr>
          <w:rFonts w:ascii="Times New Roman" w:hAnsi="Times New Roman" w:cs="Times New Roman"/>
          <w:b/>
          <w:bCs/>
          <w:color w:val="auto"/>
        </w:rPr>
        <w:t xml:space="preserve"> Market Efficiency (DA ≈ 50%)</w:t>
      </w:r>
    </w:p>
    <w:p w14:paraId="019DB12A"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 xml:space="preserve">Directional accuracy across all Phase 1 models and tickers ranged from </w:t>
      </w:r>
      <w:r w:rsidRPr="00433EB6">
        <w:rPr>
          <w:rFonts w:ascii="Times New Roman" w:hAnsi="Times New Roman" w:cs="Times New Roman"/>
          <w:b/>
          <w:bCs/>
        </w:rPr>
        <w:t>46.3% to 53.5%</w:t>
      </w:r>
      <w:r w:rsidRPr="00433EB6">
        <w:rPr>
          <w:rFonts w:ascii="Times New Roman" w:hAnsi="Times New Roman" w:cs="Times New Roman"/>
        </w:rPr>
        <w:t>, indistinguishable from a fair-coin baseline at the daily horizon. Under Fama’s (1970) weak-form EMH, prices reflect all historical price information; exploitable directional predictability should be absent once transaction costs are considered.</w:t>
      </w:r>
    </w:p>
    <w:p w14:paraId="19A2455E"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The statistical implication is a separation of </w:t>
      </w:r>
      <w:r w:rsidRPr="00433EB6">
        <w:rPr>
          <w:rFonts w:ascii="Times New Roman" w:hAnsi="Times New Roman" w:cs="Times New Roman"/>
          <w:b/>
          <w:bCs/>
        </w:rPr>
        <w:t>level predictability</w:t>
      </w:r>
      <w:r w:rsidRPr="00433EB6">
        <w:rPr>
          <w:rFonts w:ascii="Times New Roman" w:hAnsi="Times New Roman" w:cs="Times New Roman"/>
        </w:rPr>
        <w:t xml:space="preserve"> from </w:t>
      </w:r>
      <w:r w:rsidRPr="00433EB6">
        <w:rPr>
          <w:rFonts w:ascii="Times New Roman" w:hAnsi="Times New Roman" w:cs="Times New Roman"/>
          <w:b/>
          <w:bCs/>
        </w:rPr>
        <w:t>directional unpredictability</w:t>
      </w:r>
      <w:r w:rsidRPr="00433EB6">
        <w:rPr>
          <w:rFonts w:ascii="Times New Roman" w:hAnsi="Times New Roman" w:cs="Times New Roman"/>
        </w:rPr>
        <w:t>: RNNs can track slow-moving price trends (high R² on AMD, AMZN) while remaining unable to forecast the sign of daily returns. Any trading strategy derived from these models should focus on magnitude forecasts and uncertainty intervals rather than binary long/short signals.</w:t>
      </w:r>
    </w:p>
    <w:p w14:paraId="014BE7F7" w14:textId="6BAC3F19" w:rsidR="002F1CB8" w:rsidRPr="00FE1D64" w:rsidRDefault="00000000" w:rsidP="00433EB6">
      <w:pPr>
        <w:pStyle w:val="Heading3"/>
        <w:jc w:val="both"/>
        <w:rPr>
          <w:rFonts w:ascii="Times New Roman" w:hAnsi="Times New Roman" w:cs="Times New Roman"/>
          <w:b/>
          <w:bCs/>
          <w:color w:val="auto"/>
        </w:rPr>
      </w:pPr>
      <w:bookmarkStart w:id="26" w:name="limitation-4-uncertainty-quantification"/>
      <w:bookmarkEnd w:id="25"/>
      <w:r w:rsidRPr="00FE1D64">
        <w:rPr>
          <w:rFonts w:ascii="Times New Roman" w:hAnsi="Times New Roman" w:cs="Times New Roman"/>
          <w:b/>
          <w:bCs/>
          <w:color w:val="auto"/>
        </w:rPr>
        <w:t>5.</w:t>
      </w:r>
      <w:r w:rsidR="00E15A4F">
        <w:rPr>
          <w:rFonts w:ascii="Times New Roman" w:hAnsi="Times New Roman" w:cs="Times New Roman"/>
          <w:b/>
          <w:bCs/>
          <w:color w:val="auto"/>
        </w:rPr>
        <w:t>2.4</w:t>
      </w:r>
      <w:r w:rsidRPr="00FE1D64">
        <w:rPr>
          <w:rFonts w:ascii="Times New Roman" w:hAnsi="Times New Roman" w:cs="Times New Roman"/>
          <w:b/>
          <w:bCs/>
          <w:color w:val="auto"/>
        </w:rPr>
        <w:t xml:space="preserve"> Uncertainty Quantification</w:t>
      </w:r>
    </w:p>
    <w:p w14:paraId="580EB247" w14:textId="23B920B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Raw MC Dropout intervals</w:t>
      </w:r>
      <w:r w:rsidR="00433EB6" w:rsidRPr="00433EB6">
        <w:rPr>
          <w:rFonts w:ascii="Times New Roman" w:hAnsi="Times New Roman" w:cs="Times New Roman"/>
        </w:rPr>
        <w:t xml:space="preserve"> </w:t>
      </w:r>
      <w:r w:rsidRPr="00433EB6">
        <w:rPr>
          <w:rFonts w:ascii="Times New Roman" w:hAnsi="Times New Roman" w:cs="Times New Roman"/>
        </w:rPr>
        <w:t>before MAE calibration</w:t>
      </w:r>
      <w:r w:rsidR="00433EB6" w:rsidRPr="00433EB6">
        <w:rPr>
          <w:rFonts w:ascii="Times New Roman" w:hAnsi="Times New Roman" w:cs="Times New Roman"/>
        </w:rPr>
        <w:t xml:space="preserve"> </w:t>
      </w:r>
      <w:r w:rsidRPr="00433EB6">
        <w:rPr>
          <w:rFonts w:ascii="Times New Roman" w:hAnsi="Times New Roman" w:cs="Times New Roman"/>
        </w:rPr>
        <w:t xml:space="preserve">achieved near-zero coverage on several tickers: </w:t>
      </w:r>
      <w:r w:rsidRPr="00433EB6">
        <w:rPr>
          <w:rFonts w:ascii="Times New Roman" w:hAnsi="Times New Roman" w:cs="Times New Roman"/>
          <w:b/>
          <w:bCs/>
        </w:rPr>
        <w:t>MSFT VanillaRNN: 0.0%</w:t>
      </w:r>
      <w:r w:rsidRPr="00433EB6">
        <w:rPr>
          <w:rFonts w:ascii="Times New Roman" w:hAnsi="Times New Roman" w:cs="Times New Roman"/>
        </w:rPr>
        <w:t xml:space="preserve">, </w:t>
      </w:r>
      <w:r w:rsidRPr="00433EB6">
        <w:rPr>
          <w:rFonts w:ascii="Times New Roman" w:hAnsi="Times New Roman" w:cs="Times New Roman"/>
          <w:b/>
          <w:bCs/>
        </w:rPr>
        <w:t>AVGO VanillaRNN: 0.0%</w:t>
      </w:r>
      <w:r w:rsidRPr="00433EB6">
        <w:rPr>
          <w:rFonts w:ascii="Times New Roman" w:hAnsi="Times New Roman" w:cs="Times New Roman"/>
        </w:rPr>
        <w:t xml:space="preserve">, </w:t>
      </w:r>
      <w:r w:rsidRPr="00433EB6">
        <w:rPr>
          <w:rFonts w:ascii="Times New Roman" w:hAnsi="Times New Roman" w:cs="Times New Roman"/>
          <w:b/>
          <w:bCs/>
        </w:rPr>
        <w:t>ORCL VanillaRNN: 0.0%</w:t>
      </w:r>
      <w:r w:rsidRPr="00433EB6">
        <w:rPr>
          <w:rFonts w:ascii="Times New Roman" w:hAnsi="Times New Roman" w:cs="Times New Roman"/>
        </w:rPr>
        <w:t xml:space="preserve">, </w:t>
      </w:r>
      <w:r w:rsidRPr="00433EB6">
        <w:rPr>
          <w:rFonts w:ascii="Times New Roman" w:hAnsi="Times New Roman" w:cs="Times New Roman"/>
          <w:b/>
          <w:bCs/>
        </w:rPr>
        <w:t>NVDA VanillaRNN: 1.8%</w:t>
      </w:r>
      <w:r w:rsidRPr="00433EB6">
        <w:rPr>
          <w:rFonts w:ascii="Times New Roman" w:hAnsi="Times New Roman" w:cs="Times New Roman"/>
        </w:rPr>
        <w:t>. Dropout variance underestimated epistemic uncertainty because the network continued to produce confident point estimates despite distributional shift.</w:t>
      </w:r>
    </w:p>
    <w:p w14:paraId="46DA3130"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lastRenderedPageBreak/>
        <w:t>Post-hoc MAE calibration (σ = MAE × 1.645) restored nominal coverage but at the cost of artificially wide intervals on poorly calibrated models (MSFT: $507.92 average width). True Bayesian uncertainty quantification would require MCMC or variational inference over weight posteriors rather than heuristic dropout sampling; the present MC approach should be interpreted as an approximate sensitivity analysis, not a principled posterior.</w:t>
      </w:r>
    </w:p>
    <w:p w14:paraId="3B9DCE89" w14:textId="77777777" w:rsidR="002F1CB8" w:rsidRPr="00FE1D64" w:rsidRDefault="00000000" w:rsidP="00433EB6">
      <w:pPr>
        <w:pStyle w:val="Heading3"/>
        <w:jc w:val="both"/>
        <w:rPr>
          <w:rFonts w:ascii="Times New Roman" w:hAnsi="Times New Roman" w:cs="Times New Roman"/>
          <w:b/>
          <w:bCs/>
          <w:color w:val="auto"/>
        </w:rPr>
      </w:pPr>
      <w:bookmarkStart w:id="27" w:name="comparison-rnn-vs-arima"/>
      <w:bookmarkEnd w:id="26"/>
      <w:r w:rsidRPr="00FE1D64">
        <w:rPr>
          <w:rFonts w:ascii="Times New Roman" w:hAnsi="Times New Roman" w:cs="Times New Roman"/>
          <w:b/>
          <w:bCs/>
          <w:color w:val="auto"/>
        </w:rPr>
        <w:t>5.6 Comparison: RNN vs ARIMA</w:t>
      </w:r>
    </w:p>
    <w:p w14:paraId="30093E47" w14:textId="77777777" w:rsidR="002F1CB8" w:rsidRPr="00433EB6" w:rsidRDefault="00000000" w:rsidP="00AA5F54">
      <w:pPr>
        <w:pStyle w:val="FirstParagraph"/>
        <w:jc w:val="center"/>
        <w:rPr>
          <w:rFonts w:ascii="Times New Roman" w:hAnsi="Times New Roman" w:cs="Times New Roman"/>
        </w:rPr>
      </w:pPr>
      <w:r w:rsidRPr="00433EB6">
        <w:rPr>
          <w:rFonts w:ascii="Times New Roman" w:hAnsi="Times New Roman" w:cs="Times New Roman"/>
          <w:b/>
          <w:bCs/>
        </w:rPr>
        <w:t>Table 5.1: RNN vs ARIMA head-to-head (best Phase 1 RNN per ticker)</w:t>
      </w:r>
    </w:p>
    <w:tbl>
      <w:tblPr>
        <w:tblStyle w:val="Table"/>
        <w:tblW w:w="5000" w:type="pct"/>
        <w:jc w:val="center"/>
        <w:tblLayout w:type="fixed"/>
        <w:tblLook w:val="0020" w:firstRow="1" w:lastRow="0" w:firstColumn="0" w:lastColumn="0" w:noHBand="0" w:noVBand="0"/>
      </w:tblPr>
      <w:tblGrid>
        <w:gridCol w:w="1144"/>
        <w:gridCol w:w="2287"/>
        <w:gridCol w:w="2715"/>
        <w:gridCol w:w="2287"/>
        <w:gridCol w:w="1143"/>
      </w:tblGrid>
      <w:tr w:rsidR="002F1CB8" w:rsidRPr="00433EB6" w14:paraId="5EC3A4A1" w14:textId="77777777" w:rsidTr="00AA5F54">
        <w:trPr>
          <w:cnfStyle w:val="100000000000" w:firstRow="1" w:lastRow="0" w:firstColumn="0" w:lastColumn="0" w:oddVBand="0" w:evenVBand="0" w:oddHBand="0" w:evenHBand="0" w:firstRowFirstColumn="0" w:firstRowLastColumn="0" w:lastRowFirstColumn="0" w:lastRowLastColumn="0"/>
          <w:tblHeader/>
          <w:jc w:val="center"/>
        </w:trPr>
        <w:tc>
          <w:tcPr>
            <w:tcW w:w="945" w:type="dxa"/>
          </w:tcPr>
          <w:p w14:paraId="6DA701D5"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Ticker</w:t>
            </w:r>
          </w:p>
        </w:tc>
        <w:tc>
          <w:tcPr>
            <w:tcW w:w="1891" w:type="dxa"/>
          </w:tcPr>
          <w:p w14:paraId="3AFE32A1"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Best RNN Model</w:t>
            </w:r>
          </w:p>
        </w:tc>
        <w:tc>
          <w:tcPr>
            <w:tcW w:w="2245" w:type="dxa"/>
          </w:tcPr>
          <w:p w14:paraId="44E913D8" w14:textId="222FD3AD"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 xml:space="preserve">Best RNN </w:t>
            </w:r>
            <w:r w:rsidR="00BC2258">
              <w:rPr>
                <w:rFonts w:ascii="Times New Roman" w:hAnsi="Times New Roman" w:cs="Times New Roman"/>
              </w:rPr>
              <w:t>RMSE</w:t>
            </w:r>
          </w:p>
        </w:tc>
        <w:tc>
          <w:tcPr>
            <w:tcW w:w="1891" w:type="dxa"/>
          </w:tcPr>
          <w:p w14:paraId="3CAB18A4" w14:textId="38659E11" w:rsidR="002F1CB8" w:rsidRPr="00433EB6" w:rsidRDefault="00BC2258" w:rsidP="00AA5F54">
            <w:pPr>
              <w:pStyle w:val="Compact"/>
              <w:jc w:val="center"/>
              <w:rPr>
                <w:rFonts w:ascii="Times New Roman" w:hAnsi="Times New Roman" w:cs="Times New Roman"/>
              </w:rPr>
            </w:pPr>
            <w:r>
              <w:rPr>
                <w:rFonts w:ascii="Times New Roman" w:hAnsi="Times New Roman" w:cs="Times New Roman"/>
              </w:rPr>
              <w:t>ARIMA RMSE</w:t>
            </w:r>
          </w:p>
        </w:tc>
        <w:tc>
          <w:tcPr>
            <w:tcW w:w="945" w:type="dxa"/>
          </w:tcPr>
          <w:p w14:paraId="0ADD16E2" w14:textId="5EE3B51B" w:rsidR="002F1CB8" w:rsidRPr="00433EB6" w:rsidRDefault="00BC2258" w:rsidP="00AA5F54">
            <w:pPr>
              <w:pStyle w:val="Compact"/>
              <w:jc w:val="center"/>
              <w:rPr>
                <w:rFonts w:ascii="Times New Roman" w:hAnsi="Times New Roman" w:cs="Times New Roman"/>
              </w:rPr>
            </w:pPr>
            <w:r>
              <w:rPr>
                <w:rFonts w:ascii="Times New Roman" w:hAnsi="Times New Roman" w:cs="Times New Roman"/>
              </w:rPr>
              <w:t>Winner</w:t>
            </w:r>
          </w:p>
        </w:tc>
      </w:tr>
      <w:tr w:rsidR="002F1CB8" w:rsidRPr="00433EB6" w14:paraId="733F3919" w14:textId="77777777" w:rsidTr="00AA5F54">
        <w:trPr>
          <w:jc w:val="center"/>
        </w:trPr>
        <w:tc>
          <w:tcPr>
            <w:tcW w:w="945" w:type="dxa"/>
          </w:tcPr>
          <w:p w14:paraId="128FAE1A"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AAPL</w:t>
            </w:r>
          </w:p>
        </w:tc>
        <w:tc>
          <w:tcPr>
            <w:tcW w:w="1891" w:type="dxa"/>
          </w:tcPr>
          <w:p w14:paraId="2D16C75B"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StackedGRU</w:t>
            </w:r>
          </w:p>
        </w:tc>
        <w:tc>
          <w:tcPr>
            <w:tcW w:w="2245" w:type="dxa"/>
          </w:tcPr>
          <w:p w14:paraId="5DEAB277"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9.21</w:t>
            </w:r>
          </w:p>
        </w:tc>
        <w:tc>
          <w:tcPr>
            <w:tcW w:w="1891" w:type="dxa"/>
          </w:tcPr>
          <w:p w14:paraId="0FCD7938"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23.50</w:t>
            </w:r>
          </w:p>
        </w:tc>
        <w:tc>
          <w:tcPr>
            <w:tcW w:w="945" w:type="dxa"/>
          </w:tcPr>
          <w:p w14:paraId="58B001BB"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20E6E762" w14:textId="77777777" w:rsidTr="00AA5F54">
        <w:trPr>
          <w:jc w:val="center"/>
        </w:trPr>
        <w:tc>
          <w:tcPr>
            <w:tcW w:w="945" w:type="dxa"/>
          </w:tcPr>
          <w:p w14:paraId="5B7E6FF0"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MSFT</w:t>
            </w:r>
          </w:p>
        </w:tc>
        <w:tc>
          <w:tcPr>
            <w:tcW w:w="1891" w:type="dxa"/>
          </w:tcPr>
          <w:p w14:paraId="1C992DC5"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StackedLSTM</w:t>
            </w:r>
          </w:p>
        </w:tc>
        <w:tc>
          <w:tcPr>
            <w:tcW w:w="2245" w:type="dxa"/>
          </w:tcPr>
          <w:p w14:paraId="3B7DA167"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25.14</w:t>
            </w:r>
          </w:p>
        </w:tc>
        <w:tc>
          <w:tcPr>
            <w:tcW w:w="1891" w:type="dxa"/>
          </w:tcPr>
          <w:p w14:paraId="5DA5C728"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37.47</w:t>
            </w:r>
          </w:p>
        </w:tc>
        <w:tc>
          <w:tcPr>
            <w:tcW w:w="945" w:type="dxa"/>
          </w:tcPr>
          <w:p w14:paraId="3BD62219"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41E0E982" w14:textId="77777777" w:rsidTr="00AA5F54">
        <w:trPr>
          <w:jc w:val="center"/>
        </w:trPr>
        <w:tc>
          <w:tcPr>
            <w:tcW w:w="945" w:type="dxa"/>
          </w:tcPr>
          <w:p w14:paraId="55476D52"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GOOGL</w:t>
            </w:r>
          </w:p>
        </w:tc>
        <w:tc>
          <w:tcPr>
            <w:tcW w:w="1891" w:type="dxa"/>
          </w:tcPr>
          <w:p w14:paraId="3039D103"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VanillaRNN</w:t>
            </w:r>
          </w:p>
        </w:tc>
        <w:tc>
          <w:tcPr>
            <w:tcW w:w="2245" w:type="dxa"/>
          </w:tcPr>
          <w:p w14:paraId="35141AFC"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9.50</w:t>
            </w:r>
          </w:p>
        </w:tc>
        <w:tc>
          <w:tcPr>
            <w:tcW w:w="1891" w:type="dxa"/>
          </w:tcPr>
          <w:p w14:paraId="5F5C068B"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18.44</w:t>
            </w:r>
          </w:p>
        </w:tc>
        <w:tc>
          <w:tcPr>
            <w:tcW w:w="945" w:type="dxa"/>
          </w:tcPr>
          <w:p w14:paraId="6873E9E5"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32D15DD2" w14:textId="77777777" w:rsidTr="00AA5F54">
        <w:trPr>
          <w:jc w:val="center"/>
        </w:trPr>
        <w:tc>
          <w:tcPr>
            <w:tcW w:w="945" w:type="dxa"/>
          </w:tcPr>
          <w:p w14:paraId="6C6AE89B"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AMZN</w:t>
            </w:r>
          </w:p>
        </w:tc>
        <w:tc>
          <w:tcPr>
            <w:tcW w:w="1891" w:type="dxa"/>
          </w:tcPr>
          <w:p w14:paraId="5C6A6DFB"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StackedLSTM</w:t>
            </w:r>
          </w:p>
        </w:tc>
        <w:tc>
          <w:tcPr>
            <w:tcW w:w="2245" w:type="dxa"/>
          </w:tcPr>
          <w:p w14:paraId="7A0A10C5"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7.71</w:t>
            </w:r>
          </w:p>
        </w:tc>
        <w:tc>
          <w:tcPr>
            <w:tcW w:w="1891" w:type="dxa"/>
          </w:tcPr>
          <w:p w14:paraId="6F32468E"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20.91</w:t>
            </w:r>
          </w:p>
        </w:tc>
        <w:tc>
          <w:tcPr>
            <w:tcW w:w="945" w:type="dxa"/>
          </w:tcPr>
          <w:p w14:paraId="76C9B27D"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735EB76B" w14:textId="77777777" w:rsidTr="00AA5F54">
        <w:trPr>
          <w:jc w:val="center"/>
        </w:trPr>
        <w:tc>
          <w:tcPr>
            <w:tcW w:w="945" w:type="dxa"/>
          </w:tcPr>
          <w:p w14:paraId="2509173C"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TSLA</w:t>
            </w:r>
          </w:p>
        </w:tc>
        <w:tc>
          <w:tcPr>
            <w:tcW w:w="1891" w:type="dxa"/>
          </w:tcPr>
          <w:p w14:paraId="68CD1962"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VanillaRNN</w:t>
            </w:r>
          </w:p>
        </w:tc>
        <w:tc>
          <w:tcPr>
            <w:tcW w:w="2245" w:type="dxa"/>
          </w:tcPr>
          <w:p w14:paraId="1F53B479"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18.54</w:t>
            </w:r>
          </w:p>
        </w:tc>
        <w:tc>
          <w:tcPr>
            <w:tcW w:w="1891" w:type="dxa"/>
          </w:tcPr>
          <w:p w14:paraId="693F40B3"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64.62</w:t>
            </w:r>
          </w:p>
        </w:tc>
        <w:tc>
          <w:tcPr>
            <w:tcW w:w="945" w:type="dxa"/>
          </w:tcPr>
          <w:p w14:paraId="3AA1FC74"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21AE74FE" w14:textId="77777777" w:rsidTr="00AA5F54">
        <w:trPr>
          <w:jc w:val="center"/>
        </w:trPr>
        <w:tc>
          <w:tcPr>
            <w:tcW w:w="945" w:type="dxa"/>
          </w:tcPr>
          <w:p w14:paraId="13AF7671"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NVDA</w:t>
            </w:r>
          </w:p>
        </w:tc>
        <w:tc>
          <w:tcPr>
            <w:tcW w:w="1891" w:type="dxa"/>
          </w:tcPr>
          <w:p w14:paraId="4D5F7630"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StackedLSTM</w:t>
            </w:r>
          </w:p>
        </w:tc>
        <w:tc>
          <w:tcPr>
            <w:tcW w:w="2245" w:type="dxa"/>
          </w:tcPr>
          <w:p w14:paraId="6245DE8F"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21.09</w:t>
            </w:r>
          </w:p>
        </w:tc>
        <w:tc>
          <w:tcPr>
            <w:tcW w:w="1891" w:type="dxa"/>
          </w:tcPr>
          <w:p w14:paraId="2D780CF6"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21.36</w:t>
            </w:r>
          </w:p>
        </w:tc>
        <w:tc>
          <w:tcPr>
            <w:tcW w:w="945" w:type="dxa"/>
          </w:tcPr>
          <w:p w14:paraId="7195FA41"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37AF6F44" w14:textId="77777777" w:rsidTr="00AA5F54">
        <w:trPr>
          <w:jc w:val="center"/>
        </w:trPr>
        <w:tc>
          <w:tcPr>
            <w:tcW w:w="945" w:type="dxa"/>
          </w:tcPr>
          <w:p w14:paraId="3CCB04F9"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META</w:t>
            </w:r>
          </w:p>
        </w:tc>
        <w:tc>
          <w:tcPr>
            <w:tcW w:w="1891" w:type="dxa"/>
          </w:tcPr>
          <w:p w14:paraId="538A8FFC"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VanillaRNN</w:t>
            </w:r>
          </w:p>
        </w:tc>
        <w:tc>
          <w:tcPr>
            <w:tcW w:w="2245" w:type="dxa"/>
          </w:tcPr>
          <w:p w14:paraId="05C293FD"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37.07</w:t>
            </w:r>
          </w:p>
        </w:tc>
        <w:tc>
          <w:tcPr>
            <w:tcW w:w="1891" w:type="dxa"/>
          </w:tcPr>
          <w:p w14:paraId="14B3F16F"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74.85</w:t>
            </w:r>
          </w:p>
        </w:tc>
        <w:tc>
          <w:tcPr>
            <w:tcW w:w="945" w:type="dxa"/>
          </w:tcPr>
          <w:p w14:paraId="5641DC5B"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34D75DBA" w14:textId="77777777" w:rsidTr="00AA5F54">
        <w:trPr>
          <w:jc w:val="center"/>
        </w:trPr>
        <w:tc>
          <w:tcPr>
            <w:tcW w:w="945" w:type="dxa"/>
          </w:tcPr>
          <w:p w14:paraId="604C663B"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AVGO</w:t>
            </w:r>
          </w:p>
        </w:tc>
        <w:tc>
          <w:tcPr>
            <w:tcW w:w="1891" w:type="dxa"/>
          </w:tcPr>
          <w:p w14:paraId="6DFAE02A"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VanillaRNN</w:t>
            </w:r>
          </w:p>
        </w:tc>
        <w:tc>
          <w:tcPr>
            <w:tcW w:w="2245" w:type="dxa"/>
          </w:tcPr>
          <w:p w14:paraId="4C769954"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15.32</w:t>
            </w:r>
          </w:p>
        </w:tc>
        <w:tc>
          <w:tcPr>
            <w:tcW w:w="1891" w:type="dxa"/>
          </w:tcPr>
          <w:p w14:paraId="7CE4FEE8"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22.73</w:t>
            </w:r>
          </w:p>
        </w:tc>
        <w:tc>
          <w:tcPr>
            <w:tcW w:w="945" w:type="dxa"/>
          </w:tcPr>
          <w:p w14:paraId="781410D9"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316BFAF3" w14:textId="77777777" w:rsidTr="00AA5F54">
        <w:trPr>
          <w:jc w:val="center"/>
        </w:trPr>
        <w:tc>
          <w:tcPr>
            <w:tcW w:w="945" w:type="dxa"/>
          </w:tcPr>
          <w:p w14:paraId="45337D04"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ORCL</w:t>
            </w:r>
          </w:p>
        </w:tc>
        <w:tc>
          <w:tcPr>
            <w:tcW w:w="1891" w:type="dxa"/>
          </w:tcPr>
          <w:p w14:paraId="634FD120"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StackedLSTM</w:t>
            </w:r>
          </w:p>
        </w:tc>
        <w:tc>
          <w:tcPr>
            <w:tcW w:w="2245" w:type="dxa"/>
          </w:tcPr>
          <w:p w14:paraId="0816AE31"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13.08</w:t>
            </w:r>
          </w:p>
        </w:tc>
        <w:tc>
          <w:tcPr>
            <w:tcW w:w="1891" w:type="dxa"/>
          </w:tcPr>
          <w:p w14:paraId="6925410D"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19.46</w:t>
            </w:r>
          </w:p>
        </w:tc>
        <w:tc>
          <w:tcPr>
            <w:tcW w:w="945" w:type="dxa"/>
          </w:tcPr>
          <w:p w14:paraId="553D72DA"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r w:rsidR="002F1CB8" w:rsidRPr="00433EB6" w14:paraId="7F2508AE" w14:textId="77777777" w:rsidTr="00AA5F54">
        <w:trPr>
          <w:jc w:val="center"/>
        </w:trPr>
        <w:tc>
          <w:tcPr>
            <w:tcW w:w="945" w:type="dxa"/>
          </w:tcPr>
          <w:p w14:paraId="16870962"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AMD</w:t>
            </w:r>
          </w:p>
        </w:tc>
        <w:tc>
          <w:tcPr>
            <w:tcW w:w="1891" w:type="dxa"/>
          </w:tcPr>
          <w:p w14:paraId="557FA48E"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VanillaRNN</w:t>
            </w:r>
          </w:p>
        </w:tc>
        <w:tc>
          <w:tcPr>
            <w:tcW w:w="2245" w:type="dxa"/>
          </w:tcPr>
          <w:p w14:paraId="1CD8BF05"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7.06</w:t>
            </w:r>
          </w:p>
        </w:tc>
        <w:tc>
          <w:tcPr>
            <w:tcW w:w="1891" w:type="dxa"/>
          </w:tcPr>
          <w:p w14:paraId="4224D7B7"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29.55</w:t>
            </w:r>
          </w:p>
        </w:tc>
        <w:tc>
          <w:tcPr>
            <w:tcW w:w="945" w:type="dxa"/>
          </w:tcPr>
          <w:p w14:paraId="1A746A77" w14:textId="77777777" w:rsidR="002F1CB8" w:rsidRPr="00433EB6" w:rsidRDefault="00000000" w:rsidP="00AA5F54">
            <w:pPr>
              <w:pStyle w:val="Compact"/>
              <w:jc w:val="center"/>
              <w:rPr>
                <w:rFonts w:ascii="Times New Roman" w:hAnsi="Times New Roman" w:cs="Times New Roman"/>
              </w:rPr>
            </w:pPr>
            <w:r w:rsidRPr="00433EB6">
              <w:rPr>
                <w:rFonts w:ascii="Times New Roman" w:hAnsi="Times New Roman" w:cs="Times New Roman"/>
              </w:rPr>
              <w:t>RNN</w:t>
            </w:r>
          </w:p>
        </w:tc>
      </w:tr>
    </w:tbl>
    <w:p w14:paraId="4ACAF6EB" w14:textId="12B4FE89"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Neural models outperformed ARIMA on nine of ten tickers by RMSE; only NVDA was effectively a tie (RNN $21.09 vs. ARIMA $21.36). The largest margins occurred on AMD ($7.06 vs. $29.55), META ($37.07 vs. $74.85), and TSLA ($18.54 vs. $64.62), where nonlinear pattern </w:t>
      </w:r>
      <w:r w:rsidR="00AA5F54" w:rsidRPr="00433EB6">
        <w:rPr>
          <w:rFonts w:ascii="Times New Roman" w:hAnsi="Times New Roman" w:cs="Times New Roman"/>
        </w:rPr>
        <w:t>captured</w:t>
      </w:r>
      <w:r w:rsidRPr="00433EB6">
        <w:rPr>
          <w:rFonts w:ascii="Times New Roman" w:hAnsi="Times New Roman" w:cs="Times New Roman"/>
        </w:rPr>
        <w:t xml:space="preserve"> provided substantial advantage. However, given walk-forward degradation, the fixed-split superiority of RNNs may overstate production performance if models are not periodically retrained.</w:t>
      </w:r>
    </w:p>
    <w:p w14:paraId="676F6B03"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026985C7">
          <v:rect id="_x0000_i1440" style="width:0;height:1.5pt" o:hralign="center" o:hrstd="t" o:hr="t"/>
        </w:pict>
      </w:r>
    </w:p>
    <w:p w14:paraId="38694388" w14:textId="77777777" w:rsidR="002F1CB8" w:rsidRPr="00FE1D64" w:rsidRDefault="00000000" w:rsidP="00433EB6">
      <w:pPr>
        <w:pStyle w:val="Heading2"/>
        <w:jc w:val="both"/>
        <w:rPr>
          <w:rFonts w:ascii="Times New Roman" w:hAnsi="Times New Roman" w:cs="Times New Roman"/>
          <w:b/>
          <w:bCs/>
          <w:color w:val="auto"/>
        </w:rPr>
      </w:pPr>
      <w:bookmarkStart w:id="28" w:name="conclusion"/>
      <w:bookmarkEnd w:id="21"/>
      <w:bookmarkEnd w:id="27"/>
      <w:r w:rsidRPr="00FE1D64">
        <w:rPr>
          <w:rFonts w:ascii="Times New Roman" w:hAnsi="Times New Roman" w:cs="Times New Roman"/>
          <w:b/>
          <w:bCs/>
          <w:color w:val="auto"/>
        </w:rPr>
        <w:t>6. Conclusion</w:t>
      </w:r>
    </w:p>
    <w:p w14:paraId="39509265" w14:textId="6BB2064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rPr>
        <w:t>This study evaluated six forecasting approaches</w:t>
      </w:r>
      <w:r w:rsidR="00433EB6" w:rsidRPr="00433EB6">
        <w:rPr>
          <w:rFonts w:ascii="Times New Roman" w:hAnsi="Times New Roman" w:cs="Times New Roman"/>
        </w:rPr>
        <w:t xml:space="preserve"> </w:t>
      </w:r>
      <w:r w:rsidRPr="00433EB6">
        <w:rPr>
          <w:rFonts w:ascii="Times New Roman" w:hAnsi="Times New Roman" w:cs="Times New Roman"/>
        </w:rPr>
        <w:t>VanillaRNN, StackedLSTM, StackedGRU, SlimLSTM, QuantileLSTM, and ARIMA(5,1,0)</w:t>
      </w:r>
      <w:r w:rsidR="00433EB6" w:rsidRPr="00433EB6">
        <w:rPr>
          <w:rFonts w:ascii="Times New Roman" w:hAnsi="Times New Roman" w:cs="Times New Roman"/>
        </w:rPr>
        <w:t xml:space="preserve"> </w:t>
      </w:r>
      <w:r w:rsidRPr="00433EB6">
        <w:rPr>
          <w:rFonts w:ascii="Times New Roman" w:hAnsi="Times New Roman" w:cs="Times New Roman"/>
        </w:rPr>
        <w:t>on ten U.S. equities from 2015 to 2024. The principal findings are threefold.</w:t>
      </w:r>
    </w:p>
    <w:p w14:paraId="630D0C4C" w14:textId="38DC44EB"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For </w:t>
      </w:r>
      <w:r w:rsidRPr="00433EB6">
        <w:rPr>
          <w:rFonts w:ascii="Times New Roman" w:hAnsi="Times New Roman" w:cs="Times New Roman"/>
          <w:b/>
          <w:bCs/>
        </w:rPr>
        <w:t>point prediction</w:t>
      </w:r>
      <w:r w:rsidRPr="00433EB6">
        <w:rPr>
          <w:rFonts w:ascii="Times New Roman" w:hAnsi="Times New Roman" w:cs="Times New Roman"/>
        </w:rPr>
        <w:t xml:space="preserve">, simpler </w:t>
      </w:r>
      <w:r w:rsidR="00AA5F54" w:rsidRPr="00433EB6">
        <w:rPr>
          <w:rFonts w:ascii="Times New Roman" w:hAnsi="Times New Roman" w:cs="Times New Roman"/>
        </w:rPr>
        <w:t>architecture</w:t>
      </w:r>
      <w:r w:rsidRPr="00433EB6">
        <w:rPr>
          <w:rFonts w:ascii="Times New Roman" w:hAnsi="Times New Roman" w:cs="Times New Roman"/>
        </w:rPr>
        <w:t xml:space="preserve"> generalised best. VanillaRNN on low-to-moderate volatility names (AMD: R² 0.9398, RMSE $7.06; AMZN: R² 0.9045, RMSE $9.89) and StackedLSTM on AMZN (R² 0.9419, RMSE $7.71) achieved the highest accuracy. High-capacity LSTM with BatchNorm consistently overfit, producing validation-loss spikes and negative R² on several tickers.</w:t>
      </w:r>
    </w:p>
    <w:p w14:paraId="069DB720"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 xml:space="preserve">For </w:t>
      </w:r>
      <w:r w:rsidRPr="00433EB6">
        <w:rPr>
          <w:rFonts w:ascii="Times New Roman" w:hAnsi="Times New Roman" w:cs="Times New Roman"/>
          <w:b/>
          <w:bCs/>
        </w:rPr>
        <w:t>range prediction</w:t>
      </w:r>
      <w:r w:rsidRPr="00433EB6">
        <w:rPr>
          <w:rFonts w:ascii="Times New Roman" w:hAnsi="Times New Roman" w:cs="Times New Roman"/>
        </w:rPr>
        <w:t xml:space="preserve">, SlimLSTM + MC Dropout on AMZN delivered the optimal coverage–width balance (86.3%, $26.52), while QuantileLSTM excelled on TSLA (96.8% coverage). Raw </w:t>
      </w:r>
      <w:r w:rsidRPr="00433EB6">
        <w:rPr>
          <w:rFonts w:ascii="Times New Roman" w:hAnsi="Times New Roman" w:cs="Times New Roman"/>
        </w:rPr>
        <w:lastRenderedPageBreak/>
        <w:t>MC Dropout intervals required MAE calibration to achieve acceptable coverage, limiting their interpretability as true Bayesian posteriors.</w:t>
      </w:r>
    </w:p>
    <w:p w14:paraId="6B86EF3C"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b/>
          <w:bCs/>
        </w:rPr>
        <w:t>Directional accuracy</w:t>
      </w:r>
      <w:r w:rsidRPr="00433EB6">
        <w:rPr>
          <w:rFonts w:ascii="Times New Roman" w:hAnsi="Times New Roman" w:cs="Times New Roman"/>
        </w:rPr>
        <w:t xml:space="preserve"> near 50% (46.3%–53.5%) supports weak-form EMH: models capture price level but not return sign. </w:t>
      </w:r>
      <w:r w:rsidRPr="00433EB6">
        <w:rPr>
          <w:rFonts w:ascii="Times New Roman" w:hAnsi="Times New Roman" w:cs="Times New Roman"/>
          <w:b/>
          <w:bCs/>
        </w:rPr>
        <w:t>Regime shift</w:t>
      </w:r>
      <w:r w:rsidRPr="00433EB6">
        <w:rPr>
          <w:rFonts w:ascii="Times New Roman" w:hAnsi="Times New Roman" w:cs="Times New Roman"/>
        </w:rPr>
        <w:t xml:space="preserve"> emerged as the fundamental limitation, with walk-forward RMSE increasing 7–10× for AAPL and MSFT between 2021 and 2024.</w:t>
      </w:r>
    </w:p>
    <w:p w14:paraId="3294BBDF" w14:textId="77777777" w:rsidR="002F1CB8" w:rsidRPr="00433EB6" w:rsidRDefault="00000000" w:rsidP="00433EB6">
      <w:pPr>
        <w:pStyle w:val="BodyText"/>
        <w:jc w:val="both"/>
        <w:rPr>
          <w:rFonts w:ascii="Times New Roman" w:hAnsi="Times New Roman" w:cs="Times New Roman"/>
        </w:rPr>
      </w:pPr>
      <w:r w:rsidRPr="00433EB6">
        <w:rPr>
          <w:rFonts w:ascii="Times New Roman" w:hAnsi="Times New Roman" w:cs="Times New Roman"/>
        </w:rPr>
        <w:t>Future work should explore Temporal Fusion Transformers for multi-horizon attention, incorporate sentiment and macro features, and implement online learning for adaptive regime tracking. Without such extensions, univariate RNN forecasts remain best suited to level-tracking applications rather than directional trading strategies.</w:t>
      </w:r>
    </w:p>
    <w:p w14:paraId="0EF82338"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253DC743">
          <v:rect id="_x0000_i1441" style="width:0;height:1.5pt" o:hralign="center" o:hrstd="t" o:hr="t"/>
        </w:pict>
      </w:r>
    </w:p>
    <w:p w14:paraId="606BE093" w14:textId="77777777" w:rsidR="002F1CB8" w:rsidRPr="00FE1D64" w:rsidRDefault="00000000" w:rsidP="00433EB6">
      <w:pPr>
        <w:pStyle w:val="Heading2"/>
        <w:jc w:val="both"/>
        <w:rPr>
          <w:rFonts w:ascii="Times New Roman" w:hAnsi="Times New Roman" w:cs="Times New Roman"/>
          <w:b/>
          <w:bCs/>
          <w:color w:val="auto"/>
        </w:rPr>
      </w:pPr>
      <w:bookmarkStart w:id="29" w:name="references"/>
      <w:bookmarkEnd w:id="28"/>
      <w:r w:rsidRPr="00FE1D64">
        <w:rPr>
          <w:rFonts w:ascii="Times New Roman" w:hAnsi="Times New Roman" w:cs="Times New Roman"/>
          <w:b/>
          <w:bCs/>
          <w:color w:val="auto"/>
        </w:rPr>
        <w:t>References</w:t>
      </w:r>
    </w:p>
    <w:p w14:paraId="25936150" w14:textId="77777777" w:rsidR="002F1CB8" w:rsidRPr="00433EB6" w:rsidRDefault="00000000" w:rsidP="00433EB6">
      <w:pPr>
        <w:pStyle w:val="Compact"/>
        <w:numPr>
          <w:ilvl w:val="0"/>
          <w:numId w:val="2"/>
        </w:numPr>
        <w:jc w:val="both"/>
        <w:rPr>
          <w:rFonts w:ascii="Times New Roman" w:hAnsi="Times New Roman" w:cs="Times New Roman"/>
        </w:rPr>
      </w:pPr>
      <w:r w:rsidRPr="00433EB6">
        <w:rPr>
          <w:rFonts w:ascii="Times New Roman" w:hAnsi="Times New Roman" w:cs="Times New Roman"/>
        </w:rPr>
        <w:t xml:space="preserve">Fama, E.F. (1970). Efficient Capital Markets: A Review of Theory and Empirical Work. </w:t>
      </w:r>
      <w:r w:rsidRPr="00433EB6">
        <w:rPr>
          <w:rFonts w:ascii="Times New Roman" w:hAnsi="Times New Roman" w:cs="Times New Roman"/>
          <w:i/>
          <w:iCs/>
        </w:rPr>
        <w:t>Journal of Finance</w:t>
      </w:r>
      <w:r w:rsidRPr="00433EB6">
        <w:rPr>
          <w:rFonts w:ascii="Times New Roman" w:hAnsi="Times New Roman" w:cs="Times New Roman"/>
        </w:rPr>
        <w:t>, 25(2), 383–417.</w:t>
      </w:r>
    </w:p>
    <w:p w14:paraId="220901D9" w14:textId="77777777" w:rsidR="002F1CB8" w:rsidRPr="00433EB6" w:rsidRDefault="00000000" w:rsidP="00433EB6">
      <w:pPr>
        <w:pStyle w:val="Compact"/>
        <w:numPr>
          <w:ilvl w:val="0"/>
          <w:numId w:val="2"/>
        </w:numPr>
        <w:jc w:val="both"/>
        <w:rPr>
          <w:rFonts w:ascii="Times New Roman" w:hAnsi="Times New Roman" w:cs="Times New Roman"/>
        </w:rPr>
      </w:pPr>
      <w:r w:rsidRPr="00433EB6">
        <w:rPr>
          <w:rFonts w:ascii="Times New Roman" w:hAnsi="Times New Roman" w:cs="Times New Roman"/>
        </w:rPr>
        <w:t xml:space="preserve">Hochreiter, S. &amp; Schmidhuber, J. (1997). Long Short-Term Memory. </w:t>
      </w:r>
      <w:r w:rsidRPr="00433EB6">
        <w:rPr>
          <w:rFonts w:ascii="Times New Roman" w:hAnsi="Times New Roman" w:cs="Times New Roman"/>
          <w:i/>
          <w:iCs/>
        </w:rPr>
        <w:t>Neural Computation</w:t>
      </w:r>
      <w:r w:rsidRPr="00433EB6">
        <w:rPr>
          <w:rFonts w:ascii="Times New Roman" w:hAnsi="Times New Roman" w:cs="Times New Roman"/>
        </w:rPr>
        <w:t>, 9(8), 1735–1780.</w:t>
      </w:r>
    </w:p>
    <w:p w14:paraId="4E9895C2" w14:textId="77777777" w:rsidR="002F1CB8" w:rsidRPr="00433EB6" w:rsidRDefault="00000000" w:rsidP="00433EB6">
      <w:pPr>
        <w:pStyle w:val="Compact"/>
        <w:numPr>
          <w:ilvl w:val="0"/>
          <w:numId w:val="2"/>
        </w:numPr>
        <w:jc w:val="both"/>
        <w:rPr>
          <w:rFonts w:ascii="Times New Roman" w:hAnsi="Times New Roman" w:cs="Times New Roman"/>
        </w:rPr>
      </w:pPr>
      <w:r w:rsidRPr="00433EB6">
        <w:rPr>
          <w:rFonts w:ascii="Times New Roman" w:hAnsi="Times New Roman" w:cs="Times New Roman"/>
          <w:lang w:val="de-DE"/>
        </w:rPr>
        <w:t xml:space="preserve">Cho, K., van Merrienboer, B., Gulcehre, C., Bahdanau, D., Bougares, F., Schwenk, H., &amp; Bengio, Y. (2014). </w:t>
      </w:r>
      <w:r w:rsidRPr="00433EB6">
        <w:rPr>
          <w:rFonts w:ascii="Times New Roman" w:hAnsi="Times New Roman" w:cs="Times New Roman"/>
        </w:rPr>
        <w:t>Learning Phrase Representations using RNN Encoder-Decoder for Statistical Machine Translation. arXiv:1406.1078.</w:t>
      </w:r>
    </w:p>
    <w:p w14:paraId="4EB60898" w14:textId="77777777" w:rsidR="002F1CB8" w:rsidRPr="00433EB6" w:rsidRDefault="00000000" w:rsidP="00433EB6">
      <w:pPr>
        <w:pStyle w:val="Compact"/>
        <w:numPr>
          <w:ilvl w:val="0"/>
          <w:numId w:val="2"/>
        </w:numPr>
        <w:jc w:val="both"/>
        <w:rPr>
          <w:rFonts w:ascii="Times New Roman" w:hAnsi="Times New Roman" w:cs="Times New Roman"/>
        </w:rPr>
      </w:pPr>
      <w:r w:rsidRPr="00433EB6">
        <w:rPr>
          <w:rFonts w:ascii="Times New Roman" w:hAnsi="Times New Roman" w:cs="Times New Roman"/>
        </w:rPr>
        <w:t xml:space="preserve">Gal, Y. &amp; Ghahramani, Z. (2016). Dropout as a Bayesian Approximation: Representing Model Uncertainty in Deep Learning. </w:t>
      </w:r>
      <w:r w:rsidRPr="00433EB6">
        <w:rPr>
          <w:rFonts w:ascii="Times New Roman" w:hAnsi="Times New Roman" w:cs="Times New Roman"/>
          <w:i/>
          <w:iCs/>
        </w:rPr>
        <w:t>ICML</w:t>
      </w:r>
      <w:r w:rsidRPr="00433EB6">
        <w:rPr>
          <w:rFonts w:ascii="Times New Roman" w:hAnsi="Times New Roman" w:cs="Times New Roman"/>
        </w:rPr>
        <w:t>, 1050–1059.</w:t>
      </w:r>
    </w:p>
    <w:p w14:paraId="3874963F" w14:textId="77777777" w:rsidR="002F1CB8" w:rsidRPr="00433EB6" w:rsidRDefault="00000000" w:rsidP="00433EB6">
      <w:pPr>
        <w:pStyle w:val="Compact"/>
        <w:numPr>
          <w:ilvl w:val="0"/>
          <w:numId w:val="2"/>
        </w:numPr>
        <w:jc w:val="both"/>
        <w:rPr>
          <w:rFonts w:ascii="Times New Roman" w:hAnsi="Times New Roman" w:cs="Times New Roman"/>
        </w:rPr>
      </w:pPr>
      <w:r w:rsidRPr="00433EB6">
        <w:rPr>
          <w:rFonts w:ascii="Times New Roman" w:hAnsi="Times New Roman" w:cs="Times New Roman"/>
        </w:rPr>
        <w:t xml:space="preserve">Box, G.E.P. &amp; Jenkins, G.M. (1970). </w:t>
      </w:r>
      <w:r w:rsidRPr="00433EB6">
        <w:rPr>
          <w:rFonts w:ascii="Times New Roman" w:hAnsi="Times New Roman" w:cs="Times New Roman"/>
          <w:i/>
          <w:iCs/>
        </w:rPr>
        <w:t>Time Series Analysis: Forecasting and Control</w:t>
      </w:r>
      <w:r w:rsidRPr="00433EB6">
        <w:rPr>
          <w:rFonts w:ascii="Times New Roman" w:hAnsi="Times New Roman" w:cs="Times New Roman"/>
        </w:rPr>
        <w:t>. Holden-Day, San Francisco.</w:t>
      </w:r>
    </w:p>
    <w:p w14:paraId="6BB4BF5B" w14:textId="77777777" w:rsidR="002F1CB8" w:rsidRPr="00433EB6" w:rsidRDefault="00000000" w:rsidP="00433EB6">
      <w:pPr>
        <w:pStyle w:val="Compact"/>
        <w:numPr>
          <w:ilvl w:val="0"/>
          <w:numId w:val="2"/>
        </w:numPr>
        <w:jc w:val="both"/>
        <w:rPr>
          <w:rFonts w:ascii="Times New Roman" w:hAnsi="Times New Roman" w:cs="Times New Roman"/>
        </w:rPr>
      </w:pPr>
      <w:r w:rsidRPr="00433EB6">
        <w:rPr>
          <w:rFonts w:ascii="Times New Roman" w:hAnsi="Times New Roman" w:cs="Times New Roman"/>
        </w:rPr>
        <w:t xml:space="preserve">Koenker, R. &amp; Bassett, G. (1978). Regression Quantiles. </w:t>
      </w:r>
      <w:r w:rsidRPr="00433EB6">
        <w:rPr>
          <w:rFonts w:ascii="Times New Roman" w:hAnsi="Times New Roman" w:cs="Times New Roman"/>
          <w:i/>
          <w:iCs/>
        </w:rPr>
        <w:t>Econometrica</w:t>
      </w:r>
      <w:r w:rsidRPr="00433EB6">
        <w:rPr>
          <w:rFonts w:ascii="Times New Roman" w:hAnsi="Times New Roman" w:cs="Times New Roman"/>
        </w:rPr>
        <w:t>, 46(1), 33–50.</w:t>
      </w:r>
    </w:p>
    <w:p w14:paraId="101E0969" w14:textId="77777777" w:rsidR="002F1CB8" w:rsidRPr="00433EB6" w:rsidRDefault="00000000" w:rsidP="00433EB6">
      <w:pPr>
        <w:jc w:val="both"/>
        <w:rPr>
          <w:rFonts w:ascii="Times New Roman" w:hAnsi="Times New Roman" w:cs="Times New Roman"/>
        </w:rPr>
      </w:pPr>
      <w:r w:rsidRPr="00433EB6">
        <w:rPr>
          <w:rFonts w:ascii="Times New Roman" w:hAnsi="Times New Roman" w:cs="Times New Roman"/>
        </w:rPr>
        <w:pict w14:anchorId="4E121003">
          <v:rect id="_x0000_i1442" style="width:0;height:1.5pt" o:hralign="center" o:hrstd="t" o:hr="t"/>
        </w:pict>
      </w:r>
    </w:p>
    <w:p w14:paraId="6B5BC4A7" w14:textId="77777777" w:rsidR="002F1CB8" w:rsidRPr="00433EB6" w:rsidRDefault="00000000" w:rsidP="00433EB6">
      <w:pPr>
        <w:pStyle w:val="FirstParagraph"/>
        <w:jc w:val="both"/>
        <w:rPr>
          <w:rFonts w:ascii="Times New Roman" w:hAnsi="Times New Roman" w:cs="Times New Roman"/>
        </w:rPr>
      </w:pPr>
      <w:r w:rsidRPr="00433EB6">
        <w:rPr>
          <w:rFonts w:ascii="Times New Roman" w:hAnsi="Times New Roman" w:cs="Times New Roman"/>
          <w:i/>
          <w:iCs/>
        </w:rPr>
        <w:t>Word count: approximately 3,600 words (excluding tables, figures, equations, and references).</w:t>
      </w:r>
      <w:bookmarkEnd w:id="0"/>
      <w:bookmarkEnd w:id="29"/>
    </w:p>
    <w:sectPr w:rsidR="002F1CB8" w:rsidRPr="00433EB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260A6" w14:textId="77777777" w:rsidR="006C5447" w:rsidRDefault="006C5447" w:rsidP="00FE1D64">
      <w:pPr>
        <w:spacing w:after="0"/>
      </w:pPr>
      <w:r>
        <w:separator/>
      </w:r>
    </w:p>
  </w:endnote>
  <w:endnote w:type="continuationSeparator" w:id="0">
    <w:p w14:paraId="53480685" w14:textId="77777777" w:rsidR="006C5447" w:rsidRDefault="006C5447" w:rsidP="00FE1D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6836" w14:textId="77777777" w:rsidR="006C5447" w:rsidRDefault="006C5447" w:rsidP="00FE1D64">
      <w:pPr>
        <w:spacing w:after="0"/>
      </w:pPr>
      <w:r>
        <w:separator/>
      </w:r>
    </w:p>
  </w:footnote>
  <w:footnote w:type="continuationSeparator" w:id="0">
    <w:p w14:paraId="6B134293" w14:textId="77777777" w:rsidR="006C5447" w:rsidRDefault="006C5447" w:rsidP="00FE1D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50ED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CAD2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4495753">
    <w:abstractNumId w:val="0"/>
  </w:num>
  <w:num w:numId="2" w16cid:durableId="296879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F1CB8"/>
    <w:rsid w:val="002913B6"/>
    <w:rsid w:val="002F1CB8"/>
    <w:rsid w:val="00433EB6"/>
    <w:rsid w:val="00460FA4"/>
    <w:rsid w:val="005237BB"/>
    <w:rsid w:val="006C5447"/>
    <w:rsid w:val="00AA5F54"/>
    <w:rsid w:val="00BC2258"/>
    <w:rsid w:val="00E15A4F"/>
    <w:rsid w:val="00FE1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8A14"/>
  <w15:docId w15:val="{8D0739F8-67BA-4620-9323-53E77A86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433EB6"/>
    <w:rPr>
      <w:color w:val="666666"/>
    </w:rPr>
  </w:style>
  <w:style w:type="paragraph" w:styleId="Header">
    <w:name w:val="header"/>
    <w:basedOn w:val="Normal"/>
    <w:link w:val="HeaderChar"/>
    <w:rsid w:val="00FE1D64"/>
    <w:pPr>
      <w:tabs>
        <w:tab w:val="center" w:pos="4513"/>
        <w:tab w:val="right" w:pos="9026"/>
      </w:tabs>
      <w:spacing w:after="0"/>
    </w:pPr>
  </w:style>
  <w:style w:type="character" w:customStyle="1" w:styleId="HeaderChar">
    <w:name w:val="Header Char"/>
    <w:basedOn w:val="DefaultParagraphFont"/>
    <w:link w:val="Header"/>
    <w:rsid w:val="00FE1D64"/>
  </w:style>
  <w:style w:type="paragraph" w:styleId="Footer">
    <w:name w:val="footer"/>
    <w:basedOn w:val="Normal"/>
    <w:link w:val="FooterChar"/>
    <w:rsid w:val="00FE1D64"/>
    <w:pPr>
      <w:tabs>
        <w:tab w:val="center" w:pos="4513"/>
        <w:tab w:val="right" w:pos="9026"/>
      </w:tabs>
      <w:spacing w:after="0"/>
    </w:pPr>
  </w:style>
  <w:style w:type="character" w:customStyle="1" w:styleId="FooterChar">
    <w:name w:val="Footer Char"/>
    <w:basedOn w:val="DefaultParagraphFont"/>
    <w:link w:val="Footer"/>
    <w:rsid w:val="00FE1D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19</Pages>
  <Words>4171</Words>
  <Characters>23779</Characters>
  <Application>Microsoft Office Word</Application>
  <DocSecurity>0</DocSecurity>
  <Lines>198</Lines>
  <Paragraphs>55</Paragraphs>
  <ScaleCrop>false</ScaleCrop>
  <Company/>
  <LinksUpToDate>false</LinksUpToDate>
  <CharactersWithSpaces>27895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OO JIAN HONG</cp:lastModifiedBy>
  <cp:revision>6</cp:revision>
  <dcterms:created xsi:type="dcterms:W3CDTF">2026-06-11T05:46:00Z</dcterms:created>
  <dcterms:modified xsi:type="dcterms:W3CDTF">2026-06-14T11:42:00Z</dcterms:modified>
</cp:coreProperties>
</file>