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240" w:after="80" w:line="240" w:lineRule="auto"/>
      </w:pPr>
      <w:r>
        <w:rPr>
          <w:rFonts w:ascii="Calibri" w:hAnsi="Calibri" w:eastAsia="Microsoft YaHei"/>
          <w:b/>
          <w:i w:val="0"/>
          <w:color w:val="2E74B5"/>
          <w:sz w:val="20"/>
        </w:rPr>
        <w:t>上线准备度评估报告</w:t>
      </w:r>
    </w:p>
    <w:p>
      <w:pPr>
        <w:keepLines/>
        <w:spacing w:before="0" w:after="100" w:line="240" w:lineRule="auto"/>
      </w:pPr>
      <w:r>
        <w:rPr>
          <w:rFonts w:ascii="Calibri" w:hAnsi="Calibri" w:eastAsia="Microsoft YaHei"/>
          <w:b/>
          <w:i w:val="0"/>
          <w:color w:val="17324D"/>
          <w:sz w:val="54"/>
        </w:rPr>
        <w:t>Feisheng Bot</w:t>
      </w:r>
    </w:p>
    <w:p>
      <w:pPr>
        <w:keepLines w:val="0"/>
        <w:spacing w:before="0" w:after="320" w:line="252" w:lineRule="auto"/>
      </w:pPr>
      <w:r>
        <w:rPr>
          <w:rFonts w:ascii="Calibri" w:hAnsi="Calibri" w:eastAsia="Microsoft YaHei"/>
          <w:b w:val="0"/>
          <w:i w:val="0"/>
          <w:color w:val="667085"/>
          <w:sz w:val="28"/>
        </w:rPr>
        <w:t>生产上线差距、风险分级与整改路线</w:t>
      </w:r>
    </w:p>
    <w:p>
      <w:pPr>
        <w:keepLines w:val="0"/>
        <w:spacing w:before="0" w:after="40" w:line="240" w:lineRule="auto"/>
      </w:pPr>
      <w:r>
        <w:rPr>
          <w:rFonts w:ascii="Calibri" w:hAnsi="Calibri" w:eastAsia="Microsoft YaHei"/>
          <w:b/>
          <w:i w:val="0"/>
          <w:color w:val="17324D"/>
          <w:sz w:val="19"/>
        </w:rPr>
        <w:t>评估日期：</w:t>
      </w:r>
      <w:r>
        <w:rPr>
          <w:rFonts w:ascii="Calibri" w:hAnsi="Calibri" w:eastAsia="Microsoft YaHei"/>
          <w:b w:val="0"/>
          <w:i w:val="0"/>
          <w:color w:val="20262E"/>
          <w:sz w:val="19"/>
        </w:rPr>
        <w:t>2026-07-13</w:t>
      </w:r>
    </w:p>
    <w:p>
      <w:pPr>
        <w:keepLines w:val="0"/>
        <w:spacing w:before="0" w:after="40" w:line="240" w:lineRule="auto"/>
      </w:pPr>
      <w:r>
        <w:rPr>
          <w:rFonts w:ascii="Calibri" w:hAnsi="Calibri" w:eastAsia="Microsoft YaHei"/>
          <w:b/>
          <w:i w:val="0"/>
          <w:color w:val="17324D"/>
          <w:sz w:val="19"/>
        </w:rPr>
        <w:t>评估对象：</w:t>
      </w:r>
      <w:r>
        <w:rPr>
          <w:rFonts w:ascii="Calibri" w:hAnsi="Calibri" w:eastAsia="Microsoft YaHei"/>
          <w:b w:val="0"/>
          <w:i w:val="0"/>
          <w:color w:val="20262E"/>
          <w:sz w:val="19"/>
        </w:rPr>
        <w:t>本地 Docker Compose 部署与当前工作区代码</w:t>
      </w:r>
    </w:p>
    <w:p>
      <w:pPr>
        <w:keepLines w:val="0"/>
        <w:spacing w:before="0" w:after="40" w:line="240" w:lineRule="auto"/>
      </w:pPr>
      <w:r>
        <w:rPr>
          <w:rFonts w:ascii="Calibri" w:hAnsi="Calibri" w:eastAsia="Microsoft YaHei"/>
          <w:b/>
          <w:i w:val="0"/>
          <w:color w:val="17324D"/>
          <w:sz w:val="19"/>
        </w:rPr>
        <w:t>评估口径：</w:t>
      </w:r>
      <w:r>
        <w:rPr>
          <w:rFonts w:ascii="Calibri" w:hAnsi="Calibri" w:eastAsia="Microsoft YaHei"/>
          <w:b w:val="0"/>
          <w:i w:val="0"/>
          <w:color w:val="20262E"/>
          <w:sz w:val="19"/>
        </w:rPr>
        <w:t>对外生产上线标准，不以演示可用为通过条件</w:t>
      </w:r>
    </w:p>
    <w:p>
      <w:pPr>
        <w:keepLines w:val="0"/>
        <w:spacing w:before="0" w:after="40" w:line="240" w:lineRule="auto"/>
      </w:pPr>
      <w:r>
        <w:rPr>
          <w:rFonts w:ascii="Calibri" w:hAnsi="Calibri" w:eastAsia="Microsoft YaHei"/>
          <w:b/>
          <w:i w:val="0"/>
          <w:color w:val="17324D"/>
          <w:sz w:val="19"/>
        </w:rPr>
        <w:t>文档状态：</w:t>
      </w:r>
      <w:r>
        <w:rPr>
          <w:rFonts w:ascii="Calibri" w:hAnsi="Calibri" w:eastAsia="Microsoft YaHei"/>
          <w:b w:val="0"/>
          <w:i w:val="0"/>
          <w:color w:val="20262E"/>
          <w:sz w:val="19"/>
        </w:rPr>
        <w:t>内部评审稿</w:t>
      </w:r>
    </w:p>
    <w:p>
      <w:pPr>
        <w:keepLines/>
        <w:spacing w:before="80" w:after="200" w:line="264" w:lineRule="auto"/>
        <w:ind w:left="202" w:right="173"/>
        <w:shd w:fill="FDECEC"/>
        <w:pBdr>
          <w:left w:val="single" w:sz="18" w:space="5" w:color="9B1C1C"/>
        </w:pBdr>
      </w:pPr>
      <w:r>
        <w:rPr>
          <w:rFonts w:ascii="Calibri" w:hAnsi="Calibri" w:eastAsia="Microsoft YaHei"/>
          <w:b/>
          <w:i w:val="0"/>
          <w:color w:val="9B1C1C"/>
          <w:sz w:val="21"/>
        </w:rPr>
        <w:t xml:space="preserve">总体结论  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当前版本适合内部演示和小范围联调，但尚未达到对外生产上线标准。主要阻断项集中在权限控制、渠道入口、业务闭环、知识库向量化、数据库迁移和密钥安全。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管理层摘要</w:t>
      </w: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基础设施与核心技术链路已经具备可运行基础：MySQL、Redis、MinIO、前后端容器均处于健康状态，管理员登录、真实 LLM 调用、文档存储和基础 FAQ 流程可以工作。</w:t>
      </w: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但“服务可启动”不等于“功能可上线”。当前至少有 7 项 P0 级阻断问题，任何一项未关闭都可能导致越权访问、渠道不可用、配置不生效、知识库检索失真或发布后数据库故障。</w:t>
      </w:r>
    </w:p>
    <w:tbl>
      <w:tblPr>
        <w:tblStyle w:val="TableGrid"/>
        <w:tblW w:type="dxa" w:w="88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1650"/>
        <w:gridCol w:w="4310"/>
        <w:gridCol w:w="1800"/>
      </w:tblGrid>
      <w:tr>
        <w:trPr>
          <w:trHeight w:hRule="atLeast"/>
          <w:tblHeader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9"/>
              </w:rPr>
              <w:t>维度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9"/>
              </w:rPr>
              <w:t>当前判断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9"/>
              </w:rPr>
              <w:t>核心依据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9"/>
              </w:rPr>
              <w:t>状态</w:t>
            </w:r>
          </w:p>
        </w:tc>
      </w:tr>
      <w:tr>
        <w:tc>
          <w:tcPr>
            <w:tcW w:type="dxa" w:w="112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基础设施</w:t>
            </w:r>
          </w:p>
        </w:tc>
        <w:tc>
          <w:tcPr>
            <w:tcW w:type="dxa" w:w="165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可运行</w:t>
            </w:r>
          </w:p>
        </w:tc>
        <w:tc>
          <w:tcPr>
            <w:tcW w:type="dxa" w:w="431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5 个容器健康，MySQL/Redis/MinIO 可用</w:t>
            </w:r>
          </w:p>
        </w:tc>
        <w:tc>
          <w:tcPr>
            <w:tcW w:type="dxa" w:w="1800"/>
            <w:shd w:fill="EAF5EF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F6B4F"/>
                <w:sz w:val="18"/>
              </w:rPr>
              <w:t>通过</w:t>
            </w:r>
          </w:p>
        </w:tc>
      </w:tr>
      <w:tr>
        <w:tc>
          <w:tcPr>
            <w:tcW w:type="dxa" w:w="112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身份认证</w:t>
            </w:r>
          </w:p>
        </w:tc>
        <w:tc>
          <w:tcPr>
            <w:tcW w:type="dxa" w:w="165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部分可用</w:t>
            </w:r>
          </w:p>
        </w:tc>
        <w:tc>
          <w:tcPr>
            <w:tcW w:type="dxa" w:w="431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JWT 登录正常，但权限边界不完整</w:t>
            </w:r>
          </w:p>
        </w:tc>
        <w:tc>
          <w:tcPr>
            <w:tcW w:type="dxa" w:w="1800"/>
            <w:shd w:fill="FDECEC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18"/>
              </w:rPr>
              <w:t>P0 阻断</w:t>
            </w:r>
          </w:p>
        </w:tc>
      </w:tr>
      <w:tr>
        <w:tc>
          <w:tcPr>
            <w:tcW w:type="dxa" w:w="112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渠道接入</w:t>
            </w:r>
          </w:p>
        </w:tc>
        <w:tc>
          <w:tcPr>
            <w:tcW w:type="dxa" w:w="165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部分可用</w:t>
            </w:r>
          </w:p>
        </w:tc>
        <w:tc>
          <w:tcPr>
            <w:tcW w:type="dxa" w:w="431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钉钉/企微密钥已注入，网页渠道入口不可用</w:t>
            </w:r>
          </w:p>
        </w:tc>
        <w:tc>
          <w:tcPr>
            <w:tcW w:type="dxa" w:w="1800"/>
            <w:shd w:fill="FDECEC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18"/>
              </w:rPr>
              <w:t>P0 阻断</w:t>
            </w:r>
          </w:p>
        </w:tc>
      </w:tr>
      <w:tr>
        <w:tc>
          <w:tcPr>
            <w:tcW w:type="dxa" w:w="112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知识库</w:t>
            </w:r>
          </w:p>
        </w:tc>
        <w:tc>
          <w:tcPr>
            <w:tcW w:type="dxa" w:w="165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部分可用</w:t>
            </w:r>
          </w:p>
        </w:tc>
        <w:tc>
          <w:tcPr>
            <w:tcW w:type="dxa" w:w="431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上传修复完成，但无 Embedding 模型和向量数据</w:t>
            </w:r>
          </w:p>
        </w:tc>
        <w:tc>
          <w:tcPr>
            <w:tcW w:type="dxa" w:w="1800"/>
            <w:shd w:fill="FDECEC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18"/>
              </w:rPr>
              <w:t>P0 阻断</w:t>
            </w:r>
          </w:p>
        </w:tc>
      </w:tr>
      <w:tr>
        <w:tc>
          <w:tcPr>
            <w:tcW w:type="dxa" w:w="112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业务闭环</w:t>
            </w:r>
          </w:p>
        </w:tc>
        <w:tc>
          <w:tcPr>
            <w:tcW w:type="dxa" w:w="165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不足</w:t>
            </w:r>
          </w:p>
        </w:tc>
        <w:tc>
          <w:tcPr>
            <w:tcW w:type="dxa" w:w="431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多项页面仅 CRUD，未进入消息处理链路</w:t>
            </w:r>
          </w:p>
        </w:tc>
        <w:tc>
          <w:tcPr>
            <w:tcW w:type="dxa" w:w="1800"/>
            <w:shd w:fill="FDECEC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18"/>
              </w:rPr>
              <w:t>P0 阻断</w:t>
            </w:r>
          </w:p>
        </w:tc>
      </w:tr>
      <w:tr>
        <w:tc>
          <w:tcPr>
            <w:tcW w:type="dxa" w:w="112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发布治理</w:t>
            </w:r>
          </w:p>
        </w:tc>
        <w:tc>
          <w:tcPr>
            <w:tcW w:type="dxa" w:w="165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不足</w:t>
            </w:r>
          </w:p>
        </w:tc>
        <w:tc>
          <w:tcPr>
            <w:tcW w:type="dxa" w:w="431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无正式迁移机制，镜像构建跳过测试</w:t>
            </w:r>
          </w:p>
        </w:tc>
        <w:tc>
          <w:tcPr>
            <w:tcW w:type="dxa" w:w="1800"/>
            <w:shd w:fill="FDECEC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18"/>
              </w:rPr>
              <w:t>P0 阻断</w:t>
            </w:r>
          </w:p>
        </w:tc>
      </w:tr>
      <w:tr>
        <w:tc>
          <w:tcPr>
            <w:tcW w:type="dxa" w:w="112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依赖安全</w:t>
            </w:r>
          </w:p>
        </w:tc>
        <w:tc>
          <w:tcPr>
            <w:tcW w:type="dxa" w:w="165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当前良好</w:t>
            </w:r>
          </w:p>
        </w:tc>
        <w:tc>
          <w:tcPr>
            <w:tcW w:type="dxa" w:w="431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npm 官方审计未发现已知漏洞</w:t>
            </w:r>
          </w:p>
        </w:tc>
        <w:tc>
          <w:tcPr>
            <w:tcW w:type="dxa" w:w="1800"/>
            <w:shd w:fill="EAF5EF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F6B4F"/>
                <w:sz w:val="18"/>
              </w:rPr>
              <w:t>通过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已确认的积极基础</w:t>
      </w:r>
    </w:p>
    <w:p>
      <w:pPr>
        <w:pStyle w:val="ListBullet"/>
        <w:keepLines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Docker 运行态正常，前端、后端、MySQL、Redis、MinIO 均为 healthy。</w:t>
      </w:r>
    </w:p>
    <w:p>
      <w:pPr>
        <w:pStyle w:val="ListBullet"/>
        <w:keepLines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管理员登录和受保护接口可正常工作，真实 LLM 试聊返回 source=ai，抽测延迟约 3.2 秒。</w:t>
      </w:r>
    </w:p>
    <w:p>
      <w:pPr>
        <w:pStyle w:val="ListBullet"/>
        <w:keepLines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钉钉与企微所需密钥均已注入运行容器；钉钉签名与加解密已有测试覆盖。</w:t>
      </w:r>
    </w:p>
    <w:p>
      <w:pPr>
        <w:pStyle w:val="ListBullet"/>
        <w:keepLines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后端现有 13 个测试全部通过；前端生产依赖经 npm 官方源审计未发现已知漏洞。</w:t>
      </w:r>
    </w:p>
    <w:p>
      <w:pPr>
        <w:pStyle w:val="ListBullet"/>
        <w:keepLines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知识库文件可写入 MinIO，并能完成解析、切片及删除回滚。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P0 上线阻断问题</w:t>
      </w:r>
    </w:p>
    <w:p>
      <w:pPr>
        <w:keepLines/>
        <w:spacing w:before="80" w:after="200" w:line="264" w:lineRule="auto"/>
        <w:ind w:left="202" w:right="173"/>
        <w:shd w:fill="FDECEC"/>
        <w:pBdr>
          <w:left w:val="single" w:sz="18" w:space="5" w:color="9B1C1C"/>
        </w:pBdr>
      </w:pPr>
      <w:r>
        <w:rPr>
          <w:rFonts w:ascii="Calibri" w:hAnsi="Calibri" w:eastAsia="Microsoft YaHei"/>
          <w:b/>
          <w:i w:val="0"/>
          <w:color w:val="9B1C1C"/>
          <w:sz w:val="21"/>
        </w:rPr>
        <w:t xml:space="preserve">发布门禁  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以下问题必须在生产发布前全部关闭，不建议以“上线后再修”的方式接受风险。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P0-1. RBAC 权限没有完整生效</w:t>
      </w:r>
    </w:p>
    <w:p>
      <w:pPr>
        <w:keepLines w:val="0"/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9B1C1C"/>
          <w:sz w:val="21"/>
        </w:rPr>
        <w:t>上线影响：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普通登录用户可以访问知识库、客户、日志、文档和工单等敏感后台资源，存在数据越权与误操作风险。</w:t>
      </w:r>
    </w:p>
    <w:p>
      <w:pPr>
        <w:keepLines w:val="0"/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审计证据：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运行态使用无角色临时账号抽测：用户和角色接口返回 401，但知识库、客户、日志、文档、工单接口均返回 200。SecurityConfig 对大量接口仅要求 authenticated。</w:t>
      </w:r>
    </w:p>
    <w:p>
      <w:pPr>
        <w:keepLines w:val="0"/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7A5A00"/>
          <w:sz w:val="21"/>
        </w:rPr>
        <w:t>整改要求：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建立权限标识到 API 的明确映射，启用方法级鉴权或完整请求匹配；前端菜单和路由同步按权限过滤；增加角色矩阵集成测试。</w:t>
      </w:r>
    </w:p>
    <w:p>
      <w:pPr>
        <w:keepLines w:val="0"/>
        <w:spacing w:before="0" w:after="180" w:line="264" w:lineRule="auto"/>
      </w:pPr>
      <w:r>
        <w:rPr>
          <w:rFonts w:ascii="Calibri" w:hAnsi="Calibri" w:eastAsia="Microsoft YaHei"/>
          <w:b/>
          <w:i w:val="0"/>
          <w:color w:val="2F6B4F"/>
          <w:sz w:val="21"/>
        </w:rPr>
        <w:t>验收标准：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无角色账号只能访问本人信息；客服、运营和管理员的每项读写权限均有正向与反向自动化测试，越权统一返回 403。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P0-2. 超级管理员账号保护不完整</w:t>
      </w:r>
    </w:p>
    <w:p>
      <w:pPr>
        <w:keepLines w:val="0"/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9B1C1C"/>
          <w:sz w:val="21"/>
        </w:rPr>
        <w:t>上线影响：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最后一个超级管理员仍可能被删除、禁用或解除角色，导致整个后台失去管理入口。</w:t>
      </w:r>
    </w:p>
    <w:p>
      <w:pPr>
        <w:keepLines w:val="0"/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审计证据：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当前仅保护 admin 角色不可删除；UserController 仍允许删除任意用户，并可先删除全部用户角色再重新写入。</w:t>
      </w:r>
    </w:p>
    <w:p>
      <w:pPr>
        <w:keepLines w:val="0"/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7A5A00"/>
          <w:sz w:val="21"/>
        </w:rPr>
        <w:t>整改要求：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禁止删除、禁用或解除最后一个超级管理员；用户删除必须同步清理关联表；角色分配操作使用事务并校验目标角色。</w:t>
      </w:r>
    </w:p>
    <w:p>
      <w:pPr>
        <w:keepLines w:val="0"/>
        <w:spacing w:before="0" w:after="180" w:line="264" w:lineRule="auto"/>
      </w:pPr>
      <w:r>
        <w:rPr>
          <w:rFonts w:ascii="Calibri" w:hAnsi="Calibri" w:eastAsia="Microsoft YaHei"/>
          <w:b/>
          <w:i w:val="0"/>
          <w:color w:val="2F6B4F"/>
          <w:sz w:val="21"/>
        </w:rPr>
        <w:t>验收标准：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数据库中始终至少存在一个启用的超级管理员；所有破坏最后管理员的请求均被拒绝并写入审计日志。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P0-3. 网页客服渠道当前不可用</w:t>
      </w:r>
    </w:p>
    <w:p>
      <w:pPr>
        <w:keepLines w:val="0"/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9B1C1C"/>
          <w:sz w:val="21"/>
        </w:rPr>
        <w:t>上线影响：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官网聊天组件无法通过当前生产入口发送消息，直接影响核心客服场景。</w:t>
      </w:r>
    </w:p>
    <w:p>
      <w:pPr>
        <w:keepLines w:val="0"/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审计证据：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实测 http://localhost/gateway/channel/web/message 返回 405，直连后端 8082 返回 401；Nginx 未代理 /gateway，Spring Security 也未对网页渠道设计合法放行方案。</w:t>
      </w:r>
    </w:p>
    <w:p>
      <w:pPr>
        <w:keepLines w:val="0"/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7A5A00"/>
          <w:sz w:val="21"/>
        </w:rPr>
        <w:t>整改要求：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增加 /gateway 代理；为网页渠道设计站点密钥、签名、来源白名单、限流和防重放机制；后端端口不直接暴露公网。</w:t>
      </w:r>
    </w:p>
    <w:p>
      <w:pPr>
        <w:keepLines w:val="0"/>
        <w:spacing w:before="0" w:after="180" w:line="264" w:lineRule="auto"/>
      </w:pPr>
      <w:r>
        <w:rPr>
          <w:rFonts w:ascii="Calibri" w:hAnsi="Calibri" w:eastAsia="Microsoft YaHei"/>
          <w:b/>
          <w:i w:val="0"/>
          <w:color w:val="2F6B4F"/>
          <w:sz w:val="21"/>
        </w:rPr>
        <w:t>验收标准：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通过 HTTPS 域名从真实网页组件完成消息发送、回复、重复消息去重和限流测试，未授权来源被拒绝。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P0-4. 多项后台功能只有 CRUD，没有业务闭环</w:t>
      </w:r>
    </w:p>
    <w:p>
      <w:pPr>
        <w:keepLines w:val="0"/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9B1C1C"/>
          <w:sz w:val="21"/>
        </w:rPr>
        <w:t>上线影响：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管理人员在页面中保存配置后，机器人行为不发生变化，容易造成“配置已生效”的错误认知。</w:t>
      </w:r>
    </w:p>
    <w:p>
      <w:pPr>
        <w:keepLines w:val="0"/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审计证据：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渠道配置、意图管理、回复策略仅由 Controller/Mapper 读写；消息处理主链路没有引用这些实体。客户、工单和操作日志也缺少自动建档、建单和审计写入。</w:t>
      </w:r>
    </w:p>
    <w:p>
      <w:pPr>
        <w:keepLines w:val="0"/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7A5A00"/>
          <w:sz w:val="21"/>
        </w:rPr>
        <w:t>整改要求：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逐项决定“接入主链路”或“暂时下线入口”。已保留功能必须定义触发条件、优先级、异常策略和可验证结果。</w:t>
      </w:r>
    </w:p>
    <w:p>
      <w:pPr>
        <w:keepLines w:val="0"/>
        <w:spacing w:before="0" w:after="180" w:line="264" w:lineRule="auto"/>
      </w:pPr>
      <w:r>
        <w:rPr>
          <w:rFonts w:ascii="Calibri" w:hAnsi="Calibri" w:eastAsia="Microsoft YaHei"/>
          <w:b/>
          <w:i w:val="0"/>
          <w:color w:val="2F6B4F"/>
          <w:sz w:val="21"/>
        </w:rPr>
        <w:t>验收标准：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每个后台配置都有端到端测试证明保存后会改变机器人行为；未完成的菜单不出现在生产版本。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P0-5. 文档知识库尚未形成完整 RAG 能力</w:t>
      </w:r>
    </w:p>
    <w:p>
      <w:pPr>
        <w:keepLines w:val="0"/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9B1C1C"/>
          <w:sz w:val="21"/>
        </w:rPr>
        <w:t>上线影响：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上传页面可能显示处理完成，但文档没有向量，语义检索无法命中，真实回答质量与后台状态不一致。</w:t>
      </w:r>
    </w:p>
    <w:p>
      <w:pPr>
        <w:keepLines w:val="0"/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审计证据：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当前启用的 Embedding 模型为 0，数据库中带向量的切片为 0；文档即使 embeddedCount=0 仍被标记为 STATUS_COMPLETED。</w:t>
      </w:r>
    </w:p>
    <w:p>
      <w:pPr>
        <w:keepLines w:val="0"/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7A5A00"/>
          <w:sz w:val="21"/>
        </w:rPr>
        <w:t>整改要求：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配置并验证 Embedding 模型；拆分解析、切片、向量化和审核状态；零向量视为失败或降级状态，并允许重试。</w:t>
      </w:r>
    </w:p>
    <w:p>
      <w:pPr>
        <w:keepLines w:val="0"/>
        <w:spacing w:before="0" w:after="180" w:line="264" w:lineRule="auto"/>
      </w:pPr>
      <w:r>
        <w:rPr>
          <w:rFonts w:ascii="Calibri" w:hAnsi="Calibri" w:eastAsia="Microsoft YaHei"/>
          <w:b/>
          <w:i w:val="0"/>
          <w:color w:val="2F6B4F"/>
          <w:sz w:val="21"/>
        </w:rPr>
        <w:t>验收标准：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至少使用一组业务文档完成上传、向量化、审核、检索、引用和删除回归；后台可区分各处理阶段。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P0-6. 数据库升级没有正式迁移机制</w:t>
      </w:r>
    </w:p>
    <w:p>
      <w:pPr>
        <w:keepLines w:val="0"/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9B1C1C"/>
          <w:sz w:val="21"/>
        </w:rPr>
        <w:t>上线影响：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代码升级后可能因字段缺失直接出现 500，发布不可预测且难以回滚。</w:t>
      </w:r>
    </w:p>
    <w:p>
      <w:pPr>
        <w:keepLines w:val="0"/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审计证据：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本次文档上传故障即由旧 MySQL 数据卷未执行 05_add_minio_storage.sql 引起。docker-entrypoint-initdb.d 仅在首次初始化时运行。</w:t>
      </w:r>
    </w:p>
    <w:p>
      <w:pPr>
        <w:keepLines w:val="0"/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7A5A00"/>
          <w:sz w:val="21"/>
        </w:rPr>
        <w:t>整改要求：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接入 Flyway 或 Liquibase；迁移脚本必须有版本、校验和、前向兼容与失败回滚策略；启动前执行 schema 校验。</w:t>
      </w:r>
    </w:p>
    <w:p>
      <w:pPr>
        <w:keepLines w:val="0"/>
        <w:spacing w:before="0" w:after="180" w:line="264" w:lineRule="auto"/>
      </w:pPr>
      <w:r>
        <w:rPr>
          <w:rFonts w:ascii="Calibri" w:hAnsi="Calibri" w:eastAsia="Microsoft YaHei"/>
          <w:b/>
          <w:i w:val="0"/>
          <w:color w:val="2F6B4F"/>
          <w:sz w:val="21"/>
        </w:rPr>
        <w:t>验收标准：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从任意受支持旧版本升级到新版本可自动完成迁移；重复启动不会重复执行；迁移失败时应用不得接收流量。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P0-7. AI 密钥明文存储且存在日志泄露风险</w:t>
      </w:r>
    </w:p>
    <w:p>
      <w:pPr>
        <w:keepLines w:val="0"/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9B1C1C"/>
          <w:sz w:val="21"/>
        </w:rPr>
        <w:t>上线影响：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数据库或日志泄露会直接暴露第三方模型凭据，可能造成费用损失和数据泄露。</w:t>
      </w:r>
    </w:p>
    <w:p>
      <w:pPr>
        <w:keepLines w:val="0"/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审计证据：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BotAiModelConfig 直接保存 apiKey；EncryptionUtil 未被业务调用，且使用固定默认密钥和 AES-ECB；生产配置启用了 MyBatis StdOut SQL 参数日志。</w:t>
      </w:r>
    </w:p>
    <w:p>
      <w:pPr>
        <w:keepLines w:val="0"/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7A5A00"/>
          <w:sz w:val="21"/>
        </w:rPr>
        <w:t>整改要求：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使用 KMS/Secrets Manager 或 AES-GCM 信封加密；移除默认密钥；接口永不回传密钥；生产关闭 SQL 参数日志并轮换现有密钥。</w:t>
      </w:r>
    </w:p>
    <w:p>
      <w:pPr>
        <w:keepLines w:val="0"/>
        <w:spacing w:before="0" w:after="180" w:line="264" w:lineRule="auto"/>
      </w:pPr>
      <w:r>
        <w:rPr>
          <w:rFonts w:ascii="Calibri" w:hAnsi="Calibri" w:eastAsia="Microsoft YaHei"/>
          <w:b/>
          <w:i w:val="0"/>
          <w:color w:val="2F6B4F"/>
          <w:sz w:val="21"/>
        </w:rPr>
        <w:t>验收标准：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数据库中不可直接识别原始密钥；日志扫描无密钥特征；密钥轮换、解密失败和权限访问均有测试与告警。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P1 重要问题</w:t>
      </w:r>
    </w:p>
    <w:tbl>
      <w:tblPr>
        <w:tblStyle w:val="TableGrid"/>
        <w:tblW w:type="dxa" w:w="88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900"/>
        <w:gridCol w:w="3320"/>
        <w:gridCol w:w="2810"/>
      </w:tblGrid>
      <w:tr>
        <w:trPr>
          <w:trHeight w:hRule="atLeast"/>
          <w:tblHeader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9"/>
              </w:rPr>
              <w:t>编号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9"/>
              </w:rPr>
              <w:t>问题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9"/>
              </w:rPr>
              <w:t>风险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9"/>
              </w:rPr>
              <w:t>建议验收结果</w:t>
            </w:r>
          </w:p>
        </w:tc>
      </w:tr>
      <w:tr>
        <w:tc>
          <w:tcPr>
            <w:tcW w:type="dxa" w:w="85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P1-1</w:t>
            </w:r>
          </w:p>
        </w:tc>
        <w:tc>
          <w:tcPr>
            <w:tcW w:type="dxa" w:w="190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上传容量配置不一致</w:t>
            </w:r>
          </w:p>
        </w:tc>
        <w:tc>
          <w:tcPr>
            <w:tcW w:type="dxa" w:w="332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Nginx 默认约 1 MB，实测 2 MB 返回 413；后端声明 50 MB。</w:t>
            </w:r>
          </w:p>
        </w:tc>
        <w:tc>
          <w:tcPr>
            <w:tcW w:type="dxa" w:w="281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代理层与应用层限制一致，并覆盖 0 B、上限内和超限文件。</w:t>
            </w:r>
          </w:p>
        </w:tc>
      </w:tr>
      <w:tr>
        <w:tc>
          <w:tcPr>
            <w:tcW w:type="dxa" w:w="85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P1-2</w:t>
            </w:r>
          </w:p>
        </w:tc>
        <w:tc>
          <w:tcPr>
            <w:tcW w:type="dxa" w:w="190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异步文档任务不可恢复</w:t>
            </w:r>
          </w:p>
        </w:tc>
        <w:tc>
          <w:tcPr>
            <w:tcW w:type="dxa" w:w="332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任务仅存在 JVM 内存线程池，重启后 processing 记录会永久悬挂。</w:t>
            </w:r>
          </w:p>
        </w:tc>
        <w:tc>
          <w:tcPr>
            <w:tcW w:type="dxa" w:w="281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使用持久队列/任务表，支持幂等、重试、超时和启动恢复。</w:t>
            </w:r>
          </w:p>
        </w:tc>
      </w:tr>
      <w:tr>
        <w:tc>
          <w:tcPr>
            <w:tcW w:type="dxa" w:w="85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P1-3</w:t>
            </w:r>
          </w:p>
        </w:tc>
        <w:tc>
          <w:tcPr>
            <w:tcW w:type="dxa" w:w="190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转人工仅修改状态</w:t>
            </w:r>
          </w:p>
        </w:tc>
        <w:tc>
          <w:tcPr>
            <w:tcW w:type="dxa" w:w="332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没有客服分配、通知、接单、排队和超时升级。</w:t>
            </w:r>
          </w:p>
        </w:tc>
        <w:tc>
          <w:tcPr>
            <w:tcW w:type="dxa" w:w="281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完成转接全链路及 SLA 告警，能够追踪处理人和结果。</w:t>
            </w:r>
          </w:p>
        </w:tc>
      </w:tr>
      <w:tr>
        <w:tc>
          <w:tcPr>
            <w:tcW w:type="dxa" w:w="85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P1-4</w:t>
            </w:r>
          </w:p>
        </w:tc>
        <w:tc>
          <w:tcPr>
            <w:tcW w:type="dxa" w:w="190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缺少统一限流</w:t>
            </w:r>
          </w:p>
        </w:tc>
        <w:tc>
          <w:tcPr>
            <w:tcW w:type="dxa" w:w="332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登录、AI、上传和公开回调可能被暴力尝试或刷量。</w:t>
            </w:r>
          </w:p>
        </w:tc>
        <w:tc>
          <w:tcPr>
            <w:tcW w:type="dxa" w:w="281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按 IP、账号、渠道和租户设置限流，触发后可观测。</w:t>
            </w:r>
          </w:p>
        </w:tc>
      </w:tr>
      <w:tr>
        <w:tc>
          <w:tcPr>
            <w:tcW w:type="dxa" w:w="85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P1-5</w:t>
            </w:r>
          </w:p>
        </w:tc>
        <w:tc>
          <w:tcPr>
            <w:tcW w:type="dxa" w:w="190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LLM/Embedding 超时未真正应用</w:t>
            </w:r>
          </w:p>
        </w:tc>
        <w:tc>
          <w:tcPr>
            <w:tcW w:type="dxa" w:w="332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配置字段存在，但实际使用默认 RestTemplate，外部服务卡住会占满线程。</w:t>
            </w:r>
          </w:p>
        </w:tc>
        <w:tc>
          <w:tcPr>
            <w:tcW w:type="dxa" w:w="281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连接、读取、总时限及重试策略有自动化故障测试。</w:t>
            </w:r>
          </w:p>
        </w:tc>
      </w:tr>
      <w:tr>
        <w:tc>
          <w:tcPr>
            <w:tcW w:type="dxa" w:w="85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P1-6</w:t>
            </w:r>
          </w:p>
        </w:tc>
        <w:tc>
          <w:tcPr>
            <w:tcW w:type="dxa" w:w="190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健康检查过于乐观</w:t>
            </w:r>
          </w:p>
        </w:tc>
        <w:tc>
          <w:tcPr>
            <w:tcW w:type="dxa" w:w="332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接口固定返回 UP，无法发现 MySQL、Redis、MinIO 异常。</w:t>
            </w:r>
          </w:p>
        </w:tc>
        <w:tc>
          <w:tcPr>
            <w:tcW w:type="dxa" w:w="281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区分 liveness/readiness，并验证关键依赖和迁移状态。</w:t>
            </w:r>
          </w:p>
        </w:tc>
      </w:tr>
      <w:tr>
        <w:tc>
          <w:tcPr>
            <w:tcW w:type="dxa" w:w="85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P1-7</w:t>
            </w:r>
          </w:p>
        </w:tc>
        <w:tc>
          <w:tcPr>
            <w:tcW w:type="dxa" w:w="190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网络边界不适合公网</w:t>
            </w:r>
          </w:p>
        </w:tc>
        <w:tc>
          <w:tcPr>
            <w:tcW w:type="dxa" w:w="332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仅 HTTP，8082 绑定所有网卡，缺少安全响应头和正式域名配置。</w:t>
            </w:r>
          </w:p>
        </w:tc>
        <w:tc>
          <w:tcPr>
            <w:tcW w:type="dxa" w:w="281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HTTPS、HSTS、CSP、安全头及仅内网后端端口。</w:t>
            </w:r>
          </w:p>
        </w:tc>
      </w:tr>
      <w:tr>
        <w:tc>
          <w:tcPr>
            <w:tcW w:type="dxa" w:w="85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P1-8</w:t>
            </w:r>
          </w:p>
        </w:tc>
        <w:tc>
          <w:tcPr>
            <w:tcW w:type="dxa" w:w="190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CORS 过宽</w:t>
            </w:r>
          </w:p>
        </w:tc>
        <w:tc>
          <w:tcPr>
            <w:tcW w:type="dxa" w:w="332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允许任意 Origin 且允许凭据，扩大浏览器侧攻击面。</w:t>
            </w:r>
          </w:p>
        </w:tc>
        <w:tc>
          <w:tcPr>
            <w:tcW w:type="dxa" w:w="281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生产仅允许明确域名，预检和凭据策略经过验证。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质量与发布治理差距</w:t>
      </w:r>
    </w:p>
    <w:p>
      <w:pPr>
        <w:pStyle w:val="ListBullet"/>
        <w:keepLines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Admin 模块没有自动化测试，鉴权、用户、角色、上传、模型配置和迁移缺少覆盖。</w:t>
      </w:r>
    </w:p>
    <w:p>
      <w:pPr>
        <w:pStyle w:val="ListBullet"/>
        <w:keepLines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前端 package.json 只有 dev/build/preview，没有 lint、unit test 或 E2E 脚本。</w:t>
      </w:r>
    </w:p>
    <w:p>
      <w:pPr>
        <w:pStyle w:val="ListBullet"/>
        <w:keepLines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生产 Dockerfile 使用 -DskipTests，镜像构建不会因测试失败而停止。</w:t>
      </w:r>
    </w:p>
    <w:p>
      <w:pPr>
        <w:pStyle w:val="ListBullet"/>
        <w:keepLines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当前工作区存在约 47 项未提交或未跟踪变更，不具备明确版本号、变更集和一键回滚基线。</w:t>
      </w:r>
    </w:p>
    <w:p>
      <w:pPr>
        <w:pStyle w:val="ListBullet"/>
        <w:keepLines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MyBatis 在各模块启用 StdOutImpl，生产日志噪声大，并可能输出敏感参数。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验证结果</w:t>
      </w:r>
    </w:p>
    <w:tbl>
      <w:tblPr>
        <w:tblStyle w:val="TableGrid"/>
        <w:tblW w:type="dxa" w:w="88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500"/>
        <w:gridCol w:w="4980"/>
      </w:tblGrid>
      <w:tr>
        <w:trPr>
          <w:trHeight w:hRule="atLeast"/>
          <w:tblHeader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9"/>
              </w:rPr>
              <w:t>验证项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9"/>
              </w:rPr>
              <w:t>结果</w:t>
            </w:r>
          </w:p>
        </w:tc>
        <w:tc>
          <w:tcPr>
            <w:tcW w:type="dxa" w:w="4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9"/>
              </w:rPr>
              <w:t>说明</w:t>
            </w:r>
          </w:p>
        </w:tc>
      </w:tr>
      <w:tr>
        <w:tc>
          <w:tcPr>
            <w:tcW w:type="dxa" w:w="24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容器状态</w:t>
            </w:r>
          </w:p>
        </w:tc>
        <w:tc>
          <w:tcPr>
            <w:tcW w:type="dxa" w:w="1500"/>
            <w:shd w:fill="EAF5EF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F6B4F"/>
                <w:sz w:val="18"/>
              </w:rPr>
              <w:t>通过</w:t>
            </w:r>
          </w:p>
        </w:tc>
        <w:tc>
          <w:tcPr>
            <w:tcW w:type="dxa" w:w="498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frontend、app、mysql、redis、minio 均为 healthy</w:t>
            </w:r>
          </w:p>
        </w:tc>
      </w:tr>
      <w:tr>
        <w:tc>
          <w:tcPr>
            <w:tcW w:type="dxa" w:w="24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管理员登录</w:t>
            </w:r>
          </w:p>
        </w:tc>
        <w:tc>
          <w:tcPr>
            <w:tcW w:type="dxa" w:w="1500"/>
            <w:shd w:fill="EAF5EF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F6B4F"/>
                <w:sz w:val="18"/>
              </w:rPr>
              <w:t>通过</w:t>
            </w:r>
          </w:p>
        </w:tc>
        <w:tc>
          <w:tcPr>
            <w:tcW w:type="dxa" w:w="498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登录和主要管理员接口返回 200</w:t>
            </w:r>
          </w:p>
        </w:tc>
      </w:tr>
      <w:tr>
        <w:tc>
          <w:tcPr>
            <w:tcW w:type="dxa" w:w="24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真实 LLM 调用</w:t>
            </w:r>
          </w:p>
        </w:tc>
        <w:tc>
          <w:tcPr>
            <w:tcW w:type="dxa" w:w="1500"/>
            <w:shd w:fill="EAF5EF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F6B4F"/>
                <w:sz w:val="18"/>
              </w:rPr>
              <w:t>通过</w:t>
            </w:r>
          </w:p>
        </w:tc>
        <w:tc>
          <w:tcPr>
            <w:tcW w:type="dxa" w:w="498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试聊 source=ai，抽测约 3.2 秒</w:t>
            </w:r>
          </w:p>
        </w:tc>
      </w:tr>
      <w:tr>
        <w:tc>
          <w:tcPr>
            <w:tcW w:type="dxa" w:w="24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后端测试</w:t>
            </w:r>
          </w:p>
        </w:tc>
        <w:tc>
          <w:tcPr>
            <w:tcW w:type="dxa" w:w="1500"/>
            <w:shd w:fill="EAF5EF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F6B4F"/>
                <w:sz w:val="18"/>
              </w:rPr>
              <w:t>通过</w:t>
            </w:r>
          </w:p>
        </w:tc>
        <w:tc>
          <w:tcPr>
            <w:tcW w:type="dxa" w:w="498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4 个测试类，13 个测试全部通过</w:t>
            </w:r>
          </w:p>
        </w:tc>
      </w:tr>
      <w:tr>
        <w:tc>
          <w:tcPr>
            <w:tcW w:type="dxa" w:w="24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Admin 自动化测试</w:t>
            </w:r>
          </w:p>
        </w:tc>
        <w:tc>
          <w:tcPr>
            <w:tcW w:type="dxa" w:w="15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缺失</w:t>
            </w:r>
          </w:p>
        </w:tc>
        <w:tc>
          <w:tcPr>
            <w:tcW w:type="dxa" w:w="498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Admin 模块 No tests to run</w:t>
            </w:r>
          </w:p>
        </w:tc>
      </w:tr>
      <w:tr>
        <w:tc>
          <w:tcPr>
            <w:tcW w:type="dxa" w:w="24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前端依赖审计</w:t>
            </w:r>
          </w:p>
        </w:tc>
        <w:tc>
          <w:tcPr>
            <w:tcW w:type="dxa" w:w="1500"/>
            <w:shd w:fill="EAF5EF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F6B4F"/>
                <w:sz w:val="18"/>
              </w:rPr>
              <w:t>通过</w:t>
            </w:r>
          </w:p>
        </w:tc>
        <w:tc>
          <w:tcPr>
            <w:tcW w:type="dxa" w:w="498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npm 官方源返回 0 vulnerabilities</w:t>
            </w:r>
          </w:p>
        </w:tc>
      </w:tr>
      <w:tr>
        <w:tc>
          <w:tcPr>
            <w:tcW w:type="dxa" w:w="24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2 MB 文档上传</w:t>
            </w:r>
          </w:p>
        </w:tc>
        <w:tc>
          <w:tcPr>
            <w:tcW w:type="dxa" w:w="15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失败</w:t>
            </w:r>
          </w:p>
        </w:tc>
        <w:tc>
          <w:tcPr>
            <w:tcW w:type="dxa" w:w="498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Nginx 返回 413</w:t>
            </w:r>
          </w:p>
        </w:tc>
      </w:tr>
      <w:tr>
        <w:tc>
          <w:tcPr>
            <w:tcW w:type="dxa" w:w="24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普通账号越权抽测</w:t>
            </w:r>
          </w:p>
        </w:tc>
        <w:tc>
          <w:tcPr>
            <w:tcW w:type="dxa" w:w="15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失败</w:t>
            </w:r>
          </w:p>
        </w:tc>
        <w:tc>
          <w:tcPr>
            <w:tcW w:type="dxa" w:w="498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多个敏感后台接口返回 200</w:t>
            </w:r>
          </w:p>
        </w:tc>
      </w:tr>
      <w:tr>
        <w:tc>
          <w:tcPr>
            <w:tcW w:type="dxa" w:w="24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网页渠道入口</w:t>
            </w:r>
          </w:p>
        </w:tc>
        <w:tc>
          <w:tcPr>
            <w:tcW w:type="dxa" w:w="15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失败</w:t>
            </w:r>
          </w:p>
        </w:tc>
        <w:tc>
          <w:tcPr>
            <w:tcW w:type="dxa" w:w="498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代理入口 405，后端直连 401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整改路线图</w:t>
      </w:r>
    </w:p>
    <w:p>
      <w:pPr>
        <w:keepLines/>
        <w:spacing w:before="80" w:after="200" w:line="264" w:lineRule="auto"/>
        <w:ind w:left="202" w:right="173"/>
        <w:shd w:fill="E8EEF5"/>
        <w:pBdr>
          <w:left w:val="single" w:sz="18" w:space="5" w:color="1F4D78"/>
        </w:pBdr>
      </w:pPr>
      <w:r>
        <w:rPr>
          <w:rFonts w:ascii="Calibri" w:hAnsi="Calibri" w:eastAsia="Microsoft YaHei"/>
          <w:b/>
          <w:i w:val="0"/>
          <w:color w:val="1F4D78"/>
          <w:sz w:val="21"/>
        </w:rPr>
        <w:t xml:space="preserve">建议策略  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先收缩生产范围，再补核心闭环。无法在计划周期内完成的功能应隐藏菜单并明确标记为未发布，而不是带着半成品入口上线。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阶段 1：关闭 P0 阻断项</w:t>
      </w:r>
    </w:p>
    <w:p>
      <w:pPr>
        <w:pStyle w:val="ListNumber"/>
        <w:keepLines w:val="0"/>
        <w:spacing w:before="0" w:after="10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完成 API 级 RBAC、前端权限菜单和最后超级管理员保护。</w:t>
      </w:r>
    </w:p>
    <w:p>
      <w:pPr>
        <w:pStyle w:val="ListNumber"/>
        <w:keepLines w:val="0"/>
        <w:spacing w:before="0" w:after="10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接入 Flyway/Liquibase，整理现有 SQL 为正式迁移版本。</w:t>
      </w:r>
    </w:p>
    <w:p>
      <w:pPr>
        <w:pStyle w:val="ListNumber"/>
        <w:keepLines w:val="0"/>
        <w:spacing w:before="0" w:after="10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完成网页渠道安全入口，或从首发范围中移除网页渠道。</w:t>
      </w:r>
    </w:p>
    <w:p>
      <w:pPr>
        <w:pStyle w:val="ListNumber"/>
        <w:keepLines w:val="0"/>
        <w:spacing w:before="0" w:after="10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接通渠道配置、意图、回复策略；无法接通的功能暂时下线。</w:t>
      </w:r>
    </w:p>
    <w:p>
      <w:pPr>
        <w:pStyle w:val="ListNumber"/>
        <w:keepLines w:val="0"/>
        <w:spacing w:before="0" w:after="10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配置 Embedding 模型，修正知识库处理状态并完成 RAG 端到端验收。</w:t>
      </w:r>
    </w:p>
    <w:p>
      <w:pPr>
        <w:pStyle w:val="ListNumber"/>
        <w:keepLines w:val="0"/>
        <w:spacing w:before="0" w:after="10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完成模型密钥加密、日志脱敏和现有密钥轮换。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阶段 2：建立生产保障</w:t>
      </w:r>
    </w:p>
    <w:p>
      <w:pPr>
        <w:pStyle w:val="ListNumber"/>
        <w:keepLines w:val="0"/>
        <w:spacing w:before="0" w:after="10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补齐 Nginx 上传限制、HTTPS、安全头、CORS 和网络隔离。</w:t>
      </w:r>
    </w:p>
    <w:p>
      <w:pPr>
        <w:pStyle w:val="ListNumber"/>
        <w:keepLines w:val="0"/>
        <w:spacing w:before="0" w:after="10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为文档处理引入持久任务机制，为外部调用配置真实超时、重试和熔断。</w:t>
      </w:r>
    </w:p>
    <w:p>
      <w:pPr>
        <w:pStyle w:val="ListNumber"/>
        <w:keepLines w:val="0"/>
        <w:spacing w:before="0" w:after="10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完成真实转人工流程、客户建档、工单建单和后台操作审计。</w:t>
      </w:r>
    </w:p>
    <w:p>
      <w:pPr>
        <w:pStyle w:val="ListNumber"/>
        <w:keepLines w:val="0"/>
        <w:spacing w:before="0" w:after="10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增加 liveness/readiness、指标、结构化日志、告警和费用监控。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阶段 3：发布工程化</w:t>
      </w:r>
    </w:p>
    <w:p>
      <w:pPr>
        <w:pStyle w:val="ListNumber"/>
        <w:keepLines w:val="0"/>
        <w:spacing w:before="0" w:after="10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Admin 模块补集成测试，前端补 lint、单元测试和关键路径 E2E。</w:t>
      </w:r>
    </w:p>
    <w:p>
      <w:pPr>
        <w:pStyle w:val="ListNumber"/>
        <w:keepLines w:val="0"/>
        <w:spacing w:before="0" w:after="10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CI 中强制运行迁移校验、测试、依赖审计、镜像扫描和制品签名。</w:t>
      </w:r>
    </w:p>
    <w:p>
      <w:pPr>
        <w:pStyle w:val="ListNumber"/>
        <w:keepLines w:val="0"/>
        <w:spacing w:before="0" w:after="10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冻结发布分支和版本号，整理变更记录、回滚方案与数据备份。</w:t>
      </w:r>
    </w:p>
    <w:p>
      <w:pPr>
        <w:pStyle w:val="ListNumber"/>
        <w:keepLines w:val="0"/>
        <w:spacing w:before="0" w:after="10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完成灰度、压测、故障演练和上线评审后再开放真实流量。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建议首发范围</w:t>
      </w:r>
    </w:p>
    <w:tbl>
      <w:tblPr>
        <w:tblStyle w:val="TableGrid"/>
        <w:tblW w:type="dxa" w:w="88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500"/>
        <w:gridCol w:w="5180"/>
      </w:tblGrid>
      <w:tr>
        <w:trPr>
          <w:trHeight w:hRule="atLeast"/>
          <w:tblHeader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9"/>
              </w:rPr>
              <w:t>功能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9"/>
              </w:rPr>
              <w:t>建议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9"/>
              </w:rPr>
              <w:t>进入首发的前置条件</w:t>
            </w:r>
          </w:p>
        </w:tc>
      </w:tr>
      <w:tr>
        <w:tc>
          <w:tcPr>
            <w:tcW w:type="dxa" w:w="22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管理员后台</w:t>
            </w:r>
          </w:p>
        </w:tc>
        <w:tc>
          <w:tcPr>
            <w:tcW w:type="dxa" w:w="15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保留</w:t>
            </w:r>
          </w:p>
        </w:tc>
        <w:tc>
          <w:tcPr>
            <w:tcW w:type="dxa" w:w="518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完成 RBAC、管理员保护、审计日志</w:t>
            </w:r>
          </w:p>
        </w:tc>
      </w:tr>
      <w:tr>
        <w:tc>
          <w:tcPr>
            <w:tcW w:type="dxa" w:w="22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AI 试聊</w:t>
            </w:r>
          </w:p>
        </w:tc>
        <w:tc>
          <w:tcPr>
            <w:tcW w:type="dxa" w:w="15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保留</w:t>
            </w:r>
          </w:p>
        </w:tc>
        <w:tc>
          <w:tcPr>
            <w:tcW w:type="dxa" w:w="518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禁用成功型 Mock 兜底或明确标识降级</w:t>
            </w:r>
          </w:p>
        </w:tc>
      </w:tr>
      <w:tr>
        <w:tc>
          <w:tcPr>
            <w:tcW w:type="dxa" w:w="22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FAQ 知识库</w:t>
            </w:r>
          </w:p>
        </w:tc>
        <w:tc>
          <w:tcPr>
            <w:tcW w:type="dxa" w:w="15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保留</w:t>
            </w:r>
          </w:p>
        </w:tc>
        <w:tc>
          <w:tcPr>
            <w:tcW w:type="dxa" w:w="518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完成命中率样本验收与变更审计</w:t>
            </w:r>
          </w:p>
        </w:tc>
      </w:tr>
      <w:tr>
        <w:tc>
          <w:tcPr>
            <w:tcW w:type="dxa" w:w="22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文档 RAG</w:t>
            </w:r>
          </w:p>
        </w:tc>
        <w:tc>
          <w:tcPr>
            <w:tcW w:type="dxa" w:w="15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条件保留</w:t>
            </w:r>
          </w:p>
        </w:tc>
        <w:tc>
          <w:tcPr>
            <w:tcW w:type="dxa" w:w="518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Embedding、状态机、审核和检索全部通过</w:t>
            </w:r>
          </w:p>
        </w:tc>
      </w:tr>
      <w:tr>
        <w:tc>
          <w:tcPr>
            <w:tcW w:type="dxa" w:w="22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钉钉/企微</w:t>
            </w:r>
          </w:p>
        </w:tc>
        <w:tc>
          <w:tcPr>
            <w:tcW w:type="dxa" w:w="15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条件保留</w:t>
            </w:r>
          </w:p>
        </w:tc>
        <w:tc>
          <w:tcPr>
            <w:tcW w:type="dxa" w:w="518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真实平台回调、重试、签名和告警通过</w:t>
            </w:r>
          </w:p>
        </w:tc>
      </w:tr>
      <w:tr>
        <w:tc>
          <w:tcPr>
            <w:tcW w:type="dxa" w:w="22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网页客服</w:t>
            </w:r>
          </w:p>
        </w:tc>
        <w:tc>
          <w:tcPr>
            <w:tcW w:type="dxa" w:w="15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暂缓</w:t>
            </w:r>
          </w:p>
        </w:tc>
        <w:tc>
          <w:tcPr>
            <w:tcW w:type="dxa" w:w="518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完成安全入口和真实组件端到端测试后再启用</w:t>
            </w:r>
          </w:p>
        </w:tc>
      </w:tr>
      <w:tr>
        <w:tc>
          <w:tcPr>
            <w:tcW w:type="dxa" w:w="22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意图/回复策略</w:t>
            </w:r>
          </w:p>
        </w:tc>
        <w:tc>
          <w:tcPr>
            <w:tcW w:type="dxa" w:w="15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暂缓</w:t>
            </w:r>
          </w:p>
        </w:tc>
        <w:tc>
          <w:tcPr>
            <w:tcW w:type="dxa" w:w="518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接入消息处理主链路后再展示</w:t>
            </w:r>
          </w:p>
        </w:tc>
      </w:tr>
      <w:tr>
        <w:tc>
          <w:tcPr>
            <w:tcW w:type="dxa" w:w="22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客户/工单/操作日志</w:t>
            </w:r>
          </w:p>
        </w:tc>
        <w:tc>
          <w:tcPr>
            <w:tcW w:type="dxa" w:w="15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暂缓</w:t>
            </w:r>
          </w:p>
        </w:tc>
        <w:tc>
          <w:tcPr>
            <w:tcW w:type="dxa" w:w="518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完成自动建档、建单和审计闭环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生产上线验收清单</w:t>
      </w:r>
    </w:p>
    <w:p>
      <w:pPr>
        <w:pStyle w:val="ListBullet"/>
        <w:keepLines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所有 P0 问题关闭，并有对应自动化测试或可复现验收记录。</w:t>
      </w:r>
    </w:p>
    <w:p>
      <w:pPr>
        <w:pStyle w:val="ListBullet"/>
        <w:keepLines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角色权限矩阵经产品、研发和安全共同确认，越权测试全部通过。</w:t>
      </w:r>
    </w:p>
    <w:p>
      <w:pPr>
        <w:pStyle w:val="ListBullet"/>
        <w:keepLines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数据库从基线版本升级、重复启动和失败回滚均验证通过。</w:t>
      </w:r>
    </w:p>
    <w:p>
      <w:pPr>
        <w:pStyle w:val="ListBullet"/>
        <w:keepLines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模型密钥、JWT、数据库、Redis、MinIO 和渠道密钥均完成轮换与权限收敛。</w:t>
      </w:r>
    </w:p>
    <w:p>
      <w:pPr>
        <w:pStyle w:val="ListBullet"/>
        <w:keepLines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知识库完成上传、解析、向量化、审核、检索、引用、删除全流程。</w:t>
      </w:r>
    </w:p>
    <w:p>
      <w:pPr>
        <w:pStyle w:val="ListBullet"/>
        <w:keepLines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真实钉钉/企微消息完成签名校验、去重、超时、失败重试与告警验证。</w:t>
      </w:r>
    </w:p>
    <w:p>
      <w:pPr>
        <w:pStyle w:val="ListBullet"/>
        <w:keepLines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HTTPS、安全头、CORS、限流、上传限制和网络隔离均按生产域名生效。</w:t>
      </w:r>
    </w:p>
    <w:p>
      <w:pPr>
        <w:pStyle w:val="ListBullet"/>
        <w:keepLines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关键接口完成容量与稳定性压测，外部模型异常不会拖垮应用线程。</w:t>
      </w:r>
    </w:p>
    <w:p>
      <w:pPr>
        <w:pStyle w:val="ListBullet"/>
        <w:keepLines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备份与恢复演练成功，具备明确版本、变更单、回滚步骤和负责人。</w:t>
      </w:r>
    </w:p>
    <w:p>
      <w:pPr>
        <w:pStyle w:val="ListBullet"/>
        <w:keepLines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灰度环境连续稳定运行并完成业务方验收后，再逐步开放生产流量。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审计证据索引</w:t>
      </w:r>
    </w:p>
    <w:p>
      <w:pPr>
        <w:keepLines w:val="0"/>
        <w:spacing w:before="0" w:after="16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以下路径用于研发定位。行号以 2026-07-13 审计时工作区为准，后续代码修改可能导致偏移。</w:t>
      </w:r>
    </w:p>
    <w:tbl>
      <w:tblPr>
        <w:tblStyle w:val="TableGrid"/>
        <w:tblW w:type="dxa" w:w="88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530"/>
        <w:gridCol w:w="1250"/>
      </w:tblGrid>
      <w:tr>
        <w:trPr>
          <w:trHeight w:hRule="atLeast"/>
          <w:tblHeader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9"/>
              </w:rPr>
              <w:t>主题</w:t>
            </w:r>
          </w:p>
        </w:tc>
        <w:tc>
          <w:tcPr>
            <w:tcW w:type="dxa" w:w="5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9"/>
              </w:rPr>
              <w:t>文件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9"/>
              </w:rPr>
              <w:t>行号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权限边界</w:t>
            </w:r>
          </w:p>
        </w:tc>
        <w:tc>
          <w:tcPr>
            <w:tcW w:type="dxa" w:w="553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feisheng-bot-admin/.../config/SecurityConfig.java</w:t>
            </w:r>
          </w:p>
        </w:tc>
        <w:tc>
          <w:tcPr>
            <w:tcW w:type="dxa" w:w="125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28-40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用户删除与角色分配</w:t>
            </w:r>
          </w:p>
        </w:tc>
        <w:tc>
          <w:tcPr>
            <w:tcW w:type="dxa" w:w="553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feisheng-bot-admin/.../controller/UserController.java</w:t>
            </w:r>
          </w:p>
        </w:tc>
        <w:tc>
          <w:tcPr>
            <w:tcW w:type="dxa" w:w="125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42, 52-59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文档上传与异步处理</w:t>
            </w:r>
          </w:p>
        </w:tc>
        <w:tc>
          <w:tcPr>
            <w:tcW w:type="dxa" w:w="553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feisheng-bot-admin/.../controller/AdminDocController.java</w:t>
            </w:r>
          </w:p>
        </w:tc>
        <w:tc>
          <w:tcPr>
            <w:tcW w:type="dxa" w:w="125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84-104, 152-168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AI 密钥实体</w:t>
            </w:r>
          </w:p>
        </w:tc>
        <w:tc>
          <w:tcPr>
            <w:tcW w:type="dxa" w:w="553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feisheng-bot-admin/.../entity/BotAiModelConfig.java</w:t>
            </w:r>
          </w:p>
        </w:tc>
        <w:tc>
          <w:tcPr>
            <w:tcW w:type="dxa" w:w="125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14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未接入的渠道配置</w:t>
            </w:r>
          </w:p>
        </w:tc>
        <w:tc>
          <w:tcPr>
            <w:tcW w:type="dxa" w:w="553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feisheng-bot-admin/.../controller/ChannelConfigController.java</w:t>
            </w:r>
          </w:p>
        </w:tc>
        <w:tc>
          <w:tcPr>
            <w:tcW w:type="dxa" w:w="125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18-21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未接入的意图管理</w:t>
            </w:r>
          </w:p>
        </w:tc>
        <w:tc>
          <w:tcPr>
            <w:tcW w:type="dxa" w:w="553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feisheng-bot-admin/.../controller/IntentController.java</w:t>
            </w:r>
          </w:p>
        </w:tc>
        <w:tc>
          <w:tcPr>
            <w:tcW w:type="dxa" w:w="125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35-40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未接入的回复策略</w:t>
            </w:r>
          </w:p>
        </w:tc>
        <w:tc>
          <w:tcPr>
            <w:tcW w:type="dxa" w:w="553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feisheng-bot-admin/.../controller/ReplyStrategyController.java</w:t>
            </w:r>
          </w:p>
        </w:tc>
        <w:tc>
          <w:tcPr>
            <w:tcW w:type="dxa" w:w="125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27-33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数据库迁移脚本</w:t>
            </w:r>
          </w:p>
        </w:tc>
        <w:tc>
          <w:tcPr>
            <w:tcW w:type="dxa" w:w="553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feisheng-bot-parent/sql/05_add_minio_storage.sql</w:t>
            </w:r>
          </w:p>
        </w:tc>
        <w:tc>
          <w:tcPr>
            <w:tcW w:type="dxa" w:w="125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5-12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Nginx 代理范围</w:t>
            </w:r>
          </w:p>
        </w:tc>
        <w:tc>
          <w:tcPr>
            <w:tcW w:type="dxa" w:w="553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docker/nginx/nginx.conf</w:t>
            </w:r>
          </w:p>
        </w:tc>
        <w:tc>
          <w:tcPr>
            <w:tcW w:type="dxa" w:w="125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9-27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生产构建跳过测试</w:t>
            </w:r>
          </w:p>
        </w:tc>
        <w:tc>
          <w:tcPr>
            <w:tcW w:type="dxa" w:w="553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Dockerfile</w:t>
            </w:r>
          </w:p>
        </w:tc>
        <w:tc>
          <w:tcPr>
            <w:tcW w:type="dxa" w:w="125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7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固定健康检查</w:t>
            </w:r>
          </w:p>
        </w:tc>
        <w:tc>
          <w:tcPr>
            <w:tcW w:type="dxa" w:w="553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feisheng-bot-admin/.../controller/HealthController.java</w:t>
            </w:r>
          </w:p>
        </w:tc>
        <w:tc>
          <w:tcPr>
            <w:tcW w:type="dxa" w:w="125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12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62E"/>
                <w:sz w:val="18"/>
              </w:rPr>
              <w:t>宽松 CORS</w:t>
            </w:r>
          </w:p>
        </w:tc>
        <w:tc>
          <w:tcPr>
            <w:tcW w:type="dxa" w:w="553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feisheng-bot-admin/.../config/CorsConfig.java</w:t>
            </w:r>
          </w:p>
        </w:tc>
        <w:tc>
          <w:tcPr>
            <w:tcW w:type="dxa" w:w="1250"/>
          </w:tcPr>
          <w:p>
            <w:pPr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8"/>
              </w:rPr>
              <w:t>12-15</w:t>
            </w:r>
          </w:p>
        </w:tc>
      </w:tr>
    </w:tbl>
    <w:p>
      <w:pPr>
        <w:spacing w:after="40"/>
      </w:pPr>
    </w:p>
    <w:p>
      <w:pPr>
        <w:keepLines/>
        <w:spacing w:before="80" w:after="200" w:line="264" w:lineRule="auto"/>
        <w:ind w:left="202" w:right="173"/>
        <w:shd w:fill="FFF7D6"/>
        <w:pBdr>
          <w:left w:val="single" w:sz="18" w:space="5" w:color="7A5A00"/>
        </w:pBdr>
      </w:pPr>
      <w:r>
        <w:rPr>
          <w:rFonts w:ascii="Calibri" w:hAnsi="Calibri" w:eastAsia="Microsoft YaHei"/>
          <w:b/>
          <w:i w:val="0"/>
          <w:color w:val="7A5A00"/>
          <w:sz w:val="21"/>
        </w:rPr>
        <w:t xml:space="preserve">最终建议  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完成阶段 1 后可进入受控灰度；完成阶段 2、测试与故障演练后，才建议按生产标准正式开放。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325" w:bottom="1123" w:left="1325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 w:val="0"/>
      <w:spacing w:before="0" w:after="0" w:line="240" w:lineRule="auto"/>
      <w:jc w:val="right"/>
    </w:pPr>
    <w:r>
      <w:rPr>
        <w:rFonts w:ascii="Calibri" w:hAnsi="Calibri" w:eastAsia="Microsoft YaHei"/>
        <w:b w:val="0"/>
        <w:i w:val="0"/>
        <w:color w:val="667085"/>
        <w:sz w:val="17"/>
      </w:rPr>
      <w:t xml:space="preserve">内部评审  |  </w:t>
    </w:r>
    <w:r>
      <w:rPr>
        <w:rFonts w:ascii="Calibri" w:hAnsi="Calibri" w:eastAsia="Microsoft YaHei"/>
        <w:b w:val="0"/>
        <w:i w:val="0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667085"/>
        <w:sz w:val="17"/>
      </w:rPr>
      <w:t xml:space="preserve"> / </w:t>
    </w:r>
    <w:r>
      <w:rPr>
        <w:rFonts w:ascii="Calibri" w:hAnsi="Calibri" w:eastAsia="Microsoft YaHei"/>
        <w:b w:val="0"/>
        <w:i w:val="0"/>
        <w:color w:val="667085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 w:val="0"/>
      <w:spacing w:before="0" w:after="0" w:line="240" w:lineRule="auto"/>
      <w:jc w:val="left"/>
    </w:pPr>
    <w:r>
      <w:rPr>
        <w:rFonts w:ascii="Calibri" w:hAnsi="Calibri" w:eastAsia="Microsoft YaHei"/>
        <w:b/>
        <w:i w:val="0"/>
        <w:color w:val="667085"/>
        <w:sz w:val="17"/>
      </w:rPr>
      <w:t>FEISHENG BOT  |  上线准备度评估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026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64" w:lineRule="auto"/>
      <w:ind w:left="1080" w:hanging="360"/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Feisheng Bot 上线准备度评估报告</dc:title>
  <dc:subject>生产上线差距、风险及整改路线</dc:subject>
  <dc:creator>Codex</dc:creator>
  <cp:keywords>Feisheng Bot, 上线评估, 风险审计, 整改计划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