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4B7E" w14:textId="77777777" w:rsidR="0016082E" w:rsidRDefault="00000000">
      <w:r>
        <w:rPr>
          <w:noProof/>
        </w:rPr>
        <w:drawing>
          <wp:inline distT="0" distB="0" distL="114300" distR="114300" wp14:anchorId="29D3D1E9" wp14:editId="3E28B3A8">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5708E362" w14:textId="77777777" w:rsidR="0016082E"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0B0812CD" w14:textId="77777777" w:rsidR="0016082E"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4FC6010A" w14:textId="77777777" w:rsidR="0016082E" w:rsidRDefault="0016082E">
      <w:pPr>
        <w:wordWrap w:val="0"/>
        <w:ind w:firstLineChars="450" w:firstLine="1988"/>
        <w:jc w:val="center"/>
        <w:rPr>
          <w:rFonts w:eastAsia="黑体"/>
          <w:b/>
          <w:bCs/>
          <w:sz w:val="44"/>
          <w:szCs w:val="44"/>
        </w:rPr>
      </w:pPr>
    </w:p>
    <w:p w14:paraId="7A22A9CE" w14:textId="77777777" w:rsidR="0016082E" w:rsidRDefault="00000000">
      <w:pPr>
        <w:wordWrap w:val="0"/>
        <w:jc w:val="center"/>
        <w:rPr>
          <w:rFonts w:eastAsia="黑体" w:cs="黑体"/>
          <w:bCs/>
          <w:sz w:val="44"/>
          <w:szCs w:val="44"/>
        </w:rPr>
      </w:pPr>
      <w:r>
        <w:rPr>
          <w:rFonts w:eastAsia="黑体" w:cs="黑体" w:hint="eastAsia"/>
          <w:bCs/>
          <w:sz w:val="44"/>
          <w:szCs w:val="44"/>
        </w:rPr>
        <w:t>《工程与社会》课程论文</w:t>
      </w:r>
    </w:p>
    <w:p w14:paraId="1ED9477D" w14:textId="77777777" w:rsidR="0016082E" w:rsidRDefault="00000000">
      <w:pPr>
        <w:wordWrap w:val="0"/>
        <w:jc w:val="center"/>
        <w:rPr>
          <w:sz w:val="18"/>
          <w:szCs w:val="18"/>
        </w:rPr>
      </w:pPr>
      <w:r>
        <w:rPr>
          <w:sz w:val="18"/>
          <w:szCs w:val="18"/>
        </w:rPr>
        <w:t> </w:t>
      </w:r>
    </w:p>
    <w:p w14:paraId="10983F6F" w14:textId="77777777" w:rsidR="0016082E" w:rsidRDefault="00000000">
      <w:pPr>
        <w:wordWrap w:val="0"/>
        <w:jc w:val="center"/>
        <w:rPr>
          <w:sz w:val="18"/>
          <w:szCs w:val="18"/>
        </w:rPr>
      </w:pPr>
      <w:r>
        <w:rPr>
          <w:sz w:val="18"/>
          <w:szCs w:val="18"/>
        </w:rPr>
        <w:t> </w:t>
      </w:r>
    </w:p>
    <w:p w14:paraId="3BC64191" w14:textId="77777777" w:rsidR="0016082E" w:rsidRDefault="0016082E">
      <w:pPr>
        <w:wordWrap w:val="0"/>
        <w:jc w:val="left"/>
        <w:rPr>
          <w:b/>
          <w:bCs/>
          <w:sz w:val="18"/>
          <w:szCs w:val="18"/>
        </w:rPr>
      </w:pPr>
    </w:p>
    <w:p w14:paraId="3FCE3304" w14:textId="77777777" w:rsidR="0016082E" w:rsidRDefault="0016082E">
      <w:pPr>
        <w:wordWrap w:val="0"/>
        <w:jc w:val="left"/>
        <w:rPr>
          <w:b/>
          <w:bCs/>
          <w:sz w:val="18"/>
          <w:szCs w:val="18"/>
        </w:rPr>
      </w:pPr>
    </w:p>
    <w:p w14:paraId="6487E409" w14:textId="77777777" w:rsidR="0016082E" w:rsidRDefault="0016082E">
      <w:pPr>
        <w:wordWrap w:val="0"/>
        <w:jc w:val="left"/>
        <w:rPr>
          <w:b/>
          <w:bCs/>
          <w:sz w:val="18"/>
          <w:szCs w:val="18"/>
        </w:rPr>
      </w:pPr>
    </w:p>
    <w:p w14:paraId="6DA5973B" w14:textId="147F394D" w:rsidR="0016082E" w:rsidRDefault="00000000" w:rsidP="003A39DE">
      <w:pPr>
        <w:tabs>
          <w:tab w:val="left" w:pos="1080"/>
        </w:tabs>
        <w:wordWrap w:val="0"/>
        <w:ind w:leftChars="767" w:left="1611" w:firstLineChars="100" w:firstLine="300"/>
        <w:jc w:val="left"/>
        <w:rPr>
          <w:rFonts w:eastAsia="楷体_GB2312"/>
          <w:b/>
          <w:bCs/>
          <w:sz w:val="30"/>
          <w:szCs w:val="30"/>
          <w:u w:val="single"/>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3A39DE">
        <w:rPr>
          <w:rFonts w:eastAsia="楷体_GB2312" w:hint="eastAsia"/>
          <w:b/>
          <w:bCs/>
          <w:sz w:val="30"/>
          <w:szCs w:val="30"/>
          <w:u w:val="single"/>
        </w:rPr>
        <w:t>人工智能决策系统的伦理困境与治理</w:t>
      </w:r>
      <w:r w:rsidR="003A39DE">
        <w:rPr>
          <w:rFonts w:eastAsia="楷体_GB2312" w:hint="eastAsia"/>
          <w:b/>
          <w:bCs/>
          <w:sz w:val="30"/>
          <w:szCs w:val="30"/>
          <w:u w:val="single"/>
        </w:rPr>
        <w:t xml:space="preserve">          </w:t>
      </w:r>
      <w:r w:rsidR="003A39DE">
        <w:rPr>
          <w:rFonts w:eastAsia="楷体_GB2312" w:hint="eastAsia"/>
          <w:b/>
          <w:bCs/>
          <w:sz w:val="30"/>
          <w:szCs w:val="30"/>
          <w:u w:val="single"/>
        </w:rPr>
        <w:t>路径研究</w:t>
      </w:r>
      <w:r>
        <w:rPr>
          <w:rFonts w:eastAsia="楷体_GB2312"/>
          <w:b/>
          <w:bCs/>
          <w:sz w:val="30"/>
          <w:szCs w:val="30"/>
          <w:u w:val="single"/>
        </w:rPr>
        <w:t xml:space="preserve"> </w:t>
      </w:r>
      <w:r w:rsidR="003A39DE">
        <w:rPr>
          <w:rFonts w:eastAsia="楷体_GB2312" w:hint="eastAsia"/>
          <w:b/>
          <w:bCs/>
          <w:sz w:val="30"/>
          <w:szCs w:val="30"/>
          <w:u w:val="single"/>
        </w:rPr>
        <w:t>——以社会信用体系为例</w:t>
      </w:r>
      <w:r>
        <w:rPr>
          <w:rFonts w:eastAsia="楷体_GB2312" w:hint="eastAsia"/>
          <w:b/>
          <w:bCs/>
          <w:sz w:val="30"/>
          <w:szCs w:val="30"/>
          <w:u w:val="single"/>
        </w:rPr>
        <w:t xml:space="preserve"> </w:t>
      </w:r>
      <w:r>
        <w:rPr>
          <w:rFonts w:eastAsia="楷体_GB2312"/>
          <w:b/>
          <w:bCs/>
          <w:sz w:val="30"/>
          <w:szCs w:val="30"/>
          <w:u w:val="single"/>
        </w:rPr>
        <w:t xml:space="preserve"> </w:t>
      </w:r>
    </w:p>
    <w:p w14:paraId="04A7AAD9" w14:textId="4C79CBCE" w:rsidR="0016082E"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Pr>
          <w:rFonts w:eastAsia="楷体_GB2312"/>
          <w:b/>
          <w:bCs/>
          <w:sz w:val="30"/>
          <w:szCs w:val="30"/>
          <w:u w:val="single"/>
        </w:rPr>
        <w:t xml:space="preserve"> </w:t>
      </w:r>
      <w:r w:rsidR="007376D8">
        <w:rPr>
          <w:rFonts w:eastAsia="楷体_GB2312" w:hint="eastAsia"/>
          <w:b/>
          <w:bCs/>
          <w:sz w:val="30"/>
          <w:szCs w:val="30"/>
          <w:u w:val="single"/>
        </w:rPr>
        <w:t xml:space="preserve">      </w:t>
      </w:r>
      <w:r w:rsidR="007376D8">
        <w:rPr>
          <w:rFonts w:eastAsia="楷体_GB2312" w:hint="eastAsia"/>
          <w:b/>
          <w:bCs/>
          <w:sz w:val="30"/>
          <w:szCs w:val="30"/>
          <w:u w:val="single"/>
        </w:rPr>
        <w:t>计算机学院</w:t>
      </w:r>
      <w:r w:rsidR="007376D8">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2F51F66A" w14:textId="7278DA9E" w:rsidR="0016082E"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7376D8">
        <w:rPr>
          <w:rFonts w:eastAsia="楷体_GB2312" w:hint="eastAsia"/>
          <w:b/>
          <w:bCs/>
          <w:sz w:val="30"/>
          <w:szCs w:val="30"/>
          <w:u w:val="single"/>
        </w:rPr>
        <w:t>计算机科学与技术</w:t>
      </w:r>
      <w:r>
        <w:rPr>
          <w:rFonts w:eastAsia="楷体_GB2312"/>
          <w:b/>
          <w:bCs/>
          <w:sz w:val="30"/>
          <w:szCs w:val="30"/>
          <w:u w:val="single"/>
        </w:rPr>
        <w:t xml:space="preserve">   </w:t>
      </w:r>
    </w:p>
    <w:p w14:paraId="76670118" w14:textId="20BBA8CE" w:rsidR="0016082E"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7376D8">
        <w:rPr>
          <w:rFonts w:eastAsia="楷体_GB2312" w:hint="eastAsia"/>
          <w:b/>
          <w:bCs/>
          <w:sz w:val="30"/>
          <w:szCs w:val="30"/>
          <w:u w:val="single"/>
        </w:rPr>
        <w:t>B220408</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68A1E596" w14:textId="390245C6" w:rsidR="0016082E"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sidR="007376D8">
        <w:rPr>
          <w:rFonts w:eastAsia="楷体_GB2312" w:hint="eastAsia"/>
          <w:b/>
          <w:bCs/>
          <w:sz w:val="30"/>
          <w:szCs w:val="30"/>
          <w:u w:val="single"/>
        </w:rPr>
        <w:t>B22040823</w:t>
      </w:r>
      <w:r>
        <w:rPr>
          <w:rFonts w:eastAsia="楷体_GB2312"/>
          <w:b/>
          <w:bCs/>
          <w:sz w:val="30"/>
          <w:szCs w:val="30"/>
          <w:u w:val="single"/>
        </w:rPr>
        <w:t xml:space="preserve">          </w:t>
      </w:r>
    </w:p>
    <w:p w14:paraId="25F18CAD" w14:textId="2B3499FD" w:rsidR="0016082E"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Pr>
          <w:rFonts w:eastAsia="楷体_GB2312"/>
          <w:b/>
          <w:bCs/>
          <w:sz w:val="30"/>
          <w:szCs w:val="30"/>
          <w:u w:val="single"/>
        </w:rPr>
        <w:t xml:space="preserve">    </w:t>
      </w:r>
      <w:r w:rsidR="007376D8">
        <w:rPr>
          <w:rFonts w:eastAsia="楷体_GB2312" w:hint="eastAsia"/>
          <w:b/>
          <w:bCs/>
          <w:sz w:val="30"/>
          <w:szCs w:val="30"/>
          <w:u w:val="single"/>
        </w:rPr>
        <w:t>胡俊坤</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3EAE92E1" w14:textId="3B7371D7" w:rsidR="0016082E"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sidR="007376D8">
        <w:rPr>
          <w:rFonts w:eastAsia="楷体_GB2312" w:hint="eastAsia"/>
          <w:b/>
          <w:bCs/>
          <w:sz w:val="30"/>
          <w:szCs w:val="30"/>
          <w:u w:val="single"/>
        </w:rPr>
        <w:t>张莹</w:t>
      </w:r>
      <w:r>
        <w:rPr>
          <w:rFonts w:eastAsia="楷体_GB2312" w:hint="eastAsia"/>
          <w:b/>
          <w:bCs/>
          <w:sz w:val="30"/>
          <w:szCs w:val="30"/>
          <w:u w:val="single"/>
        </w:rPr>
        <w:t xml:space="preserve">         </w:t>
      </w:r>
      <w:r>
        <w:rPr>
          <w:rFonts w:eastAsia="楷体_GB2312"/>
          <w:b/>
          <w:bCs/>
          <w:sz w:val="30"/>
          <w:szCs w:val="30"/>
          <w:u w:val="single"/>
        </w:rPr>
        <w:t xml:space="preserve">    </w:t>
      </w:r>
    </w:p>
    <w:p w14:paraId="4A4586E6" w14:textId="77777777" w:rsidR="0016082E" w:rsidRDefault="0016082E">
      <w:pPr>
        <w:wordWrap w:val="0"/>
        <w:rPr>
          <w:sz w:val="18"/>
          <w:szCs w:val="18"/>
        </w:rPr>
      </w:pPr>
    </w:p>
    <w:p w14:paraId="6854F221" w14:textId="77777777" w:rsidR="0016082E" w:rsidRDefault="0016082E">
      <w:pPr>
        <w:ind w:firstLineChars="1850" w:firstLine="3330"/>
        <w:rPr>
          <w:sz w:val="18"/>
          <w:szCs w:val="18"/>
        </w:rPr>
      </w:pPr>
    </w:p>
    <w:p w14:paraId="1DD9CE42" w14:textId="77777777" w:rsidR="0016082E" w:rsidRDefault="0016082E">
      <w:pPr>
        <w:rPr>
          <w:sz w:val="18"/>
          <w:szCs w:val="18"/>
        </w:rPr>
      </w:pPr>
    </w:p>
    <w:p w14:paraId="47CA6D87" w14:textId="77777777" w:rsidR="0016082E"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02658AD9" w14:textId="65E1E655" w:rsidR="0016082E" w:rsidRPr="007376D8" w:rsidRDefault="00000000" w:rsidP="007376D8">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7376D8">
        <w:rPr>
          <w:rFonts w:ascii="仿宋" w:eastAsia="仿宋" w:hAnsi="仿宋" w:hint="eastAsia"/>
          <w:sz w:val="24"/>
          <w:szCs w:val="24"/>
        </w:rPr>
        <w:t>2025</w:t>
      </w:r>
      <w:r>
        <w:rPr>
          <w:rFonts w:ascii="仿宋" w:eastAsia="仿宋" w:hAnsi="仿宋"/>
          <w:sz w:val="24"/>
          <w:szCs w:val="24"/>
        </w:rPr>
        <w:t xml:space="preserve"> </w:t>
      </w:r>
      <w:r>
        <w:rPr>
          <w:rFonts w:ascii="仿宋" w:eastAsia="仿宋" w:hAnsi="仿宋" w:hint="eastAsia"/>
          <w:sz w:val="24"/>
          <w:szCs w:val="24"/>
        </w:rPr>
        <w:t xml:space="preserve">年 </w:t>
      </w:r>
      <w:r>
        <w:rPr>
          <w:rFonts w:ascii="仿宋" w:eastAsia="仿宋" w:hAnsi="仿宋"/>
          <w:sz w:val="24"/>
          <w:szCs w:val="24"/>
        </w:rPr>
        <w:t xml:space="preserve"> </w:t>
      </w:r>
      <w:r w:rsidR="007376D8">
        <w:rPr>
          <w:rFonts w:ascii="仿宋" w:eastAsia="仿宋" w:hAnsi="仿宋" w:hint="eastAsia"/>
          <w:sz w:val="24"/>
          <w:szCs w:val="24"/>
        </w:rPr>
        <w:t>12</w:t>
      </w:r>
      <w:r>
        <w:rPr>
          <w:rFonts w:ascii="仿宋" w:eastAsia="仿宋" w:hAnsi="仿宋"/>
          <w:sz w:val="24"/>
          <w:szCs w:val="24"/>
        </w:rPr>
        <w:t xml:space="preserve"> </w:t>
      </w:r>
      <w:r>
        <w:rPr>
          <w:rFonts w:ascii="仿宋" w:eastAsia="仿宋" w:hAnsi="仿宋" w:hint="eastAsia"/>
          <w:sz w:val="24"/>
          <w:szCs w:val="24"/>
        </w:rPr>
        <w:t xml:space="preserve">月 </w:t>
      </w:r>
      <w:r w:rsidR="007376D8">
        <w:rPr>
          <w:rFonts w:ascii="仿宋" w:eastAsia="仿宋" w:hAnsi="仿宋" w:hint="eastAsia"/>
          <w:sz w:val="24"/>
          <w:szCs w:val="24"/>
        </w:rPr>
        <w:t>2</w:t>
      </w:r>
      <w:r w:rsidR="00343534">
        <w:rPr>
          <w:rFonts w:ascii="仿宋" w:eastAsia="仿宋" w:hAnsi="仿宋" w:hint="eastAsia"/>
          <w:sz w:val="24"/>
          <w:szCs w:val="24"/>
        </w:rPr>
        <w:t>8</w:t>
      </w:r>
      <w:r>
        <w:rPr>
          <w:rFonts w:ascii="仿宋" w:eastAsia="仿宋" w:hAnsi="仿宋"/>
          <w:sz w:val="24"/>
          <w:szCs w:val="24"/>
        </w:rPr>
        <w:t xml:space="preserve">  </w:t>
      </w:r>
      <w:r>
        <w:rPr>
          <w:rFonts w:ascii="仿宋" w:eastAsia="仿宋" w:hAnsi="仿宋" w:hint="eastAsia"/>
          <w:sz w:val="24"/>
          <w:szCs w:val="24"/>
        </w:rPr>
        <w:t>日</w:t>
      </w:r>
    </w:p>
    <w:p w14:paraId="57C57957" w14:textId="77777777" w:rsidR="00CB72BC" w:rsidRDefault="00CB72BC" w:rsidP="00CB72BC">
      <w:pPr>
        <w:jc w:val="center"/>
        <w:rPr>
          <w:rFonts w:ascii="黑体" w:eastAsia="黑体" w:hAnsi="黑体" w:hint="eastAsia"/>
          <w:b/>
          <w:bCs/>
          <w:sz w:val="28"/>
          <w:szCs w:val="28"/>
        </w:rPr>
      </w:pPr>
      <w:r w:rsidRPr="00AF031D">
        <w:rPr>
          <w:rFonts w:ascii="黑体" w:eastAsia="黑体" w:hAnsi="黑体"/>
          <w:b/>
          <w:bCs/>
          <w:sz w:val="28"/>
          <w:szCs w:val="28"/>
        </w:rPr>
        <w:lastRenderedPageBreak/>
        <w:t>人工智能决策系统的伦理困境与治理路径研究——以社会信用体系为例</w:t>
      </w:r>
    </w:p>
    <w:p w14:paraId="06FFD66C" w14:textId="77777777" w:rsidR="00D44649" w:rsidRPr="00D44649" w:rsidRDefault="00D44649" w:rsidP="00D44649">
      <w:pPr>
        <w:rPr>
          <w:rFonts w:ascii="黑体" w:eastAsia="黑体" w:hAnsi="黑体" w:hint="eastAsia"/>
          <w:b/>
          <w:bCs/>
          <w:sz w:val="28"/>
          <w:szCs w:val="28"/>
        </w:rPr>
      </w:pPr>
      <w:r w:rsidRPr="00D44649">
        <w:rPr>
          <w:rFonts w:ascii="黑体" w:eastAsia="黑体" w:hAnsi="黑体"/>
          <w:b/>
          <w:bCs/>
          <w:sz w:val="28"/>
          <w:szCs w:val="28"/>
        </w:rPr>
        <w:t>摘要</w:t>
      </w:r>
    </w:p>
    <w:p w14:paraId="1FD19938" w14:textId="77777777" w:rsidR="00D44649" w:rsidRPr="00D44649" w:rsidRDefault="00D44649" w:rsidP="00D44649">
      <w:pPr>
        <w:rPr>
          <w:rFonts w:ascii="宋体" w:eastAsia="宋体" w:hAnsi="宋体" w:hint="eastAsia"/>
          <w:sz w:val="24"/>
          <w:szCs w:val="24"/>
        </w:rPr>
      </w:pPr>
      <w:r w:rsidRPr="00D44649">
        <w:rPr>
          <w:rFonts w:ascii="宋体" w:eastAsia="宋体" w:hAnsi="宋体"/>
          <w:sz w:val="24"/>
          <w:szCs w:val="24"/>
        </w:rPr>
        <w:t>随着人工智能技术在公共管理和决策领域的深度应用，其引发的伦理问题日益凸显。本文聚焦人工智能决策系统所面临的算法偏见、责任模糊、隐私侵蚀与透明度缺失四大核心伦理困境，并以中国社会信用体系为典型案例进行深入剖析。研究发现，这些伦理困境根植于技术理性与社会价值之间的深层张力，单一维度的治理模式难以有效应对。基于此，本文构建了一个技术-制度-社会协同的综合性治理框架：在技术层面倡导可解释人工智能与算法审计；在制度层面完善分级监管与法律责任界定；在社会层面强化公众参与与算法素养教育。研究表明，只有通过多方协同治理，才能引导人工智能技术朝着负责任、可信赖的方向发展，实现技术创新与社会福祉的有机统一。</w:t>
      </w:r>
    </w:p>
    <w:p w14:paraId="46EFC4B9" w14:textId="77777777" w:rsidR="00D44649" w:rsidRPr="00D44649" w:rsidRDefault="00D44649" w:rsidP="00D44649">
      <w:pPr>
        <w:rPr>
          <w:rFonts w:ascii="黑体" w:eastAsia="黑体" w:hAnsi="黑体" w:hint="eastAsia"/>
          <w:b/>
          <w:bCs/>
          <w:sz w:val="28"/>
          <w:szCs w:val="28"/>
        </w:rPr>
      </w:pPr>
      <w:r w:rsidRPr="00D44649">
        <w:rPr>
          <w:rFonts w:ascii="黑体" w:eastAsia="黑体" w:hAnsi="黑体"/>
          <w:b/>
          <w:bCs/>
          <w:sz w:val="28"/>
          <w:szCs w:val="28"/>
        </w:rPr>
        <w:t>关键词</w:t>
      </w:r>
    </w:p>
    <w:p w14:paraId="7E850C86" w14:textId="202A1132" w:rsidR="00D44649" w:rsidRPr="00D44649" w:rsidRDefault="00D44649" w:rsidP="00D44649">
      <w:pPr>
        <w:rPr>
          <w:rFonts w:ascii="宋体" w:eastAsia="宋体" w:hAnsi="宋体" w:hint="eastAsia"/>
          <w:sz w:val="24"/>
          <w:szCs w:val="24"/>
        </w:rPr>
      </w:pPr>
      <w:r w:rsidRPr="00D44649">
        <w:rPr>
          <w:rFonts w:ascii="宋体" w:eastAsia="宋体" w:hAnsi="宋体"/>
          <w:sz w:val="24"/>
          <w:szCs w:val="24"/>
        </w:rPr>
        <w:t>人工智能伦理；算法治理；社会信用体系；责任归属；技术风险评估</w:t>
      </w:r>
    </w:p>
    <w:p w14:paraId="4DCCF045" w14:textId="77777777" w:rsidR="00CB72BC" w:rsidRDefault="00CB72BC" w:rsidP="00CB72BC">
      <w:pPr>
        <w:snapToGrid w:val="0"/>
        <w:spacing w:line="300" w:lineRule="auto"/>
        <w:rPr>
          <w:rFonts w:ascii="黑体" w:eastAsia="黑体" w:hAnsi="黑体" w:hint="eastAsia"/>
          <w:b/>
          <w:bCs/>
          <w:sz w:val="28"/>
          <w:szCs w:val="28"/>
        </w:rPr>
      </w:pPr>
      <w:r w:rsidRPr="00AF031D">
        <w:rPr>
          <w:rFonts w:ascii="黑体" w:eastAsia="黑体" w:hAnsi="黑体"/>
          <w:b/>
          <w:bCs/>
          <w:sz w:val="28"/>
          <w:szCs w:val="28"/>
        </w:rPr>
        <w:t>第一章：引言</w:t>
      </w:r>
    </w:p>
    <w:p w14:paraId="4A2A75F6" w14:textId="77777777"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hint="eastAsia"/>
          <w:b/>
          <w:bCs/>
          <w:sz w:val="24"/>
          <w:szCs w:val="24"/>
        </w:rPr>
        <w:t>1.1 研究背景与问题提出</w:t>
      </w:r>
    </w:p>
    <w:p w14:paraId="59FC319C" w14:textId="63C05686"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人工智能（AI）决策系统在公共管理、金融、司法等领域的广泛应用，正推动社会治理迈向数据驱动的“技术理性”新模式。然而，这种效率提升的背后潜藏着深刻的伦理危机。算法偏见、责任模糊、隐私侵犯和“黑箱”决策等问题日益凸显，不仅可能复制社会不公，更对社会公平、个体权利和公共信任构成了严峻挑战</w:t>
      </w:r>
      <w:r w:rsidR="00E222DD">
        <w:rPr>
          <w:rFonts w:ascii="宋体" w:eastAsia="宋体" w:hAnsi="宋体" w:hint="eastAsia"/>
          <w:sz w:val="24"/>
          <w:szCs w:val="24"/>
        </w:rPr>
        <w:t>[1]</w:t>
      </w:r>
      <w:r w:rsidRPr="00CB72BC">
        <w:rPr>
          <w:rFonts w:ascii="宋体" w:eastAsia="宋体" w:hAnsi="宋体" w:hint="eastAsia"/>
          <w:sz w:val="24"/>
          <w:szCs w:val="24"/>
        </w:rPr>
        <w:t>。</w:t>
      </w:r>
    </w:p>
    <w:p w14:paraId="3B08264F" w14:textId="35D96694"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中国的社会信用体系是AI用于社会治理的集中体现，也为观察上述伦理困境提供了关键案例</w:t>
      </w:r>
      <w:r w:rsidR="00E222DD">
        <w:rPr>
          <w:rFonts w:ascii="宋体" w:eastAsia="宋体" w:hAnsi="宋体" w:hint="eastAsia"/>
          <w:sz w:val="24"/>
          <w:szCs w:val="24"/>
        </w:rPr>
        <w:t>[7]</w:t>
      </w:r>
      <w:r w:rsidRPr="00CB72BC">
        <w:rPr>
          <w:rFonts w:ascii="宋体" w:eastAsia="宋体" w:hAnsi="宋体" w:hint="eastAsia"/>
          <w:sz w:val="24"/>
          <w:szCs w:val="24"/>
        </w:rPr>
        <w:t>。因此，本文核心研究问题是：如何系统应对人工智能决策系统引发的伦理挑战？并以社会信用体系为镜，如何构建有效的治理路径以确保技术的负责任发展？</w:t>
      </w:r>
    </w:p>
    <w:p w14:paraId="42B2691C" w14:textId="77777777"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hint="eastAsia"/>
          <w:b/>
          <w:bCs/>
          <w:sz w:val="24"/>
          <w:szCs w:val="24"/>
        </w:rPr>
        <w:t>1.2 研究意义</w:t>
      </w:r>
    </w:p>
    <w:p w14:paraId="51772ACB" w14:textId="50E102DB"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理论意义：促进“工程与社会”的跨学科对话，深化AI伦理的本土化研究，尝试构建整合技术与制度的系统性治理框架</w:t>
      </w:r>
      <w:r w:rsidR="00E222DD">
        <w:rPr>
          <w:rFonts w:ascii="宋体" w:eastAsia="宋体" w:hAnsi="宋体" w:hint="eastAsia"/>
          <w:sz w:val="24"/>
          <w:szCs w:val="24"/>
        </w:rPr>
        <w:t>[9]</w:t>
      </w:r>
      <w:r w:rsidRPr="00CB72BC">
        <w:rPr>
          <w:rFonts w:ascii="宋体" w:eastAsia="宋体" w:hAnsi="宋体" w:hint="eastAsia"/>
          <w:sz w:val="24"/>
          <w:szCs w:val="24"/>
        </w:rPr>
        <w:t>。</w:t>
      </w:r>
    </w:p>
    <w:p w14:paraId="63B17C7E" w14:textId="1A0499A3"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实践意义：为政策制定者提供治理参考，为技术开发者树立责任意识，提升公众算法素养，推动人工智能的健康有序发展，服务于社会福祉</w:t>
      </w:r>
      <w:r w:rsidR="00E222DD">
        <w:rPr>
          <w:rFonts w:ascii="宋体" w:eastAsia="宋体" w:hAnsi="宋体" w:hint="eastAsia"/>
          <w:sz w:val="24"/>
          <w:szCs w:val="24"/>
        </w:rPr>
        <w:t>[10]</w:t>
      </w:r>
      <w:r w:rsidRPr="00CB72BC">
        <w:rPr>
          <w:rFonts w:ascii="宋体" w:eastAsia="宋体" w:hAnsi="宋体" w:hint="eastAsia"/>
          <w:sz w:val="24"/>
          <w:szCs w:val="24"/>
        </w:rPr>
        <w:t>。</w:t>
      </w:r>
    </w:p>
    <w:p w14:paraId="2B01EA4E" w14:textId="77777777"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hint="eastAsia"/>
          <w:b/>
          <w:bCs/>
          <w:sz w:val="24"/>
          <w:szCs w:val="24"/>
        </w:rPr>
        <w:t>1.3 研究思路与方法</w:t>
      </w:r>
    </w:p>
    <w:p w14:paraId="038687D5"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本研究遵循“提出问题—分析问题—解决问题”的逻辑展开：</w:t>
      </w:r>
    </w:p>
    <w:p w14:paraId="5B15B385"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提出问题：界定AI决策的核心伦理困境。</w:t>
      </w:r>
    </w:p>
    <w:p w14:paraId="6A94D78C"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分析问题：结合社会信用体系案例，深入剖析困境的具体表现。</w:t>
      </w:r>
    </w:p>
    <w:p w14:paraId="6B1DF4B7"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解决问题：提出技术、制度与社会协同的治理路径。</w:t>
      </w:r>
    </w:p>
    <w:p w14:paraId="77420F08"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lastRenderedPageBreak/>
        <w:t>研究方法主要包括：</w:t>
      </w:r>
    </w:p>
    <w:p w14:paraId="3C479E2B"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文献研究法：系统梳理相关研究，奠定理论基础。</w:t>
      </w:r>
    </w:p>
    <w:p w14:paraId="228B9FA1"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案例分析法：深度剖析社会信用体系，增强论证针对性。</w:t>
      </w:r>
    </w:p>
    <w:p w14:paraId="205CE1E6" w14:textId="771CA3AE"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规范分析与比较分析：借鉴国际经验，进行理论建构与对策设计。</w:t>
      </w:r>
    </w:p>
    <w:p w14:paraId="04FED710" w14:textId="77777777"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b/>
          <w:bCs/>
          <w:sz w:val="24"/>
          <w:szCs w:val="24"/>
        </w:rPr>
        <w:t>1.4 论文结构安排</w:t>
      </w:r>
    </w:p>
    <w:p w14:paraId="3F8D43B9"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本文除引言外，主要内容安排如下：</w:t>
      </w:r>
    </w:p>
    <w:p w14:paraId="296BF1EA"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第二章为文献综述，系统评述国内外关于AI伦理与治理的研究现状，找准本文的研究切入点。</w:t>
      </w:r>
    </w:p>
    <w:p w14:paraId="2D2C7274"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第三章将深入分析人工智能决策系统面临的主要伦理困境，包括算法偏见、责任模糊、隐私风险与透明度缺失等。</w:t>
      </w:r>
    </w:p>
    <w:p w14:paraId="1D2F9AD1"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第四章将聚焦于社会信用体系案例，具体阐述上述伦理困境在该系统中的实际体现与挑战。</w:t>
      </w:r>
    </w:p>
    <w:p w14:paraId="46531320"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第五章致力于构建人工智能伦理的协同治理路径，从技术、制度与社会三个层面提出系统性对策。</w:t>
      </w:r>
    </w:p>
    <w:p w14:paraId="7C118C3C" w14:textId="77777777"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第六章为结论，总结全文研究发现，指出研究的局限性，并展望未来研究方向。</w:t>
      </w:r>
    </w:p>
    <w:p w14:paraId="5B46BCFF" w14:textId="061AB4B8" w:rsidR="00CB72BC" w:rsidRDefault="00CB72BC" w:rsidP="00CB72BC">
      <w:pPr>
        <w:snapToGrid w:val="0"/>
        <w:spacing w:line="300" w:lineRule="auto"/>
        <w:rPr>
          <w:rFonts w:ascii="黑体" w:eastAsia="黑体" w:hAnsi="黑体" w:hint="eastAsia"/>
          <w:sz w:val="28"/>
          <w:szCs w:val="28"/>
        </w:rPr>
      </w:pPr>
      <w:r>
        <w:rPr>
          <w:rFonts w:ascii="黑体" w:eastAsia="黑体" w:hAnsi="黑体" w:hint="eastAsia"/>
          <w:sz w:val="28"/>
          <w:szCs w:val="28"/>
        </w:rPr>
        <w:t>第二章：文献综述</w:t>
      </w:r>
    </w:p>
    <w:p w14:paraId="306BBDCD" w14:textId="6412AA01"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hint="eastAsia"/>
          <w:b/>
          <w:bCs/>
          <w:sz w:val="24"/>
          <w:szCs w:val="24"/>
        </w:rPr>
        <w:t>2.1 引言</w:t>
      </w:r>
    </w:p>
    <w:p w14:paraId="11E7DDAA" w14:textId="04B11AA0" w:rsid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随着人工智能技术，特别是机器学习算法在公共管理、司法审判、金融信贷等社会决策领域中的深度应用，其带来的效率提升和模式变革有目共睹。然而，技术的赋能效应与其引发的伦理风险如同一枚硬币的两面</w:t>
      </w:r>
      <w:r w:rsidR="00E222DD">
        <w:rPr>
          <w:rFonts w:ascii="宋体" w:eastAsia="宋体" w:hAnsi="宋体" w:hint="eastAsia"/>
          <w:sz w:val="24"/>
          <w:szCs w:val="24"/>
        </w:rPr>
        <w:t>[12]</w:t>
      </w:r>
      <w:r w:rsidRPr="00CB72BC">
        <w:rPr>
          <w:rFonts w:ascii="宋体" w:eastAsia="宋体" w:hAnsi="宋体"/>
          <w:sz w:val="24"/>
          <w:szCs w:val="24"/>
        </w:rPr>
        <w:t>。算法偏见、责任模糊、隐私侵蚀、透明度缺失等问题日益凸显，对社会公平、个体权利和公共信任构成了严峻挑战。本文旨在对国内外关于人工智能决策系统伦理问题及其治理的研究文献进行系统梳理，厘清现有研究的主要脉络、核心观点与不足，为深入分析AI伦理困境及构建治理路径奠定理论基础。</w:t>
      </w:r>
    </w:p>
    <w:p w14:paraId="29C6AA12" w14:textId="673C34A1" w:rsidR="00CB72BC" w:rsidRPr="00CB72BC" w:rsidRDefault="00CB72BC" w:rsidP="00CB72BC">
      <w:pPr>
        <w:snapToGrid w:val="0"/>
        <w:spacing w:line="300" w:lineRule="auto"/>
        <w:rPr>
          <w:rFonts w:ascii="宋体" w:eastAsia="宋体" w:hAnsi="宋体" w:hint="eastAsia"/>
          <w:b/>
          <w:bCs/>
          <w:sz w:val="24"/>
          <w:szCs w:val="24"/>
        </w:rPr>
      </w:pPr>
      <w:r w:rsidRPr="00CB72BC">
        <w:rPr>
          <w:rFonts w:ascii="宋体" w:eastAsia="宋体" w:hAnsi="宋体" w:hint="eastAsia"/>
          <w:b/>
          <w:bCs/>
          <w:sz w:val="24"/>
          <w:szCs w:val="24"/>
        </w:rPr>
        <w:t>2.2 国内研究现状</w:t>
      </w:r>
    </w:p>
    <w:p w14:paraId="2D9F0254" w14:textId="6C9E58C4" w:rsidR="00CB72BC" w:rsidRPr="00CB72BC" w:rsidRDefault="00CB72BC" w:rsidP="00CB72BC">
      <w:pPr>
        <w:snapToGrid w:val="0"/>
        <w:spacing w:line="300" w:lineRule="auto"/>
        <w:rPr>
          <w:rFonts w:ascii="宋体" w:eastAsia="宋体" w:hAnsi="宋体" w:hint="eastAsia"/>
          <w:sz w:val="24"/>
          <w:szCs w:val="24"/>
        </w:rPr>
      </w:pPr>
      <w:r>
        <w:rPr>
          <w:rFonts w:ascii="宋体" w:eastAsia="宋体" w:hAnsi="宋体" w:hint="eastAsia"/>
          <w:sz w:val="24"/>
          <w:szCs w:val="24"/>
        </w:rPr>
        <w:t>2.2.</w:t>
      </w:r>
      <w:r w:rsidRPr="00CB72BC">
        <w:rPr>
          <w:rFonts w:ascii="宋体" w:eastAsia="宋体" w:hAnsi="宋体"/>
          <w:sz w:val="24"/>
          <w:szCs w:val="24"/>
        </w:rPr>
        <w:t>1 对算法偏见与歧视的剖析与规制探讨</w:t>
      </w:r>
    </w:p>
    <w:p w14:paraId="482913CD" w14:textId="0A9AC662"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国内学者普遍认识到，算法并非绝对中立。段伟文（2018）</w:t>
      </w:r>
      <w:r w:rsidR="00E222DD">
        <w:rPr>
          <w:rFonts w:ascii="宋体" w:eastAsia="宋体" w:hAnsi="宋体" w:hint="eastAsia"/>
          <w:sz w:val="24"/>
          <w:szCs w:val="24"/>
        </w:rPr>
        <w:t>[1]</w:t>
      </w:r>
      <w:r w:rsidRPr="00CB72BC">
        <w:rPr>
          <w:rFonts w:ascii="宋体" w:eastAsia="宋体" w:hAnsi="宋体"/>
          <w:sz w:val="24"/>
          <w:szCs w:val="24"/>
        </w:rPr>
        <w:t>在《算法的伦理：从规范性框架到嵌入性治理》中指出，算法的偏见根植于有偏的数据、有偏的模型设计以及有偏的应用场景，这种偏见会复制甚至放大现实社会中的不平等。张欣（2019）</w:t>
      </w:r>
      <w:r w:rsidR="00E222DD">
        <w:rPr>
          <w:rFonts w:ascii="宋体" w:eastAsia="宋体" w:hAnsi="宋体" w:hint="eastAsia"/>
          <w:sz w:val="24"/>
          <w:szCs w:val="24"/>
        </w:rPr>
        <w:t>[2]</w:t>
      </w:r>
      <w:r w:rsidRPr="00CB72BC">
        <w:rPr>
          <w:rFonts w:ascii="宋体" w:eastAsia="宋体" w:hAnsi="宋体"/>
          <w:sz w:val="24"/>
          <w:szCs w:val="24"/>
        </w:rPr>
        <w:t>在《算法歧视的综合治理框架研究》中进一步将算法歧视类型化为“代理歧视”和“特征歧视”，并主张从事前审查（数据清洗、算法影响评估）、事中干预（算法可解释性）、事后救济（问责与赔偿）三个环节构建综合治理框架。这些研究为理解算法不公的成因和机制提供了深刻洞见。</w:t>
      </w:r>
    </w:p>
    <w:p w14:paraId="6AE97DA8" w14:textId="11C04128" w:rsidR="00CB72BC" w:rsidRPr="00CB72BC" w:rsidRDefault="00CB72BC" w:rsidP="00CB72BC">
      <w:pPr>
        <w:snapToGrid w:val="0"/>
        <w:spacing w:line="300" w:lineRule="auto"/>
        <w:rPr>
          <w:rFonts w:ascii="宋体" w:eastAsia="宋体" w:hAnsi="宋体" w:hint="eastAsia"/>
          <w:sz w:val="24"/>
          <w:szCs w:val="24"/>
        </w:rPr>
      </w:pPr>
      <w:r>
        <w:rPr>
          <w:rFonts w:ascii="宋体" w:eastAsia="宋体" w:hAnsi="宋体" w:hint="eastAsia"/>
          <w:sz w:val="24"/>
          <w:szCs w:val="24"/>
        </w:rPr>
        <w:t>2.2.</w:t>
      </w:r>
      <w:r w:rsidRPr="00CB72BC">
        <w:rPr>
          <w:rFonts w:ascii="宋体" w:eastAsia="宋体" w:hAnsi="宋体"/>
          <w:sz w:val="24"/>
          <w:szCs w:val="24"/>
        </w:rPr>
        <w:t>2 对人工智能法律责任归属的争鸣</w:t>
      </w:r>
    </w:p>
    <w:p w14:paraId="1A867C3C" w14:textId="1CDA6A1E"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当AI决策造成损害时，责任应由谁承担？这是国内法学界讨论的热点。马长山</w:t>
      </w:r>
      <w:r w:rsidRPr="00CB72BC">
        <w:rPr>
          <w:rFonts w:ascii="宋体" w:eastAsia="宋体" w:hAnsi="宋体"/>
          <w:sz w:val="24"/>
          <w:szCs w:val="24"/>
        </w:rPr>
        <w:lastRenderedPageBreak/>
        <w:t>（2020）</w:t>
      </w:r>
      <w:r w:rsidR="00E222DD">
        <w:rPr>
          <w:rFonts w:ascii="宋体" w:eastAsia="宋体" w:hAnsi="宋体" w:hint="eastAsia"/>
          <w:sz w:val="24"/>
          <w:szCs w:val="24"/>
        </w:rPr>
        <w:t>[3]</w:t>
      </w:r>
      <w:r w:rsidRPr="00CB72BC">
        <w:rPr>
          <w:rFonts w:ascii="宋体" w:eastAsia="宋体" w:hAnsi="宋体"/>
          <w:sz w:val="24"/>
          <w:szCs w:val="24"/>
        </w:rPr>
        <w:t>在《智慧社会的治理难题及其法律应对》中分析了传统法律责任框架在应对自主性AI决策时的失灵，他倾向于构建以“风险分配”为核心的规制路径，强调开发者、使用者、监管者等多方主体的共同责任。郑戈（2018）</w:t>
      </w:r>
      <w:r w:rsidR="00E222DD">
        <w:rPr>
          <w:rFonts w:ascii="宋体" w:eastAsia="宋体" w:hAnsi="宋体" w:hint="eastAsia"/>
          <w:sz w:val="24"/>
          <w:szCs w:val="24"/>
        </w:rPr>
        <w:t>[4]</w:t>
      </w:r>
      <w:r w:rsidRPr="00CB72BC">
        <w:rPr>
          <w:rFonts w:ascii="宋体" w:eastAsia="宋体" w:hAnsi="宋体"/>
          <w:sz w:val="24"/>
          <w:szCs w:val="24"/>
        </w:rPr>
        <w:t>在《人工智能与法律的未来》中则探讨了赋予高级AI有限法律人格的可能性，但同时也指出这面临巨大的理论和实践障碍。目前，学界共识更倾向于强化人类主体的责任，而非创造“电子人”。</w:t>
      </w:r>
    </w:p>
    <w:p w14:paraId="3458DA59" w14:textId="6BEB4FCF" w:rsidR="00CB72BC" w:rsidRPr="00CB72BC" w:rsidRDefault="00CB72BC" w:rsidP="00CB72BC">
      <w:pPr>
        <w:snapToGrid w:val="0"/>
        <w:spacing w:line="300" w:lineRule="auto"/>
        <w:rPr>
          <w:rFonts w:ascii="宋体" w:eastAsia="宋体" w:hAnsi="宋体" w:hint="eastAsia"/>
          <w:sz w:val="24"/>
          <w:szCs w:val="24"/>
        </w:rPr>
      </w:pPr>
      <w:r>
        <w:rPr>
          <w:rFonts w:ascii="宋体" w:eastAsia="宋体" w:hAnsi="宋体" w:hint="eastAsia"/>
          <w:sz w:val="24"/>
          <w:szCs w:val="24"/>
        </w:rPr>
        <w:t>2.2.</w:t>
      </w:r>
      <w:r w:rsidRPr="00CB72BC">
        <w:rPr>
          <w:rFonts w:ascii="宋体" w:eastAsia="宋体" w:hAnsi="宋体"/>
          <w:sz w:val="24"/>
          <w:szCs w:val="24"/>
        </w:rPr>
        <w:t>3 对数据隐私与信息安全保护的聚焦</w:t>
      </w:r>
    </w:p>
    <w:p w14:paraId="4FBD45EC" w14:textId="397DBC0C"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AI决策高度依赖数据，引发了严重的隐私担忧。王融（2019）</w:t>
      </w:r>
      <w:r w:rsidR="00E222DD">
        <w:rPr>
          <w:rFonts w:ascii="宋体" w:eastAsia="宋体" w:hAnsi="宋体" w:hint="eastAsia"/>
          <w:sz w:val="24"/>
          <w:szCs w:val="24"/>
        </w:rPr>
        <w:t>[5]</w:t>
      </w:r>
      <w:r w:rsidRPr="00CB72BC">
        <w:rPr>
          <w:rFonts w:ascii="宋体" w:eastAsia="宋体" w:hAnsi="宋体"/>
          <w:sz w:val="24"/>
          <w:szCs w:val="24"/>
        </w:rPr>
        <w:t>在《论数字时代的隐私权保护》中系统分析了在大数据和AI背景下，传统的“知情-同意”模式已然失效，提出应向以“数据风险管理”为核心的场景化保护模式转变。许多奇（2020）</w:t>
      </w:r>
      <w:r w:rsidR="00E222DD">
        <w:rPr>
          <w:rFonts w:ascii="宋体" w:eastAsia="宋体" w:hAnsi="宋体" w:hint="eastAsia"/>
          <w:sz w:val="24"/>
          <w:szCs w:val="24"/>
        </w:rPr>
        <w:t>[6]</w:t>
      </w:r>
      <w:r w:rsidRPr="00CB72BC">
        <w:rPr>
          <w:rFonts w:ascii="宋体" w:eastAsia="宋体" w:hAnsi="宋体"/>
          <w:sz w:val="24"/>
          <w:szCs w:val="24"/>
        </w:rPr>
        <w:t>在《金融科技数据治理的法律规制》中，结合金融领域案例，强调了数据匿名化、数据最小化原则以及数据主权的重要性。这些研究为平衡技术创新与个人数据权利提供了重要的制度设计思路。</w:t>
      </w:r>
    </w:p>
    <w:p w14:paraId="2B30546A" w14:textId="48FCD306" w:rsidR="00CB72BC" w:rsidRP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hint="eastAsia"/>
          <w:sz w:val="24"/>
          <w:szCs w:val="24"/>
        </w:rPr>
        <w:t>2.2.</w:t>
      </w:r>
      <w:r w:rsidRPr="00CB72BC">
        <w:rPr>
          <w:rFonts w:ascii="宋体" w:eastAsia="宋体" w:hAnsi="宋体"/>
          <w:sz w:val="24"/>
          <w:szCs w:val="24"/>
        </w:rPr>
        <w:t>4 针对社会信用体系的具体伦理争议研究</w:t>
      </w:r>
    </w:p>
    <w:p w14:paraId="78232CA3" w14:textId="048EB9F1" w:rsidR="00CB72BC" w:rsidRDefault="00CB72BC" w:rsidP="00CB72BC">
      <w:pPr>
        <w:snapToGrid w:val="0"/>
        <w:spacing w:line="300" w:lineRule="auto"/>
        <w:rPr>
          <w:rFonts w:ascii="宋体" w:eastAsia="宋体" w:hAnsi="宋体" w:hint="eastAsia"/>
          <w:sz w:val="24"/>
          <w:szCs w:val="24"/>
        </w:rPr>
      </w:pPr>
      <w:r w:rsidRPr="00CB72BC">
        <w:rPr>
          <w:rFonts w:ascii="宋体" w:eastAsia="宋体" w:hAnsi="宋体"/>
          <w:sz w:val="24"/>
          <w:szCs w:val="24"/>
        </w:rPr>
        <w:t>社会信用体系作为中国在社会治理领域应用大数据与AI的典型实践，成为检验AI伦理理论的焦点案例。支持者如翟振武、刘爽（2017）</w:t>
      </w:r>
      <w:r w:rsidR="00E222DD">
        <w:rPr>
          <w:rFonts w:ascii="宋体" w:eastAsia="宋体" w:hAnsi="宋体" w:hint="eastAsia"/>
          <w:sz w:val="24"/>
          <w:szCs w:val="24"/>
        </w:rPr>
        <w:t>[7]</w:t>
      </w:r>
      <w:r w:rsidRPr="00CB72BC">
        <w:rPr>
          <w:rFonts w:ascii="宋体" w:eastAsia="宋体" w:hAnsi="宋体"/>
          <w:sz w:val="24"/>
          <w:szCs w:val="24"/>
        </w:rPr>
        <w:t>认为，社会信用体系有助于提升社会诚信水平，降低交易成本，其治理效能值得肯定。而批判者则从伦理角度提出尖锐质疑，如李斯特（2019）</w:t>
      </w:r>
      <w:r w:rsidR="00E222DD">
        <w:rPr>
          <w:rFonts w:ascii="宋体" w:eastAsia="宋体" w:hAnsi="宋体" w:hint="eastAsia"/>
          <w:sz w:val="24"/>
          <w:szCs w:val="24"/>
        </w:rPr>
        <w:t>[8]</w:t>
      </w:r>
      <w:r w:rsidRPr="00CB72BC">
        <w:rPr>
          <w:rFonts w:ascii="宋体" w:eastAsia="宋体" w:hAnsi="宋体"/>
          <w:sz w:val="24"/>
          <w:szCs w:val="24"/>
        </w:rPr>
        <w:t>在《“社会信用”系统的伦理风险》一文中，深刻剖析了其可能带来的评分标准单一化、加剧社会分层、压制社会活力以及形成“数字利维坦”的风险。这些争议性研究揭示了AI社会治理系统内在的复杂伦理张力。</w:t>
      </w:r>
    </w:p>
    <w:p w14:paraId="5F366112" w14:textId="65FAFEE4" w:rsidR="00CB72BC" w:rsidRPr="00CB72BC" w:rsidRDefault="00CB72BC" w:rsidP="00CB72BC">
      <w:pPr>
        <w:snapToGrid w:val="0"/>
        <w:spacing w:line="300" w:lineRule="auto"/>
        <w:rPr>
          <w:rFonts w:ascii="宋体" w:eastAsia="宋体" w:hAnsi="宋体" w:hint="eastAsia"/>
          <w:b/>
          <w:bCs/>
          <w:sz w:val="24"/>
          <w:szCs w:val="24"/>
        </w:rPr>
      </w:pPr>
      <w:r w:rsidRPr="00C7028C">
        <w:rPr>
          <w:rFonts w:ascii="宋体" w:eastAsia="宋体" w:hAnsi="宋体" w:hint="eastAsia"/>
          <w:b/>
          <w:bCs/>
          <w:sz w:val="24"/>
          <w:szCs w:val="24"/>
        </w:rPr>
        <w:t>2.3国外研究现状</w:t>
      </w:r>
    </w:p>
    <w:p w14:paraId="77BB34B0"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代表性外文文献评述：</w:t>
      </w:r>
    </w:p>
    <w:p w14:paraId="63E13D05" w14:textId="422CAFB6"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Mittelstadt, B. D., Allo, P., Taddeo, M., Wachter, S., &amp; Floridi, L. (2016)</w:t>
      </w:r>
      <w:r w:rsidR="00E222DD">
        <w:rPr>
          <w:rFonts w:ascii="宋体" w:eastAsia="宋体" w:hAnsi="宋体" w:hint="eastAsia"/>
          <w:sz w:val="24"/>
          <w:szCs w:val="24"/>
        </w:rPr>
        <w:t>[12]</w:t>
      </w:r>
      <w:r w:rsidRPr="00C7028C">
        <w:rPr>
          <w:rFonts w:ascii="宋体" w:eastAsia="宋体" w:hAnsi="宋体"/>
          <w:sz w:val="24"/>
          <w:szCs w:val="24"/>
        </w:rPr>
        <w:t xml:space="preserve">. The ethics of algorithms: Mapping the debate. </w:t>
      </w:r>
      <w:r w:rsidRPr="00C7028C">
        <w:rPr>
          <w:rFonts w:ascii="宋体" w:eastAsia="宋体" w:hAnsi="宋体"/>
          <w:i/>
          <w:iCs/>
          <w:sz w:val="24"/>
          <w:szCs w:val="24"/>
        </w:rPr>
        <w:t>Big Data &amp; Society</w:t>
      </w:r>
      <w:r w:rsidRPr="00C7028C">
        <w:rPr>
          <w:rFonts w:ascii="宋体" w:eastAsia="宋体" w:hAnsi="宋体"/>
          <w:sz w:val="24"/>
          <w:szCs w:val="24"/>
        </w:rPr>
        <w:t>.这篇论文是算法伦理研究领域的奠基性文献。作者们系统性地将算法引发的伦理问题归纳为四大类：（1）不可靠性（Inconclusiveness）：指算法基于概率推理，其结论并非确凿无疑；（2）不公正性（Injustice）：即算法可能导致歧视和偏见；（3）转化性影响（Transformative effects）：指算法会改变其所干预的社会环境与行为规范；（4）追溯性问责困境（Traceability）：即难以追溯和定位算法决策错误的责任源头。这一分类框架为后续研究提供了清晰的分析维度，具有重要的理论价值。</w:t>
      </w:r>
    </w:p>
    <w:p w14:paraId="52EED709" w14:textId="743013D2" w:rsid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此外，欧盟发布的《可信人工智能伦理指南》（2019）提出了“可信AI”的七大关键要求：人的能动性和监督、技术稳健性和安全性、隐私和数据治理、透明度、多样性、非歧视和公平、社会和环境福祉、问责制。这一框架在全球范围内产生了广泛影响，推动了从抽象伦理原则向可操作评估标准的转化</w:t>
      </w:r>
      <w:r w:rsidR="00E222DD">
        <w:rPr>
          <w:rFonts w:ascii="宋体" w:eastAsia="宋体" w:hAnsi="宋体" w:hint="eastAsia"/>
          <w:sz w:val="24"/>
          <w:szCs w:val="24"/>
        </w:rPr>
        <w:t>[11]</w:t>
      </w:r>
      <w:r w:rsidRPr="00C7028C">
        <w:rPr>
          <w:rFonts w:ascii="宋体" w:eastAsia="宋体" w:hAnsi="宋体"/>
          <w:sz w:val="24"/>
          <w:szCs w:val="24"/>
        </w:rPr>
        <w:t>。学者如</w:t>
      </w:r>
      <w:r w:rsidRPr="00C7028C">
        <w:rPr>
          <w:rFonts w:ascii="宋体" w:eastAsia="宋体" w:hAnsi="宋体"/>
          <w:sz w:val="24"/>
          <w:szCs w:val="24"/>
        </w:rPr>
        <w:lastRenderedPageBreak/>
        <w:t>Cathy O‘Neil在《算法霸权》一书中对“毁灭性武器”般的算法进行了批判，强调了对算法进行外部审计和监管的必要性。</w:t>
      </w:r>
    </w:p>
    <w:p w14:paraId="5D7CBFDD" w14:textId="47BF3FC8"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hint="eastAsia"/>
          <w:b/>
          <w:bCs/>
          <w:sz w:val="24"/>
          <w:szCs w:val="24"/>
        </w:rPr>
        <w:t>2.4研究评述与研究切入点</w:t>
      </w:r>
    </w:p>
    <w:p w14:paraId="642BD17A"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通过对现有文献的梳理，可以发现：</w:t>
      </w:r>
    </w:p>
    <w:p w14:paraId="00102558"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主要共识与贡献在于：</w:t>
      </w:r>
    </w:p>
    <w:p w14:paraId="0675434A" w14:textId="2EC9FEEF"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1.</w:t>
      </w:r>
      <w:r w:rsidRPr="00C7028C">
        <w:rPr>
          <w:rFonts w:ascii="宋体" w:eastAsia="宋体" w:hAnsi="宋体"/>
          <w:sz w:val="24"/>
          <w:szCs w:val="24"/>
        </w:rPr>
        <w:t>学界已充分认识到AI决策系统带来的伦理挑战是系统性的，涉及技术、法律、社会等多个层面。</w:t>
      </w:r>
    </w:p>
    <w:p w14:paraId="5BA328B4" w14:textId="137683B6"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2.</w:t>
      </w:r>
      <w:r w:rsidRPr="00C7028C">
        <w:rPr>
          <w:rFonts w:ascii="宋体" w:eastAsia="宋体" w:hAnsi="宋体"/>
          <w:sz w:val="24"/>
          <w:szCs w:val="24"/>
        </w:rPr>
        <w:t>在原则层面，“公平、问责、透明”（FAT/FAIR）已成为普遍认同的核心价值。</w:t>
      </w:r>
    </w:p>
    <w:p w14:paraId="1D5D5914" w14:textId="6A99B1F1"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3.</w:t>
      </w:r>
      <w:r w:rsidRPr="00C7028C">
        <w:rPr>
          <w:rFonts w:ascii="宋体" w:eastAsia="宋体" w:hAnsi="宋体"/>
          <w:sz w:val="24"/>
          <w:szCs w:val="24"/>
        </w:rPr>
        <w:t>研究已从早期的现象描述和原则呼吁，逐步转向具体的规制工具设计（如算法影响评估、可解释AI技术）和制度构建。</w:t>
      </w:r>
    </w:p>
    <w:p w14:paraId="212F13CF"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然而，现有研究仍存在以下不足或可深化之处：</w:t>
      </w:r>
    </w:p>
    <w:p w14:paraId="2617A0E0" w14:textId="4D6FF394"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1.</w:t>
      </w:r>
      <w:r w:rsidRPr="00C7028C">
        <w:rPr>
          <w:rFonts w:ascii="宋体" w:eastAsia="宋体" w:hAnsi="宋体"/>
          <w:sz w:val="24"/>
          <w:szCs w:val="24"/>
        </w:rPr>
        <w:t>治理路径的碎片化：多数研究或侧重于技术解决方案，或聚焦于法律条文修订，缺乏将技术治理、制度设计与社会协同有机整合的综合性治理框架研究。</w:t>
      </w:r>
    </w:p>
    <w:p w14:paraId="73837F73" w14:textId="6903AFB0"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2.</w:t>
      </w:r>
      <w:r w:rsidRPr="00C7028C">
        <w:rPr>
          <w:rFonts w:ascii="宋体" w:eastAsia="宋体" w:hAnsi="宋体"/>
          <w:sz w:val="24"/>
          <w:szCs w:val="24"/>
        </w:rPr>
        <w:t>本土化案例深度分析的缺乏：国内研究对社会信用体系等本土案例的讨论，虽有关注但多停留在宏观的利弊争鸣，缺乏将其置于全球AI治理话语体系下，进行细致入微的伦理张力解剖和治理对策适配性研究。</w:t>
      </w:r>
    </w:p>
    <w:p w14:paraId="16BD42F6" w14:textId="0A1FA723"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sz w:val="24"/>
          <w:szCs w:val="24"/>
        </w:rPr>
        <w:t>3.</w:t>
      </w:r>
      <w:r w:rsidRPr="00C7028C">
        <w:rPr>
          <w:rFonts w:ascii="宋体" w:eastAsia="宋体" w:hAnsi="宋体"/>
          <w:sz w:val="24"/>
          <w:szCs w:val="24"/>
        </w:rPr>
        <w:t>动态治理视角的欠缺：AI技术迭代迅速，现有研究对治理框架应如何具备适应性、敏捷性以应对技术快速变化的探讨尚不充分。</w:t>
      </w:r>
    </w:p>
    <w:p w14:paraId="75BE854C"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因此，本文的研究切入点在于：</w:t>
      </w:r>
    </w:p>
    <w:p w14:paraId="290C9BB6"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在充分吸收国内外现有研究成果的基础上，本文将尝试构建一个技术、制度与社会三维协同的动态治理路径，并以社会信用体系这一复杂系统为深度案例，具体分析其伦理困境的独特表现，检验和细化所提出的治理框架，以期弥补现有研究的碎片化与本土化案例深度不足的缺陷，为推动负责任的人工智能发展提供更具操作性的理论参考。</w:t>
      </w:r>
    </w:p>
    <w:p w14:paraId="3C8585F4" w14:textId="77777777" w:rsidR="00C7028C" w:rsidRPr="00C7028C" w:rsidRDefault="00C7028C" w:rsidP="00C7028C">
      <w:pPr>
        <w:snapToGrid w:val="0"/>
        <w:spacing w:line="300" w:lineRule="auto"/>
        <w:rPr>
          <w:rFonts w:ascii="黑体" w:eastAsia="黑体" w:hAnsi="黑体" w:hint="eastAsia"/>
          <w:b/>
          <w:bCs/>
          <w:sz w:val="28"/>
          <w:szCs w:val="28"/>
        </w:rPr>
      </w:pPr>
      <w:r w:rsidRPr="00C7028C">
        <w:rPr>
          <w:rFonts w:ascii="黑体" w:eastAsia="黑体" w:hAnsi="黑体"/>
          <w:b/>
          <w:bCs/>
          <w:sz w:val="28"/>
          <w:szCs w:val="28"/>
        </w:rPr>
        <w:t>第三章 人工智能决策系统的主要伦理困境分析</w:t>
      </w:r>
    </w:p>
    <w:p w14:paraId="14E6DE98" w14:textId="60D6A1F2"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人工智能决策系统在提升社会效率的同时，其技术逻辑与社会伦理价值之间的冲突也催生出四大核心困境。这些困境相互关联，共同挑战着现有社会秩序与公平正义原则</w:t>
      </w:r>
      <w:r w:rsidR="00E222DD">
        <w:rPr>
          <w:rFonts w:ascii="宋体" w:eastAsia="宋体" w:hAnsi="宋体" w:hint="eastAsia"/>
          <w:sz w:val="24"/>
          <w:szCs w:val="24"/>
        </w:rPr>
        <w:t>[1,12]</w:t>
      </w:r>
      <w:r w:rsidRPr="00C7028C">
        <w:rPr>
          <w:rFonts w:ascii="宋体" w:eastAsia="宋体" w:hAnsi="宋体"/>
          <w:sz w:val="24"/>
          <w:szCs w:val="24"/>
        </w:rPr>
        <w:t>。</w:t>
      </w:r>
    </w:p>
    <w:p w14:paraId="77F6342C"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3.1 算法偏见与社会公平困境</w:t>
      </w:r>
    </w:p>
    <w:p w14:paraId="3B3C7CB6" w14:textId="66F45DF5"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算法决策的公平性受到数据与模型双重偏见的威胁</w:t>
      </w:r>
      <w:r w:rsidR="00E222DD">
        <w:rPr>
          <w:rFonts w:ascii="宋体" w:eastAsia="宋体" w:hAnsi="宋体" w:hint="eastAsia"/>
          <w:sz w:val="24"/>
          <w:szCs w:val="24"/>
        </w:rPr>
        <w:t>[1,2]</w:t>
      </w:r>
      <w:r w:rsidRPr="00C7028C">
        <w:rPr>
          <w:rFonts w:ascii="宋体" w:eastAsia="宋体" w:hAnsi="宋体"/>
          <w:sz w:val="24"/>
          <w:szCs w:val="24"/>
        </w:rPr>
        <w:t>。首先，训练数据若包含历史歧视（如特定群体在就业中的弱势地位），算法将自动化复制这些偏见。其次，模型设计者的主观选择（如特征权重设置）会进一步加剧不公。这种偏见常表现为对弱势群体的系统性排斥，且因其以“数据驱动”为伪装而更具隐蔽性。当算法应用于招聘、信贷等关键领域时，不仅会剥夺个体机会，更会固化社会结构性不平等。</w:t>
      </w:r>
    </w:p>
    <w:p w14:paraId="1A892E5B"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lastRenderedPageBreak/>
        <w:t>3.2 责任归属与问责机制困境</w:t>
      </w:r>
    </w:p>
    <w:p w14:paraId="1BC4238A" w14:textId="0EB29E82"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AI系统的自主性与黑箱特性导致责任主体模糊化</w:t>
      </w:r>
      <w:r w:rsidR="00E222DD">
        <w:rPr>
          <w:rFonts w:ascii="宋体" w:eastAsia="宋体" w:hAnsi="宋体" w:hint="eastAsia"/>
          <w:sz w:val="24"/>
          <w:szCs w:val="24"/>
        </w:rPr>
        <w:t>[3,4]</w:t>
      </w:r>
      <w:r w:rsidRPr="00C7028C">
        <w:rPr>
          <w:rFonts w:ascii="宋体" w:eastAsia="宋体" w:hAnsi="宋体"/>
          <w:sz w:val="24"/>
          <w:szCs w:val="24"/>
        </w:rPr>
        <w:t>。从开发者、部署者到最终使用者，决策链条上的多方主体均可推诿责任。例如自动驾驶事故中，责任可能源于传感器故障、算法误判或人为操作失误，但技术复杂性使得因果追溯异常困难。这种责任真空不仅使受害者救济无门，更削弱了法律制度的威慑功能，最终阻碍技术的健康发展。</w:t>
      </w:r>
    </w:p>
    <w:p w14:paraId="4E942DBD"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3.3 个人隐私与数据权利困境</w:t>
      </w:r>
    </w:p>
    <w:p w14:paraId="25AB85E0" w14:textId="604B9D2D"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大规模数据采集与挖掘使传统隐私保护体系失效</w:t>
      </w:r>
      <w:r w:rsidR="00E222DD">
        <w:rPr>
          <w:rFonts w:ascii="宋体" w:eastAsia="宋体" w:hAnsi="宋体" w:hint="eastAsia"/>
          <w:sz w:val="24"/>
          <w:szCs w:val="24"/>
        </w:rPr>
        <w:t>[5,6]</w:t>
      </w:r>
      <w:r w:rsidRPr="00C7028C">
        <w:rPr>
          <w:rFonts w:ascii="宋体" w:eastAsia="宋体" w:hAnsi="宋体"/>
          <w:sz w:val="24"/>
          <w:szCs w:val="24"/>
        </w:rPr>
        <w:t>。一方面，“知情同意”原则在冗长用户协议和数据二次利用面前形同虚设；另一方面，算法能通过关联分析推断出未公开的敏感信息（如通过消费记录预测健康状况）。个体逐渐沦为“透明人”，而企业与政府通过数据掌控获得前所未有的社会操控能力，个人自主权面临严重威胁。</w:t>
      </w:r>
    </w:p>
    <w:p w14:paraId="403BB087"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3.4 透明度缺失与公众信任困境</w:t>
      </w:r>
    </w:p>
    <w:p w14:paraId="4CEFEFD4" w14:textId="726AC70D"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深度学习模型的“黑箱”特性引发双重透明度危机</w:t>
      </w:r>
      <w:r w:rsidR="00E222DD">
        <w:rPr>
          <w:rFonts w:ascii="宋体" w:eastAsia="宋体" w:hAnsi="宋体" w:hint="eastAsia"/>
          <w:sz w:val="24"/>
          <w:szCs w:val="24"/>
        </w:rPr>
        <w:t>[12]</w:t>
      </w:r>
      <w:r w:rsidRPr="00C7028C">
        <w:rPr>
          <w:rFonts w:ascii="宋体" w:eastAsia="宋体" w:hAnsi="宋体"/>
          <w:sz w:val="24"/>
          <w:szCs w:val="24"/>
        </w:rPr>
        <w:t>：技术层面难以解释具体决策逻辑，制度层面缺乏必要的流程公开。当公共决策（如信用评分）无法提供合理解释时，不仅侵犯公民的知情权与申诉权，更会侵蚀政府公信力。长期来看，公众对难以理解且无法挑战的决策系统产生疏离感，将动摇社会治理的合法性基础。</w:t>
      </w:r>
    </w:p>
    <w:p w14:paraId="21B4380E" w14:textId="77777777" w:rsidR="00C7028C" w:rsidRPr="00C7028C" w:rsidRDefault="00C7028C" w:rsidP="00C7028C">
      <w:pPr>
        <w:snapToGrid w:val="0"/>
        <w:spacing w:line="300" w:lineRule="auto"/>
        <w:rPr>
          <w:rFonts w:ascii="黑体" w:eastAsia="黑体" w:hAnsi="黑体" w:hint="eastAsia"/>
          <w:b/>
          <w:bCs/>
          <w:sz w:val="28"/>
          <w:szCs w:val="28"/>
        </w:rPr>
      </w:pPr>
      <w:r w:rsidRPr="00C7028C">
        <w:rPr>
          <w:rFonts w:ascii="黑体" w:eastAsia="黑体" w:hAnsi="黑体"/>
          <w:b/>
          <w:bCs/>
          <w:sz w:val="28"/>
          <w:szCs w:val="28"/>
        </w:rPr>
        <w:t>第四章：案例深挖：社会信用体系中的伦理张力与实践挑战</w:t>
      </w:r>
    </w:p>
    <w:p w14:paraId="7044CF5F" w14:textId="53C436C5"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为了将前述理论层面的伦理困境置于具体社会现实中加以检验，本章选取中国正在构建的社会信用体系作为核心分析案例</w:t>
      </w:r>
      <w:r w:rsidR="00E222DD">
        <w:rPr>
          <w:rFonts w:ascii="宋体" w:eastAsia="宋体" w:hAnsi="宋体" w:hint="eastAsia"/>
          <w:sz w:val="24"/>
          <w:szCs w:val="24"/>
        </w:rPr>
        <w:t>[7,8]</w:t>
      </w:r>
      <w:r w:rsidRPr="00C7028C">
        <w:rPr>
          <w:rFonts w:ascii="宋体" w:eastAsia="宋体" w:hAnsi="宋体"/>
          <w:sz w:val="24"/>
          <w:szCs w:val="24"/>
        </w:rPr>
        <w:t>。该系统旨在通过整合大数据与算法模型对社会主体进行信用评价，是人工智能应用于超大规模社会治理的典型实践，其运行集中体现了技术理性与人文价值之间的复杂张力。</w:t>
      </w:r>
    </w:p>
    <w:p w14:paraId="1AD4697F"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4.1 社会信用体系概述：目标与机制</w:t>
      </w:r>
    </w:p>
    <w:p w14:paraId="61DFFBE2" w14:textId="28181AAF"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社会信用体系的建设初衷是解决市场经济中日益突出的失信问题，构建“一处失信、处处受限”的守信激励和失信惩戒机制</w:t>
      </w:r>
      <w:r w:rsidR="00E222DD">
        <w:rPr>
          <w:rFonts w:ascii="宋体" w:eastAsia="宋体" w:hAnsi="宋体" w:hint="eastAsia"/>
          <w:sz w:val="24"/>
          <w:szCs w:val="24"/>
        </w:rPr>
        <w:t>[7]</w:t>
      </w:r>
      <w:r w:rsidRPr="00C7028C">
        <w:rPr>
          <w:rFonts w:ascii="宋体" w:eastAsia="宋体" w:hAnsi="宋体"/>
          <w:sz w:val="24"/>
          <w:szCs w:val="24"/>
        </w:rPr>
        <w:t>。其核心架构可理解为一项基于数据的治理技术：通过归集来自政府部门、金融机构、商业平台等多元主体的海量数据，构建涵盖企业、法人和自然人的信用档案；继而运用算法模型生成信用评分或评级，并据此实施分类监管和差异化措施。从设计逻辑看，它追求的是通过技术手段提升社会运行的整体效率和秩序。</w:t>
      </w:r>
    </w:p>
    <w:p w14:paraId="68CF09A1"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4.2 伦理张力的具体体现</w:t>
      </w:r>
    </w:p>
    <w:p w14:paraId="69B16158" w14:textId="77777777"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这一宏大工程在运作中，将第三章所述的普遍性伦理困境清晰地具象化：</w:t>
      </w:r>
    </w:p>
    <w:p w14:paraId="54F05079" w14:textId="0B335375"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b/>
          <w:bCs/>
          <w:sz w:val="24"/>
          <w:szCs w:val="24"/>
        </w:rPr>
        <w:t>4.2.1</w:t>
      </w:r>
      <w:r w:rsidRPr="00C7028C">
        <w:rPr>
          <w:rFonts w:ascii="宋体" w:eastAsia="宋体" w:hAnsi="宋体"/>
          <w:b/>
          <w:bCs/>
          <w:sz w:val="24"/>
          <w:szCs w:val="24"/>
        </w:rPr>
        <w:t>算法偏见与公平性质疑：</w:t>
      </w:r>
      <w:r w:rsidRPr="00C7028C">
        <w:rPr>
          <w:rFonts w:ascii="宋体" w:eastAsia="宋体" w:hAnsi="宋体"/>
          <w:sz w:val="24"/>
          <w:szCs w:val="24"/>
        </w:rPr>
        <w:t>评分标准的设定是核心争议点。将纷繁复杂的社会行为量化为单一或有限的信用分数，其标准是否科学、全面？例如，若将“交通违章”与“学术不端”等性质迥异的行为简单加权计算，可能导致评价失真</w:t>
      </w:r>
      <w:r w:rsidR="00E222DD">
        <w:rPr>
          <w:rFonts w:ascii="宋体" w:eastAsia="宋体" w:hAnsi="宋体" w:hint="eastAsia"/>
          <w:sz w:val="24"/>
          <w:szCs w:val="24"/>
        </w:rPr>
        <w:lastRenderedPageBreak/>
        <w:t>[1]</w:t>
      </w:r>
      <w:r w:rsidRPr="00C7028C">
        <w:rPr>
          <w:rFonts w:ascii="宋体" w:eastAsia="宋体" w:hAnsi="宋体"/>
          <w:sz w:val="24"/>
          <w:szCs w:val="24"/>
        </w:rPr>
        <w:t>。更关键的是，标准若隐含着对特定职业、地域或生活方式的偏好，则可能对弱势群体或少数群体构成系统性偏见，加剧社会不公</w:t>
      </w:r>
      <w:r w:rsidR="00E222DD">
        <w:rPr>
          <w:rFonts w:ascii="宋体" w:eastAsia="宋体" w:hAnsi="宋体" w:hint="eastAsia"/>
          <w:sz w:val="24"/>
          <w:szCs w:val="24"/>
        </w:rPr>
        <w:t>[2]</w:t>
      </w:r>
      <w:r w:rsidRPr="00C7028C">
        <w:rPr>
          <w:rFonts w:ascii="宋体" w:eastAsia="宋体" w:hAnsi="宋体"/>
          <w:sz w:val="24"/>
          <w:szCs w:val="24"/>
        </w:rPr>
        <w:t>。</w:t>
      </w:r>
    </w:p>
    <w:p w14:paraId="224C1431" w14:textId="0188C506"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b/>
          <w:bCs/>
          <w:sz w:val="24"/>
          <w:szCs w:val="24"/>
        </w:rPr>
        <w:t>4.2.2</w:t>
      </w:r>
      <w:r w:rsidRPr="00C7028C">
        <w:rPr>
          <w:rFonts w:ascii="宋体" w:eastAsia="宋体" w:hAnsi="宋体"/>
          <w:b/>
          <w:bCs/>
          <w:sz w:val="24"/>
          <w:szCs w:val="24"/>
        </w:rPr>
        <w:t>责任归属与惩戒过当风险：</w:t>
      </w:r>
      <w:r w:rsidRPr="00C7028C">
        <w:rPr>
          <w:rFonts w:ascii="宋体" w:eastAsia="宋体" w:hAnsi="宋体"/>
          <w:sz w:val="24"/>
          <w:szCs w:val="24"/>
        </w:rPr>
        <w:t>系统通过联动惩戒（如限制高消费、影响出行等）对失信行为进行约束。然而，当算法决策出现错误或争议时，惩戒措施可能已自动触发。责任的模糊性在此凸显：是数据提供方的错误、算法模型的缺陷，还是政策执行者的责任？受害者面临申诉渠道复杂、纠错成本高昂的困境，个人权益可能因“误伤”而遭受难以弥补的损失</w:t>
      </w:r>
      <w:r w:rsidR="00E222DD">
        <w:rPr>
          <w:rFonts w:ascii="宋体" w:eastAsia="宋体" w:hAnsi="宋体" w:hint="eastAsia"/>
          <w:sz w:val="24"/>
          <w:szCs w:val="24"/>
        </w:rPr>
        <w:t>[3]</w:t>
      </w:r>
      <w:r w:rsidRPr="00C7028C">
        <w:rPr>
          <w:rFonts w:ascii="宋体" w:eastAsia="宋体" w:hAnsi="宋体"/>
          <w:sz w:val="24"/>
          <w:szCs w:val="24"/>
        </w:rPr>
        <w:t>。</w:t>
      </w:r>
    </w:p>
    <w:p w14:paraId="5BAF544C" w14:textId="03BA8BAC" w:rsidR="00C7028C" w:rsidRPr="00C7028C" w:rsidRDefault="00C7028C" w:rsidP="00C7028C">
      <w:pPr>
        <w:snapToGrid w:val="0"/>
        <w:spacing w:line="300" w:lineRule="auto"/>
        <w:rPr>
          <w:rFonts w:ascii="宋体" w:eastAsia="宋体" w:hAnsi="宋体" w:hint="eastAsia"/>
          <w:sz w:val="24"/>
          <w:szCs w:val="24"/>
        </w:rPr>
      </w:pPr>
      <w:r>
        <w:rPr>
          <w:rFonts w:ascii="宋体" w:eastAsia="宋体" w:hAnsi="宋体" w:hint="eastAsia"/>
          <w:b/>
          <w:bCs/>
          <w:sz w:val="24"/>
          <w:szCs w:val="24"/>
        </w:rPr>
        <w:t>4.2.3</w:t>
      </w:r>
      <w:r w:rsidRPr="00C7028C">
        <w:rPr>
          <w:rFonts w:ascii="宋体" w:eastAsia="宋体" w:hAnsi="宋体"/>
          <w:b/>
          <w:bCs/>
          <w:sz w:val="24"/>
          <w:szCs w:val="24"/>
        </w:rPr>
        <w:t>隐私边界与透明度缺失：</w:t>
      </w:r>
      <w:r w:rsidRPr="00C7028C">
        <w:rPr>
          <w:rFonts w:ascii="宋体" w:eastAsia="宋体" w:hAnsi="宋体"/>
          <w:sz w:val="24"/>
          <w:szCs w:val="24"/>
        </w:rPr>
        <w:t>系统对个人数据的采集范围不断扩展，从金融履约情况到社交行为、网络言论等，存在过度采集的担忧。传统的“知情-同意”原则在庞杂的数据来源面前形同虚设。同时，评分模型作为“黑箱”，其具体算法、数据权重和决策逻辑对公众而言极不透明，个体既难以知晓何种行为导致信用变化，更无法有效质疑和申诉，导致权力与权利之间的严重失衡</w:t>
      </w:r>
      <w:r w:rsidR="00E222DD">
        <w:rPr>
          <w:rFonts w:ascii="宋体" w:eastAsia="宋体" w:hAnsi="宋体" w:hint="eastAsia"/>
          <w:sz w:val="24"/>
          <w:szCs w:val="24"/>
        </w:rPr>
        <w:t>[8]</w:t>
      </w:r>
      <w:r w:rsidRPr="00C7028C">
        <w:rPr>
          <w:rFonts w:ascii="宋体" w:eastAsia="宋体" w:hAnsi="宋体"/>
          <w:sz w:val="24"/>
          <w:szCs w:val="24"/>
        </w:rPr>
        <w:t>。</w:t>
      </w:r>
    </w:p>
    <w:p w14:paraId="7041BFCC" w14:textId="77777777" w:rsidR="00C7028C" w:rsidRPr="00C7028C" w:rsidRDefault="00C7028C" w:rsidP="00C7028C">
      <w:pPr>
        <w:snapToGrid w:val="0"/>
        <w:spacing w:line="300" w:lineRule="auto"/>
        <w:rPr>
          <w:rFonts w:ascii="宋体" w:eastAsia="宋体" w:hAnsi="宋体" w:hint="eastAsia"/>
          <w:b/>
          <w:bCs/>
          <w:sz w:val="24"/>
          <w:szCs w:val="24"/>
        </w:rPr>
      </w:pPr>
      <w:r w:rsidRPr="00C7028C">
        <w:rPr>
          <w:rFonts w:ascii="宋体" w:eastAsia="宋体" w:hAnsi="宋体"/>
          <w:b/>
          <w:bCs/>
          <w:sz w:val="24"/>
          <w:szCs w:val="24"/>
        </w:rPr>
        <w:t>4.3 实践中的挑战与争议</w:t>
      </w:r>
    </w:p>
    <w:p w14:paraId="2567ED4C" w14:textId="7ED51739" w:rsidR="00C7028C" w:rsidRPr="00C7028C" w:rsidRDefault="00C7028C" w:rsidP="00C7028C">
      <w:pPr>
        <w:snapToGrid w:val="0"/>
        <w:spacing w:line="300" w:lineRule="auto"/>
        <w:rPr>
          <w:rFonts w:ascii="宋体" w:eastAsia="宋体" w:hAnsi="宋体" w:hint="eastAsia"/>
          <w:sz w:val="24"/>
          <w:szCs w:val="24"/>
        </w:rPr>
      </w:pPr>
      <w:r w:rsidRPr="00C7028C">
        <w:rPr>
          <w:rFonts w:ascii="宋体" w:eastAsia="宋体" w:hAnsi="宋体"/>
          <w:sz w:val="24"/>
          <w:szCs w:val="24"/>
        </w:rPr>
        <w:t>在推行过程中，该体系面临着多维度的挑战。在国内，公众在认可其提升社会诚信水平的积极一面的同时，也普遍担忧其可能带来的“数字囚笼”效应，即个体为获得高评分而趋于行为保守，抑制社会活力</w:t>
      </w:r>
      <w:r w:rsidR="00E222DD">
        <w:rPr>
          <w:rFonts w:ascii="宋体" w:eastAsia="宋体" w:hAnsi="宋体" w:hint="eastAsia"/>
          <w:sz w:val="24"/>
          <w:szCs w:val="24"/>
        </w:rPr>
        <w:t>[7]</w:t>
      </w:r>
      <w:r w:rsidRPr="00C7028C">
        <w:rPr>
          <w:rFonts w:ascii="宋体" w:eastAsia="宋体" w:hAnsi="宋体"/>
          <w:sz w:val="24"/>
          <w:szCs w:val="24"/>
        </w:rPr>
        <w:t>。在国际层面，该体系常被误读为一种全面的“公民评分”系统，引发了对其可能削弱个人自由和助长监控的强烈批评。在管理上，如何确保不同地区、不同部门之间标准的统一性与执行的公平性，如何平衡惩戒的威慑力与防止权力滥用，都是亟待解决的现实难题。</w:t>
      </w:r>
    </w:p>
    <w:p w14:paraId="19BA38AE" w14:textId="77777777" w:rsidR="00781F45" w:rsidRPr="00781F45" w:rsidRDefault="00781F45" w:rsidP="00781F45">
      <w:pPr>
        <w:snapToGrid w:val="0"/>
        <w:spacing w:line="300" w:lineRule="auto"/>
        <w:rPr>
          <w:rFonts w:ascii="黑体" w:eastAsia="黑体" w:hAnsi="黑体" w:hint="eastAsia"/>
          <w:b/>
          <w:bCs/>
          <w:sz w:val="28"/>
          <w:szCs w:val="28"/>
        </w:rPr>
      </w:pPr>
      <w:r w:rsidRPr="00781F45">
        <w:rPr>
          <w:rFonts w:ascii="黑体" w:eastAsia="黑体" w:hAnsi="黑体"/>
          <w:b/>
          <w:bCs/>
          <w:sz w:val="28"/>
          <w:szCs w:val="28"/>
        </w:rPr>
        <w:t>第五章：构建人工智能伦理的协同治理路径</w:t>
      </w:r>
    </w:p>
    <w:p w14:paraId="0C1760A1"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人工智能伦理困境的复杂性和系统性，决定了其治理无法依靠单一手段或单一主体完成。必须构建一个技术、制度与社会三者协同的综合性治理路径，将伦理考量嵌入技术创新的全生命周期，以确保人工智能的发展服务于人类社会的整体福祉。本章将从这三个层面提出具体的治理对策。</w:t>
      </w:r>
    </w:p>
    <w:p w14:paraId="77E2BC81" w14:textId="77777777" w:rsidR="00781F45" w:rsidRPr="00E222DD" w:rsidRDefault="00781F45" w:rsidP="00781F45">
      <w:pPr>
        <w:snapToGrid w:val="0"/>
        <w:spacing w:line="300" w:lineRule="auto"/>
        <w:rPr>
          <w:rFonts w:ascii="宋体" w:eastAsia="宋体" w:hAnsi="宋体" w:hint="eastAsia"/>
          <w:b/>
          <w:bCs/>
          <w:sz w:val="24"/>
          <w:szCs w:val="24"/>
        </w:rPr>
      </w:pPr>
      <w:r w:rsidRPr="00E222DD">
        <w:rPr>
          <w:rFonts w:ascii="宋体" w:eastAsia="宋体" w:hAnsi="宋体"/>
          <w:b/>
          <w:bCs/>
          <w:sz w:val="24"/>
          <w:szCs w:val="24"/>
        </w:rPr>
        <w:t>5.1 技术层面：嵌入伦理的“负责任的创新”</w:t>
      </w:r>
    </w:p>
    <w:p w14:paraId="50668DA9" w14:textId="70EBDEE0"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技术本身虽可能引发问题，但也可成为解决方案的一部分。治理的起点应前移至设计与研发阶段</w:t>
      </w:r>
      <w:r w:rsidR="00E222DD">
        <w:rPr>
          <w:rFonts w:ascii="宋体" w:eastAsia="宋体" w:hAnsi="宋体" w:hint="eastAsia"/>
          <w:sz w:val="24"/>
          <w:szCs w:val="24"/>
        </w:rPr>
        <w:t>[9]</w:t>
      </w:r>
      <w:r w:rsidRPr="00781F45">
        <w:rPr>
          <w:rFonts w:ascii="宋体" w:eastAsia="宋体" w:hAnsi="宋体"/>
          <w:sz w:val="24"/>
          <w:szCs w:val="24"/>
        </w:rPr>
        <w:t>，倡导“通过设计实现伦理”（Ethics by Design）的理念。首先，应大力推广和发展可解释人工智能（XAI）技术，旨在揭开算法的“黑箱”，使决策逻辑能够被人类理解和审查。这对于提升决策的透明度、公平性和可争议性至关重要。其次，建立常态化的算法审计机制，通过独立的第三方对算法进行偏见检测、公平性评估和性能监控，及时发现并纠正潜在的歧视与不公。最后，积极应用隐私增强技术（PETs），如差分隐私、联邦学习等</w:t>
      </w:r>
      <w:r w:rsidR="00E222DD">
        <w:rPr>
          <w:rFonts w:ascii="宋体" w:eastAsia="宋体" w:hAnsi="宋体" w:hint="eastAsia"/>
          <w:sz w:val="24"/>
          <w:szCs w:val="24"/>
        </w:rPr>
        <w:t>[6]</w:t>
      </w:r>
      <w:r w:rsidRPr="00781F45">
        <w:rPr>
          <w:rFonts w:ascii="宋体" w:eastAsia="宋体" w:hAnsi="宋体"/>
          <w:sz w:val="24"/>
          <w:szCs w:val="24"/>
        </w:rPr>
        <w:t>，在保证数据效用和价值的同时，实现数据“可用不可见”，从技术源头最小化隐私泄露风险。这些技术手段共同构成了确保AI系统可靠、可控的技术基础。</w:t>
      </w:r>
    </w:p>
    <w:p w14:paraId="09555C59"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5.2 制度层面：完善法律规制与标准体系</w:t>
      </w:r>
    </w:p>
    <w:p w14:paraId="2AC46E8B" w14:textId="75B51C73"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lastRenderedPageBreak/>
        <w:t>技术治理需要坚实的制度保障</w:t>
      </w:r>
      <w:r w:rsidR="00E222DD">
        <w:rPr>
          <w:rFonts w:ascii="宋体" w:eastAsia="宋体" w:hAnsi="宋体" w:hint="eastAsia"/>
          <w:sz w:val="24"/>
          <w:szCs w:val="24"/>
        </w:rPr>
        <w:t>[3]</w:t>
      </w:r>
      <w:r w:rsidRPr="00781F45">
        <w:rPr>
          <w:rFonts w:ascii="宋体" w:eastAsia="宋体" w:hAnsi="宋体"/>
          <w:sz w:val="24"/>
          <w:szCs w:val="24"/>
        </w:rPr>
        <w:t>。当前，AI治理的法律法规存在滞后性，亟需构建敏捷、有效的规制体系。首要任务是明确法律责任归属，建立以“风险为基础”的问责框架。对于高风险AI应用，应明确开发者、部署者、使用者在不同环节的责任，特别是要强化最终部署应用机构的主体责任。其次，应建立分级分类的监管体系。根据AI应用的社会风险程度（如从不可接受的高风险到低风险）进行划分，对不同级别采取从严格禁止到轻度备案的差异化监管策略，从而实现精准治理，避免“一刀切”扼杀创新。同时，加快制定关于数据质量、算法公平、安全认证的国家与行业标准</w:t>
      </w:r>
      <w:r w:rsidR="00E222DD">
        <w:rPr>
          <w:rFonts w:ascii="宋体" w:eastAsia="宋体" w:hAnsi="宋体" w:hint="eastAsia"/>
          <w:sz w:val="24"/>
          <w:szCs w:val="24"/>
        </w:rPr>
        <w:t>[5]</w:t>
      </w:r>
      <w:r w:rsidRPr="00781F45">
        <w:rPr>
          <w:rFonts w:ascii="宋体" w:eastAsia="宋体" w:hAnsi="宋体"/>
          <w:sz w:val="24"/>
          <w:szCs w:val="24"/>
        </w:rPr>
        <w:t>，为企业的技术研发和政府的监管执法提供清晰、统一的规范指引。</w:t>
      </w:r>
    </w:p>
    <w:p w14:paraId="4CD1846A"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5.3 社会层面：强化公众参与与伦理教育</w:t>
      </w:r>
    </w:p>
    <w:p w14:paraId="1CD1C002" w14:textId="240C8671"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良治离不开广泛的社会共识与公众参与</w:t>
      </w:r>
      <w:r w:rsidR="00E222DD">
        <w:rPr>
          <w:rFonts w:ascii="宋体" w:eastAsia="宋体" w:hAnsi="宋体" w:hint="eastAsia"/>
          <w:sz w:val="24"/>
          <w:szCs w:val="24"/>
        </w:rPr>
        <w:t>[10]</w:t>
      </w:r>
      <w:r w:rsidRPr="00781F45">
        <w:rPr>
          <w:rFonts w:ascii="宋体" w:eastAsia="宋体" w:hAnsi="宋体"/>
          <w:sz w:val="24"/>
          <w:szCs w:val="24"/>
        </w:rPr>
        <w:t>。面对AI的技术复杂性，必须着力缩小“算法鸿沟”，构建包容的治理生态。一方面，要大力开展公众算法素养教育，通过媒体、学校、社区等多种渠道，提升公民对AI的基本认知、风险意识和权利观念，使其有能力对算法决策提出质疑和申诉。另一方面，需建立多元、透明的公众参与渠道。在制定重要的AI治理规则或评估重大AI项目时，应引入公众听证、伦理审查委员会等机制，吸纳技术专家、伦理学家、法律人士、社会组织和普通民众的共同参与，确保决策兼顾多方利益。此外，应鼓励发展独立的社会监督力量，如非营利性算法审计机构，形成对政府和企业的有效外部制衡</w:t>
      </w:r>
      <w:r w:rsidR="00E222DD">
        <w:rPr>
          <w:rFonts w:ascii="宋体" w:eastAsia="宋体" w:hAnsi="宋体" w:hint="eastAsia"/>
          <w:sz w:val="24"/>
          <w:szCs w:val="24"/>
        </w:rPr>
        <w:t>[2]</w:t>
      </w:r>
      <w:r w:rsidRPr="00781F45">
        <w:rPr>
          <w:rFonts w:ascii="宋体" w:eastAsia="宋体" w:hAnsi="宋体"/>
          <w:sz w:val="24"/>
          <w:szCs w:val="24"/>
        </w:rPr>
        <w:t>。</w:t>
      </w:r>
    </w:p>
    <w:p w14:paraId="35BFDCFA"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5.4 综合治理框架展望</w:t>
      </w:r>
    </w:p>
    <w:p w14:paraId="1C8D2AE7" w14:textId="35DAD391"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技术、制度与社会三者并非孤立，而是相互依存、相互促进的有机整体</w:t>
      </w:r>
      <w:r w:rsidR="00E222DD">
        <w:rPr>
          <w:rFonts w:ascii="宋体" w:eastAsia="宋体" w:hAnsi="宋体" w:hint="eastAsia"/>
          <w:sz w:val="24"/>
          <w:szCs w:val="24"/>
        </w:rPr>
        <w:t>[9]</w:t>
      </w:r>
      <w:r w:rsidRPr="00781F45">
        <w:rPr>
          <w:rFonts w:ascii="宋体" w:eastAsia="宋体" w:hAnsi="宋体"/>
          <w:sz w:val="24"/>
          <w:szCs w:val="24"/>
        </w:rPr>
        <w:t>。技术工具为伦理规制提供了可行性；法律制度为技术发展划定了边界和底线；社会共识与监督则为制度和技术的运行提供了合法性与持续改进的动力。一个有效的综合治理框架，意味着在AI系统的立项、研发、部署、运营和退役的全过程中，这三个维度的措施能够协同发力。</w:t>
      </w:r>
    </w:p>
    <w:p w14:paraId="6EB3AFB7"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将这一协同治理模型应用于优化如社会信用体系等具体场景，意味着：在技术上，需提升评分模型的透明度和可解释性，并建立偏见纠偏机制；在制度上，需通过立法明确信用数据的采集边界、失信行为的认定标准和惩戒措施的 proportionality（相称性），并设立独立的申诉与救济程序；在社会层面，则需公开征询评分规则意见，普及信用体系相关知识，鼓励公众和媒体进行监督。唯有通过这种技术赋能、制度规范与社会协同的合力，才能引导人工智能穿越复杂的伦理险滩，最终走向一条真正负责任、可持续且造福于所有社会成员的发展道路。</w:t>
      </w:r>
    </w:p>
    <w:p w14:paraId="277189D5" w14:textId="77777777" w:rsidR="00781F45" w:rsidRPr="00781F45" w:rsidRDefault="00781F45" w:rsidP="00781F45">
      <w:pPr>
        <w:snapToGrid w:val="0"/>
        <w:spacing w:line="300" w:lineRule="auto"/>
        <w:rPr>
          <w:rFonts w:ascii="黑体" w:eastAsia="黑体" w:hAnsi="黑体" w:hint="eastAsia"/>
          <w:b/>
          <w:bCs/>
          <w:sz w:val="28"/>
          <w:szCs w:val="28"/>
        </w:rPr>
      </w:pPr>
      <w:r w:rsidRPr="00781F45">
        <w:rPr>
          <w:rFonts w:ascii="黑体" w:eastAsia="黑体" w:hAnsi="黑体"/>
          <w:b/>
          <w:bCs/>
          <w:sz w:val="28"/>
          <w:szCs w:val="28"/>
        </w:rPr>
        <w:t>第六章：结论</w:t>
      </w:r>
    </w:p>
    <w:p w14:paraId="07C7C3A6"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6.1 研究主要结论总结</w:t>
      </w:r>
    </w:p>
    <w:p w14:paraId="15A978A5"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本研究围绕人工智能决策系统的伦理困境与治理路径展开系统研究。首先，通过</w:t>
      </w:r>
      <w:r w:rsidRPr="00781F45">
        <w:rPr>
          <w:rFonts w:ascii="宋体" w:eastAsia="宋体" w:hAnsi="宋体"/>
          <w:sz w:val="24"/>
          <w:szCs w:val="24"/>
        </w:rPr>
        <w:lastRenderedPageBreak/>
        <w:t>理论分析揭示了算法偏见、责任模糊、隐私侵蚀和透明度缺失四大核心伦理困境，指出其根源在于技术理性与社会价值之间的深层张力。随后，以社会信用体系为典型案例，深入剖析了这些伦理困境在具体实践中的表现形态及社会影响，验证了理论分析的有效性。</w:t>
      </w:r>
    </w:p>
    <w:p w14:paraId="21861468"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研究发现，人工智能伦理问题具有系统性和关联性特征，单一维度的治理难以奏效。技术层面的算法黑箱需要制度层面的监管保障，而制度效力的发挥又依赖于社会层面的共识形成。社会信用体系的实践表明，缺乏伦理约束的技术应用可能带来行为引导异化、权利保障不足等社会风险。</w:t>
      </w:r>
    </w:p>
    <w:p w14:paraId="2FC991AE"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本研究提出的技术-制度-社会协同治理框架，强调通过可解释AI等技术手段增强系统可控性，通过分级监管等制度设计明确责任边界，通过公众参与等社会机制形成治理合力。这一综合治理思路为破解人工智能伦理困境提供了系统性解决方案。</w:t>
      </w:r>
    </w:p>
    <w:p w14:paraId="62E68704"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6.2 研究的局限性</w:t>
      </w:r>
    </w:p>
    <w:p w14:paraId="40D6973E"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本研究存在以下局限性：首先，案例分析主要聚焦社会信用体系，虽然具有较强的代表性，但不同应用场景的伦理问题存在差异性，研究结论的普适性有待进一步验证。其次，提出的治理建议具有一定前瞻性，其实际可行性需要结合更多实践案例进行验证。此外，研究主要关注治理框架的构建，对具体实施路径和效果评估机制的探讨尚不够深入。最后，人工智能技术发展迅速，新的伦理挑战不断涌现，研究的前瞻性可能受到技术迭代的影响。</w:t>
      </w:r>
    </w:p>
    <w:p w14:paraId="037509DB" w14:textId="77777777" w:rsidR="00781F45" w:rsidRPr="00781F45" w:rsidRDefault="00781F45" w:rsidP="00781F45">
      <w:pPr>
        <w:snapToGrid w:val="0"/>
        <w:spacing w:line="300" w:lineRule="auto"/>
        <w:rPr>
          <w:rFonts w:ascii="宋体" w:eastAsia="宋体" w:hAnsi="宋体" w:hint="eastAsia"/>
          <w:b/>
          <w:bCs/>
          <w:sz w:val="24"/>
          <w:szCs w:val="24"/>
        </w:rPr>
      </w:pPr>
      <w:r w:rsidRPr="00781F45">
        <w:rPr>
          <w:rFonts w:ascii="宋体" w:eastAsia="宋体" w:hAnsi="宋体"/>
          <w:b/>
          <w:bCs/>
          <w:sz w:val="24"/>
          <w:szCs w:val="24"/>
        </w:rPr>
        <w:t>6.3 未来研究展望</w:t>
      </w:r>
    </w:p>
    <w:p w14:paraId="3C07D25A"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未来研究可从以下几个方向深入：一是开展分行业、分场景的精细化研究，针对医疗、金融、司法等特定领域制定差异化的伦理标准和治理方案；二是加强人工智能治理的跨国比较研究，探索全球治理合作的可行路径；三是关注新兴技术（如生成式人工智能）带来的新型伦理挑战，提前布局治理研究；四是推动产学研协同，加强治理方案的可操作性和实效性评估。此外，人工智能伦理教育、公民数字素养提升等社会基础性工作也值得深入研究。</w:t>
      </w:r>
    </w:p>
    <w:p w14:paraId="308CADFF" w14:textId="77777777" w:rsidR="00781F45" w:rsidRPr="00781F45" w:rsidRDefault="00781F45" w:rsidP="00781F45">
      <w:pPr>
        <w:snapToGrid w:val="0"/>
        <w:spacing w:line="300" w:lineRule="auto"/>
        <w:rPr>
          <w:rFonts w:ascii="黑体" w:eastAsia="黑体" w:hAnsi="黑体" w:hint="eastAsia"/>
          <w:b/>
          <w:bCs/>
          <w:sz w:val="28"/>
          <w:szCs w:val="28"/>
        </w:rPr>
      </w:pPr>
      <w:r w:rsidRPr="00781F45">
        <w:rPr>
          <w:rFonts w:ascii="黑体" w:eastAsia="黑体" w:hAnsi="黑体"/>
          <w:b/>
          <w:bCs/>
          <w:sz w:val="28"/>
          <w:szCs w:val="28"/>
        </w:rPr>
        <w:t>参考文献</w:t>
      </w:r>
    </w:p>
    <w:p w14:paraId="54B61723"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[1] 段伟文. 算法的伦理：从规范性框架到嵌入性治理[J]. 探索与争鸣， 2018(5): 10-15.</w:t>
      </w:r>
    </w:p>
    <w:p w14:paraId="68A285D6"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[2] 张欣. 算法歧视的综合治理框架研究[J]. 法制与社会发展， 2019(5): 120-136.</w:t>
      </w:r>
    </w:p>
    <w:p w14:paraId="3DF540B4"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[3] 马长山. 智慧社会的治理难题及其法律应对[J]. 中国法学， 2020(4): 15-35.</w:t>
      </w:r>
    </w:p>
    <w:p w14:paraId="04C00AB1"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[4] 郑戈. 人工智能与法律的未来[J]. 交大法学， 2018(1): 5-20.</w:t>
      </w:r>
    </w:p>
    <w:p w14:paraId="5666DED9"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[5] 王融. 论数字时代的隐私权保护[J]. 中国社会科学， 2019(7): 80-100.</w:t>
      </w:r>
    </w:p>
    <w:p w14:paraId="43800DAA"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lastRenderedPageBreak/>
        <w:t>[6] 许多奇. 金融科技数据治理的法律规制[J]. 法学研究， 2020(2): 50-68.</w:t>
      </w:r>
    </w:p>
    <w:p w14:paraId="2298FCA4"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[7] 翟振武， 刘爽. 中国社会信用体系建设的理论与实践[J]. 管理世界， 2017(10): 1-12.</w:t>
      </w:r>
    </w:p>
    <w:p w14:paraId="6220D6CC"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[8] 李斯特. “社会信用”系统的伦理风险[J]. 二十一世纪， 2019(6): 25-40.</w:t>
      </w:r>
    </w:p>
    <w:p w14:paraId="20DD4B4B"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[9] 陈吉栋. 人工智能治理的原则、模式与路径[J]. 东方法学， 2021(3): 45-60.</w:t>
      </w:r>
    </w:p>
    <w:p w14:paraId="649E4766"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[10] 贾开， 郭雨晖. 人工智能伦理与治理：从原则到实践[J]. 公共行政评论， 2020(4): 78-95.</w:t>
      </w:r>
    </w:p>
    <w:p w14:paraId="2725F504" w14:textId="77777777" w:rsidR="00781F45" w:rsidRPr="00781F45" w:rsidRDefault="00781F45" w:rsidP="00781F45">
      <w:pPr>
        <w:snapToGrid w:val="0"/>
        <w:spacing w:line="300" w:lineRule="auto"/>
        <w:rPr>
          <w:rFonts w:ascii="宋体" w:eastAsia="宋体" w:hAnsi="宋体" w:hint="eastAsia"/>
          <w:sz w:val="24"/>
          <w:szCs w:val="24"/>
        </w:rPr>
      </w:pPr>
      <w:r w:rsidRPr="00781F45">
        <w:rPr>
          <w:rFonts w:ascii="宋体" w:eastAsia="宋体" w:hAnsi="宋体"/>
          <w:sz w:val="24"/>
          <w:szCs w:val="24"/>
        </w:rPr>
        <w:t>[11] 刘益灯， 陈娟. 人工智能伦理准则的国际比较与中国路径[J]. 伦理学研究， 2021(2): 88-95.</w:t>
      </w:r>
    </w:p>
    <w:p w14:paraId="43C571BC" w14:textId="3721947E" w:rsidR="00CB72BC" w:rsidRPr="00E04E75" w:rsidRDefault="00781F45" w:rsidP="00CB72BC">
      <w:pPr>
        <w:snapToGrid w:val="0"/>
        <w:spacing w:line="300" w:lineRule="auto"/>
        <w:rPr>
          <w:rFonts w:ascii="宋体" w:eastAsia="宋体" w:hAnsi="宋体" w:hint="eastAsia"/>
          <w:sz w:val="24"/>
          <w:szCs w:val="24"/>
        </w:rPr>
      </w:pPr>
      <w:r w:rsidRPr="00781F45">
        <w:rPr>
          <w:rFonts w:ascii="宋体" w:eastAsia="宋体" w:hAnsi="宋体"/>
          <w:sz w:val="24"/>
          <w:szCs w:val="24"/>
        </w:rPr>
        <w:t xml:space="preserve">[12] Mittelstadt, B. D., Allo, P., Taddeo, M., Wachter, S., &amp; Floridi, L. (2016). The ethics of algorithms: Mapping the debate. </w:t>
      </w:r>
      <w:r w:rsidRPr="00781F45">
        <w:rPr>
          <w:rFonts w:ascii="宋体" w:eastAsia="宋体" w:hAnsi="宋体"/>
          <w:i/>
          <w:iCs/>
          <w:sz w:val="24"/>
          <w:szCs w:val="24"/>
        </w:rPr>
        <w:t>Big Data &amp; Society</w:t>
      </w:r>
      <w:r w:rsidRPr="00781F45">
        <w:rPr>
          <w:rFonts w:ascii="宋体" w:eastAsia="宋体" w:hAnsi="宋体"/>
          <w:sz w:val="24"/>
          <w:szCs w:val="24"/>
        </w:rPr>
        <w:t>, 3(2), 1-21.</w:t>
      </w:r>
    </w:p>
    <w:p w14:paraId="5A75FD30" w14:textId="134684D6" w:rsidR="00E222DD" w:rsidRDefault="00E04E75" w:rsidP="0055472C">
      <w:pPr>
        <w:spacing w:beforeLines="50" w:before="156" w:afterLines="50" w:after="156" w:line="360" w:lineRule="auto"/>
        <w:ind w:firstLineChars="300" w:firstLine="960"/>
        <w:jc w:val="center"/>
        <w:rPr>
          <w:rFonts w:ascii="黑体" w:eastAsia="黑体" w:hAnsi="黑体" w:cs="黑体" w:hint="eastAsia"/>
          <w:bCs/>
          <w:sz w:val="32"/>
          <w:szCs w:val="32"/>
        </w:rPr>
      </w:pPr>
      <w:r>
        <w:rPr>
          <w:rFonts w:ascii="黑体" w:eastAsia="黑体" w:hAnsi="黑体" w:cs="黑体" w:hint="eastAsia"/>
          <w:bCs/>
          <w:noProof/>
          <w:sz w:val="32"/>
          <w:szCs w:val="32"/>
        </w:rPr>
        <w:drawing>
          <wp:inline distT="0" distB="0" distL="0" distR="0" wp14:anchorId="2482D29A" wp14:editId="25C0F5F5">
            <wp:extent cx="5097780" cy="5204460"/>
            <wp:effectExtent l="0" t="0" r="7620" b="0"/>
            <wp:docPr id="123102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7780" cy="5204460"/>
                    </a:xfrm>
                    <a:prstGeom prst="rect">
                      <a:avLst/>
                    </a:prstGeom>
                    <a:noFill/>
                    <a:ln>
                      <a:noFill/>
                    </a:ln>
                  </pic:spPr>
                </pic:pic>
              </a:graphicData>
            </a:graphic>
          </wp:inline>
        </w:drawing>
      </w:r>
    </w:p>
    <w:p w14:paraId="0C8C4F12" w14:textId="4968EE9F" w:rsidR="0016082E"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16082E" w14:paraId="7350D529"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7DC22DC5" w14:textId="77777777" w:rsidR="0016082E"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1D62D34C" w14:textId="4DC1DE28" w:rsidR="0016082E" w:rsidRDefault="00E04E75">
            <w:pPr>
              <w:tabs>
                <w:tab w:val="left" w:pos="6870"/>
              </w:tabs>
              <w:jc w:val="center"/>
              <w:rPr>
                <w:rFonts w:ascii="仿宋" w:eastAsia="仿宋" w:hAnsi="仿宋" w:hint="eastAsia"/>
                <w:color w:val="FF0000"/>
              </w:rPr>
            </w:pPr>
            <w:r w:rsidRPr="00E04E75">
              <w:rPr>
                <w:rFonts w:ascii="仿宋" w:eastAsia="仿宋" w:hAnsi="仿宋" w:hint="eastAsia"/>
              </w:rPr>
              <w:t>人工智能决策系统的伦理困境与治理路径研究——以社会信用体系为例</w:t>
            </w:r>
            <w:r>
              <w:rPr>
                <w:rFonts w:ascii="仿宋" w:eastAsia="仿宋" w:hAnsi="仿宋" w:hint="eastAsia"/>
              </w:rPr>
              <w:t xml:space="preserve"> </w:t>
            </w:r>
          </w:p>
        </w:tc>
      </w:tr>
      <w:tr w:rsidR="0016082E" w14:paraId="3184D895"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7F0E7BD4" w14:textId="77777777" w:rsidR="0016082E"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69B1709F" w14:textId="3E2AC135" w:rsidR="0016082E" w:rsidRDefault="00000000">
            <w:pPr>
              <w:tabs>
                <w:tab w:val="left" w:pos="6870"/>
              </w:tabs>
              <w:jc w:val="center"/>
              <w:rPr>
                <w:rFonts w:ascii="仿宋" w:eastAsia="仿宋" w:hAnsi="仿宋" w:hint="eastAsia"/>
              </w:rPr>
            </w:pPr>
            <w:r>
              <w:rPr>
                <w:rFonts w:ascii="仿宋" w:eastAsia="仿宋" w:hAnsi="仿宋" w:hint="eastAsia"/>
              </w:rPr>
              <w:t xml:space="preserve"> </w:t>
            </w:r>
            <w:r w:rsidR="007376D8">
              <w:rPr>
                <w:rFonts w:ascii="仿宋" w:eastAsia="仿宋" w:hAnsi="仿宋" w:hint="eastAsia"/>
              </w:rPr>
              <w:t>胡俊坤</w:t>
            </w:r>
          </w:p>
        </w:tc>
        <w:tc>
          <w:tcPr>
            <w:tcW w:w="1178" w:type="dxa"/>
            <w:tcBorders>
              <w:top w:val="single" w:sz="4" w:space="0" w:color="auto"/>
              <w:left w:val="single" w:sz="4" w:space="0" w:color="auto"/>
              <w:bottom w:val="single" w:sz="4" w:space="0" w:color="auto"/>
              <w:right w:val="single" w:sz="4" w:space="0" w:color="auto"/>
            </w:tcBorders>
            <w:vAlign w:val="center"/>
          </w:tcPr>
          <w:p w14:paraId="573A604C" w14:textId="77777777" w:rsidR="0016082E"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758D29F5" w14:textId="5DD9D939" w:rsidR="0016082E" w:rsidRDefault="00000000">
            <w:pPr>
              <w:tabs>
                <w:tab w:val="left" w:pos="6870"/>
              </w:tabs>
              <w:jc w:val="center"/>
              <w:rPr>
                <w:rFonts w:ascii="仿宋" w:eastAsia="仿宋" w:hAnsi="仿宋" w:hint="eastAsia"/>
              </w:rPr>
            </w:pPr>
            <w:r>
              <w:rPr>
                <w:rFonts w:ascii="仿宋" w:eastAsia="仿宋" w:hAnsi="仿宋"/>
              </w:rPr>
              <w:t xml:space="preserve"> </w:t>
            </w:r>
            <w:r w:rsidR="007376D8">
              <w:rPr>
                <w:rFonts w:ascii="仿宋" w:eastAsia="仿宋" w:hAnsi="仿宋" w:hint="eastAsia"/>
              </w:rPr>
              <w:t>B22040823</w:t>
            </w: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438FA0DA" w14:textId="77777777" w:rsidR="0016082E"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781AA6FB" w14:textId="39C0E7B1" w:rsidR="0016082E" w:rsidRDefault="007376D8">
            <w:pPr>
              <w:tabs>
                <w:tab w:val="left" w:pos="6870"/>
              </w:tabs>
              <w:jc w:val="center"/>
              <w:rPr>
                <w:rFonts w:ascii="仿宋" w:eastAsia="仿宋" w:hAnsi="仿宋" w:hint="eastAsia"/>
                <w:color w:val="FF0000"/>
              </w:rPr>
            </w:pPr>
            <w:r>
              <w:rPr>
                <w:rFonts w:ascii="仿宋" w:eastAsia="仿宋" w:hAnsi="仿宋" w:hint="eastAsia"/>
              </w:rPr>
              <w:t xml:space="preserve">计算机科学与技术 </w:t>
            </w:r>
          </w:p>
        </w:tc>
      </w:tr>
      <w:tr w:rsidR="0016082E" w14:paraId="764CFA23"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50758719" w14:textId="77777777" w:rsidR="0016082E"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47CCA20C" w14:textId="77777777" w:rsidR="0016082E"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107189A5" w14:textId="77777777" w:rsidR="0016082E"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6EBA25E7" w14:textId="77777777" w:rsidR="0016082E"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16082E" w14:paraId="7D662AC4"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2250E39" w14:textId="77777777" w:rsidR="0016082E"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29F5DC6" w14:textId="77777777" w:rsidR="0016082E"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16DD5033" w14:textId="77777777" w:rsidR="0016082E"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435A61C9" w14:textId="77777777" w:rsidR="0016082E"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16082E" w14:paraId="279113BF"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53839DBC" w14:textId="77777777" w:rsidR="0016082E"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B470AF0" w14:textId="77777777" w:rsidR="0016082E"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6F7B8AA0" w14:textId="77777777" w:rsidR="0016082E"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71821CA0" w14:textId="77777777" w:rsidR="0016082E"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16082E" w14:paraId="5B8D0736"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03AF5657" w14:textId="77777777" w:rsidR="0016082E"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88FF3CF" w14:textId="77777777" w:rsidR="0016082E"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458952D8" w14:textId="77777777" w:rsidR="0016082E"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403C120B" w14:textId="77777777" w:rsidR="0016082E"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16082E" w14:paraId="51A01265"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C5A8CF1" w14:textId="77777777" w:rsidR="0016082E"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48DDC9B9" w14:textId="77777777" w:rsidR="0016082E"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7F90A5AE" w14:textId="77777777" w:rsidR="0016082E"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6B30FE7E" w14:textId="77777777" w:rsidR="0016082E"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16082E" w14:paraId="457E21C4"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04EE98D1" w14:textId="77777777" w:rsidR="0016082E"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0694186" w14:textId="77777777" w:rsidR="0016082E"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710382F9" w14:textId="77777777" w:rsidR="0016082E"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2EC48DBC" w14:textId="77777777" w:rsidR="0016082E"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16082E" w14:paraId="73F5FFCC"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2E22616" w14:textId="77777777" w:rsidR="0016082E"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8DBD138" w14:textId="77777777" w:rsidR="0016082E" w:rsidRDefault="0016082E">
            <w:pPr>
              <w:tabs>
                <w:tab w:val="left" w:pos="6870"/>
              </w:tabs>
              <w:rPr>
                <w:rFonts w:ascii="仿宋" w:eastAsia="仿宋" w:hAnsi="仿宋" w:hint="eastAsia"/>
                <w:color w:val="000000"/>
              </w:rPr>
            </w:pPr>
          </w:p>
        </w:tc>
      </w:tr>
      <w:tr w:rsidR="0016082E" w14:paraId="6D99A94D"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3F6326A0" w14:textId="77777777" w:rsidR="0016082E" w:rsidRDefault="0016082E">
            <w:pPr>
              <w:tabs>
                <w:tab w:val="left" w:pos="6870"/>
              </w:tabs>
              <w:jc w:val="center"/>
              <w:rPr>
                <w:rFonts w:ascii="黑体" w:eastAsia="黑体" w:hAnsi="黑体" w:hint="eastAsia"/>
              </w:rPr>
            </w:pPr>
          </w:p>
          <w:p w14:paraId="59CDA928" w14:textId="77777777" w:rsidR="0016082E" w:rsidRDefault="0016082E">
            <w:pPr>
              <w:tabs>
                <w:tab w:val="left" w:pos="6870"/>
              </w:tabs>
              <w:jc w:val="center"/>
              <w:rPr>
                <w:rFonts w:ascii="黑体" w:eastAsia="黑体" w:hAnsi="黑体" w:hint="eastAsia"/>
              </w:rPr>
            </w:pPr>
          </w:p>
          <w:p w14:paraId="41DF45FD" w14:textId="77777777" w:rsidR="0016082E" w:rsidRDefault="0016082E">
            <w:pPr>
              <w:tabs>
                <w:tab w:val="left" w:pos="6870"/>
              </w:tabs>
              <w:jc w:val="center"/>
              <w:rPr>
                <w:rFonts w:ascii="黑体" w:eastAsia="黑体" w:hAnsi="黑体" w:hint="eastAsia"/>
              </w:rPr>
            </w:pPr>
          </w:p>
          <w:p w14:paraId="2D8CC850" w14:textId="77777777" w:rsidR="0016082E" w:rsidRDefault="0016082E">
            <w:pPr>
              <w:tabs>
                <w:tab w:val="left" w:pos="6870"/>
              </w:tabs>
              <w:jc w:val="center"/>
              <w:rPr>
                <w:rFonts w:ascii="黑体" w:eastAsia="黑体" w:hAnsi="黑体" w:hint="eastAsia"/>
              </w:rPr>
            </w:pPr>
          </w:p>
          <w:p w14:paraId="0CED70E5" w14:textId="77777777" w:rsidR="0016082E" w:rsidRDefault="0016082E">
            <w:pPr>
              <w:tabs>
                <w:tab w:val="left" w:pos="6870"/>
              </w:tabs>
              <w:jc w:val="center"/>
              <w:rPr>
                <w:rFonts w:ascii="黑体" w:eastAsia="黑体" w:hAnsi="黑体" w:hint="eastAsia"/>
              </w:rPr>
            </w:pPr>
          </w:p>
          <w:p w14:paraId="0C10ADC7" w14:textId="77777777" w:rsidR="0016082E" w:rsidRDefault="0016082E">
            <w:pPr>
              <w:tabs>
                <w:tab w:val="left" w:pos="6870"/>
              </w:tabs>
              <w:jc w:val="center"/>
              <w:rPr>
                <w:rFonts w:ascii="黑体" w:eastAsia="黑体" w:hAnsi="黑体" w:hint="eastAsia"/>
              </w:rPr>
            </w:pPr>
          </w:p>
          <w:p w14:paraId="76E761B0" w14:textId="77777777" w:rsidR="0016082E" w:rsidRDefault="00000000">
            <w:pPr>
              <w:tabs>
                <w:tab w:val="left" w:pos="6870"/>
              </w:tabs>
              <w:jc w:val="center"/>
              <w:rPr>
                <w:rFonts w:ascii="黑体" w:eastAsia="黑体" w:hAnsi="黑体" w:hint="eastAsia"/>
              </w:rPr>
            </w:pPr>
            <w:r>
              <w:rPr>
                <w:rFonts w:ascii="黑体" w:eastAsia="黑体" w:hAnsi="黑体" w:hint="eastAsia"/>
              </w:rPr>
              <w:t>任课教师</w:t>
            </w:r>
          </w:p>
          <w:p w14:paraId="259B9832" w14:textId="77777777" w:rsidR="0016082E" w:rsidRDefault="00000000">
            <w:pPr>
              <w:tabs>
                <w:tab w:val="left" w:pos="6870"/>
              </w:tabs>
              <w:jc w:val="center"/>
              <w:rPr>
                <w:rFonts w:ascii="黑体" w:eastAsia="黑体" w:hAnsi="黑体" w:hint="eastAsia"/>
              </w:rPr>
            </w:pPr>
            <w:r>
              <w:rPr>
                <w:rFonts w:ascii="黑体" w:eastAsia="黑体" w:hAnsi="黑体" w:hint="eastAsia"/>
              </w:rPr>
              <w:t>评阅意见</w:t>
            </w:r>
          </w:p>
          <w:p w14:paraId="5D2A885C" w14:textId="77777777" w:rsidR="0016082E" w:rsidRDefault="0016082E">
            <w:pPr>
              <w:rPr>
                <w:rFonts w:ascii="黑体" w:eastAsia="黑体" w:hAnsi="黑体" w:hint="eastAsia"/>
              </w:rPr>
            </w:pPr>
          </w:p>
          <w:p w14:paraId="43BE153A" w14:textId="77777777" w:rsidR="0016082E" w:rsidRDefault="0016082E">
            <w:pPr>
              <w:rPr>
                <w:rFonts w:ascii="黑体" w:eastAsia="黑体" w:hAnsi="黑体" w:hint="eastAsia"/>
              </w:rPr>
            </w:pPr>
          </w:p>
          <w:p w14:paraId="6E4129CF" w14:textId="77777777" w:rsidR="0016082E" w:rsidRDefault="0016082E">
            <w:pPr>
              <w:rPr>
                <w:rFonts w:ascii="黑体" w:eastAsia="黑体" w:hAnsi="黑体" w:hint="eastAsia"/>
              </w:rPr>
            </w:pPr>
          </w:p>
          <w:p w14:paraId="54EDDEF0" w14:textId="77777777" w:rsidR="0016082E" w:rsidRDefault="0016082E">
            <w:pPr>
              <w:rPr>
                <w:rFonts w:ascii="黑体" w:eastAsia="黑体" w:hAnsi="黑体" w:hint="eastAsia"/>
              </w:rPr>
            </w:pPr>
          </w:p>
          <w:p w14:paraId="448E7707" w14:textId="77777777" w:rsidR="0016082E" w:rsidRDefault="0016082E">
            <w:pPr>
              <w:rPr>
                <w:rFonts w:ascii="黑体" w:eastAsia="黑体" w:hAnsi="黑体" w:hint="eastAsia"/>
              </w:rPr>
            </w:pPr>
          </w:p>
          <w:p w14:paraId="28791937" w14:textId="77777777" w:rsidR="0016082E" w:rsidRDefault="0016082E">
            <w:pPr>
              <w:rPr>
                <w:rFonts w:ascii="黑体" w:eastAsia="黑体" w:hAnsi="黑体" w:hint="eastAsia"/>
              </w:rPr>
            </w:pPr>
          </w:p>
          <w:p w14:paraId="48C92C5F" w14:textId="77777777" w:rsidR="0016082E" w:rsidRDefault="0016082E">
            <w:pPr>
              <w:rPr>
                <w:rFonts w:ascii="黑体" w:eastAsia="黑体" w:hAnsi="黑体" w:hint="eastAsia"/>
              </w:rPr>
            </w:pPr>
          </w:p>
          <w:p w14:paraId="68B806BC" w14:textId="77777777" w:rsidR="0016082E" w:rsidRDefault="0016082E">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76E74C69" w14:textId="77777777" w:rsidR="0016082E" w:rsidRDefault="0016082E">
            <w:pPr>
              <w:tabs>
                <w:tab w:val="left" w:pos="6870"/>
              </w:tabs>
              <w:jc w:val="center"/>
              <w:rPr>
                <w:rFonts w:ascii="仿宋" w:eastAsia="仿宋" w:hAnsi="仿宋" w:hint="eastAsia"/>
                <w:color w:val="000000"/>
              </w:rPr>
            </w:pPr>
          </w:p>
          <w:p w14:paraId="226B4A7D" w14:textId="77777777" w:rsidR="0016082E" w:rsidRDefault="0016082E">
            <w:pPr>
              <w:tabs>
                <w:tab w:val="left" w:pos="6870"/>
              </w:tabs>
              <w:jc w:val="center"/>
              <w:rPr>
                <w:rFonts w:ascii="仿宋" w:eastAsia="仿宋" w:hAnsi="仿宋" w:hint="eastAsia"/>
                <w:color w:val="000000"/>
              </w:rPr>
            </w:pPr>
          </w:p>
          <w:p w14:paraId="09155815" w14:textId="77777777" w:rsidR="0016082E" w:rsidRDefault="0016082E">
            <w:pPr>
              <w:tabs>
                <w:tab w:val="left" w:pos="6870"/>
              </w:tabs>
              <w:jc w:val="center"/>
              <w:rPr>
                <w:rFonts w:ascii="仿宋" w:eastAsia="仿宋" w:hAnsi="仿宋" w:hint="eastAsia"/>
                <w:color w:val="000000"/>
              </w:rPr>
            </w:pPr>
          </w:p>
          <w:p w14:paraId="12E0D9B9" w14:textId="77777777" w:rsidR="0016082E" w:rsidRDefault="0016082E">
            <w:pPr>
              <w:tabs>
                <w:tab w:val="left" w:pos="6870"/>
              </w:tabs>
              <w:jc w:val="center"/>
              <w:rPr>
                <w:rFonts w:ascii="仿宋" w:eastAsia="仿宋" w:hAnsi="仿宋" w:hint="eastAsia"/>
                <w:color w:val="000000"/>
              </w:rPr>
            </w:pPr>
          </w:p>
          <w:p w14:paraId="570D5B9B" w14:textId="77777777" w:rsidR="0016082E" w:rsidRDefault="0016082E">
            <w:pPr>
              <w:tabs>
                <w:tab w:val="left" w:pos="6870"/>
              </w:tabs>
              <w:jc w:val="center"/>
              <w:rPr>
                <w:rFonts w:ascii="仿宋" w:eastAsia="仿宋" w:hAnsi="仿宋" w:hint="eastAsia"/>
                <w:color w:val="000000"/>
              </w:rPr>
            </w:pPr>
          </w:p>
          <w:p w14:paraId="36803B80" w14:textId="77777777" w:rsidR="0016082E" w:rsidRDefault="0016082E">
            <w:pPr>
              <w:tabs>
                <w:tab w:val="left" w:pos="6870"/>
              </w:tabs>
              <w:jc w:val="center"/>
              <w:rPr>
                <w:rFonts w:ascii="仿宋" w:eastAsia="仿宋" w:hAnsi="仿宋" w:hint="eastAsia"/>
                <w:color w:val="000000"/>
              </w:rPr>
            </w:pPr>
          </w:p>
          <w:p w14:paraId="70777071" w14:textId="77777777" w:rsidR="0016082E" w:rsidRDefault="0016082E">
            <w:pPr>
              <w:tabs>
                <w:tab w:val="left" w:pos="6870"/>
              </w:tabs>
              <w:jc w:val="center"/>
              <w:rPr>
                <w:rFonts w:ascii="仿宋" w:eastAsia="仿宋" w:hAnsi="仿宋" w:hint="eastAsia"/>
                <w:color w:val="000000"/>
              </w:rPr>
            </w:pPr>
          </w:p>
          <w:p w14:paraId="3121A22D" w14:textId="77777777" w:rsidR="0016082E" w:rsidRDefault="0016082E">
            <w:pPr>
              <w:tabs>
                <w:tab w:val="left" w:pos="6870"/>
              </w:tabs>
              <w:jc w:val="center"/>
              <w:rPr>
                <w:rFonts w:ascii="仿宋" w:eastAsia="仿宋" w:hAnsi="仿宋" w:hint="eastAsia"/>
                <w:color w:val="000000"/>
              </w:rPr>
            </w:pPr>
          </w:p>
          <w:p w14:paraId="72576D63" w14:textId="77777777" w:rsidR="0016082E" w:rsidRDefault="0016082E">
            <w:pPr>
              <w:tabs>
                <w:tab w:val="left" w:pos="6870"/>
              </w:tabs>
              <w:jc w:val="center"/>
              <w:rPr>
                <w:rFonts w:ascii="仿宋" w:eastAsia="仿宋" w:hAnsi="仿宋" w:hint="eastAsia"/>
                <w:color w:val="000000"/>
              </w:rPr>
            </w:pPr>
          </w:p>
          <w:p w14:paraId="1F0C7563" w14:textId="77777777" w:rsidR="0016082E" w:rsidRDefault="0016082E">
            <w:pPr>
              <w:tabs>
                <w:tab w:val="left" w:pos="6870"/>
              </w:tabs>
              <w:rPr>
                <w:rFonts w:ascii="仿宋" w:eastAsia="仿宋" w:hAnsi="仿宋" w:hint="eastAsia"/>
                <w:color w:val="000000"/>
              </w:rPr>
            </w:pPr>
          </w:p>
          <w:p w14:paraId="3C002BB6" w14:textId="77777777" w:rsidR="0016082E" w:rsidRDefault="0016082E">
            <w:pPr>
              <w:tabs>
                <w:tab w:val="left" w:pos="6870"/>
              </w:tabs>
              <w:rPr>
                <w:rFonts w:ascii="仿宋" w:eastAsia="仿宋" w:hAnsi="仿宋" w:hint="eastAsia"/>
                <w:color w:val="000000"/>
              </w:rPr>
            </w:pPr>
          </w:p>
        </w:tc>
      </w:tr>
    </w:tbl>
    <w:p w14:paraId="1DA94288" w14:textId="7064A036" w:rsidR="00CB72BC" w:rsidRPr="00CB72BC" w:rsidRDefault="00CB72BC" w:rsidP="00CB72BC">
      <w:pPr>
        <w:snapToGrid w:val="0"/>
        <w:spacing w:line="300" w:lineRule="auto"/>
        <w:rPr>
          <w:rFonts w:ascii="黑体" w:eastAsia="黑体" w:hAnsi="黑体" w:hint="eastAsia"/>
          <w:sz w:val="28"/>
          <w:szCs w:val="28"/>
        </w:rPr>
      </w:pPr>
    </w:p>
    <w:sectPr w:rsidR="00CB72BC" w:rsidRPr="00CB72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2B6C" w14:textId="77777777" w:rsidR="00FF0A41" w:rsidRDefault="00FF0A41" w:rsidP="007376D8">
      <w:r>
        <w:separator/>
      </w:r>
    </w:p>
  </w:endnote>
  <w:endnote w:type="continuationSeparator" w:id="0">
    <w:p w14:paraId="57435118" w14:textId="77777777" w:rsidR="00FF0A41" w:rsidRDefault="00FF0A41" w:rsidP="00737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E0002AFF" w:usb1="C80E7843" w:usb2="00000019" w:usb3="00000000" w:csb0="000401FF" w:csb1="00000000"/>
  </w:font>
  <w:font w:name="仿宋">
    <w:altName w:val="方正仿宋_GBK"/>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722B" w14:textId="77777777" w:rsidR="00FF0A41" w:rsidRDefault="00FF0A41" w:rsidP="007376D8">
      <w:r>
        <w:separator/>
      </w:r>
    </w:p>
  </w:footnote>
  <w:footnote w:type="continuationSeparator" w:id="0">
    <w:p w14:paraId="1F82B04D" w14:textId="77777777" w:rsidR="00FF0A41" w:rsidRDefault="00FF0A41" w:rsidP="007376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F19"/>
    <w:multiLevelType w:val="multilevel"/>
    <w:tmpl w:val="DF2E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602F6"/>
    <w:multiLevelType w:val="multilevel"/>
    <w:tmpl w:val="8EA0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B6651D"/>
    <w:multiLevelType w:val="multilevel"/>
    <w:tmpl w:val="90E8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B62A5A"/>
    <w:multiLevelType w:val="multilevel"/>
    <w:tmpl w:val="177C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B21B2A"/>
    <w:multiLevelType w:val="multilevel"/>
    <w:tmpl w:val="AEE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681597"/>
    <w:multiLevelType w:val="multilevel"/>
    <w:tmpl w:val="E5F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6922462">
    <w:abstractNumId w:val="4"/>
  </w:num>
  <w:num w:numId="2" w16cid:durableId="2066680495">
    <w:abstractNumId w:val="1"/>
  </w:num>
  <w:num w:numId="3" w16cid:durableId="1186556856">
    <w:abstractNumId w:val="5"/>
  </w:num>
  <w:num w:numId="4" w16cid:durableId="267935338">
    <w:abstractNumId w:val="2"/>
  </w:num>
  <w:num w:numId="5" w16cid:durableId="1090853672">
    <w:abstractNumId w:val="3"/>
  </w:num>
  <w:num w:numId="6" w16cid:durableId="543952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107D9F"/>
    <w:rsid w:val="001379AD"/>
    <w:rsid w:val="0016082E"/>
    <w:rsid w:val="00317C33"/>
    <w:rsid w:val="00343534"/>
    <w:rsid w:val="00347DBC"/>
    <w:rsid w:val="00355EF0"/>
    <w:rsid w:val="003A39DE"/>
    <w:rsid w:val="0055472C"/>
    <w:rsid w:val="006E09DC"/>
    <w:rsid w:val="007376D8"/>
    <w:rsid w:val="0077161D"/>
    <w:rsid w:val="00781F45"/>
    <w:rsid w:val="007900B9"/>
    <w:rsid w:val="008726DD"/>
    <w:rsid w:val="00876CE9"/>
    <w:rsid w:val="009C6730"/>
    <w:rsid w:val="00AC5698"/>
    <w:rsid w:val="00AF031D"/>
    <w:rsid w:val="00C7028C"/>
    <w:rsid w:val="00C77A00"/>
    <w:rsid w:val="00CB72BC"/>
    <w:rsid w:val="00D40759"/>
    <w:rsid w:val="00D44649"/>
    <w:rsid w:val="00DA5A20"/>
    <w:rsid w:val="00E04E75"/>
    <w:rsid w:val="00E222DD"/>
    <w:rsid w:val="00F408C0"/>
    <w:rsid w:val="00FA4522"/>
    <w:rsid w:val="00FF0A41"/>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5568B"/>
  <w15:docId w15:val="{39C7107C-D72C-4E89-8517-F5D4A5F2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72B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376D8"/>
    <w:pPr>
      <w:tabs>
        <w:tab w:val="center" w:pos="4153"/>
        <w:tab w:val="right" w:pos="8306"/>
      </w:tabs>
      <w:snapToGrid w:val="0"/>
      <w:jc w:val="center"/>
    </w:pPr>
    <w:rPr>
      <w:sz w:val="18"/>
      <w:szCs w:val="18"/>
    </w:rPr>
  </w:style>
  <w:style w:type="character" w:customStyle="1" w:styleId="a4">
    <w:name w:val="页眉 字符"/>
    <w:basedOn w:val="a0"/>
    <w:link w:val="a3"/>
    <w:rsid w:val="007376D8"/>
    <w:rPr>
      <w:kern w:val="2"/>
      <w:sz w:val="18"/>
      <w:szCs w:val="18"/>
    </w:rPr>
  </w:style>
  <w:style w:type="paragraph" w:styleId="a5">
    <w:name w:val="footer"/>
    <w:basedOn w:val="a"/>
    <w:link w:val="a6"/>
    <w:rsid w:val="007376D8"/>
    <w:pPr>
      <w:tabs>
        <w:tab w:val="center" w:pos="4153"/>
        <w:tab w:val="right" w:pos="8306"/>
      </w:tabs>
      <w:snapToGrid w:val="0"/>
      <w:jc w:val="left"/>
    </w:pPr>
    <w:rPr>
      <w:sz w:val="18"/>
      <w:szCs w:val="18"/>
    </w:rPr>
  </w:style>
  <w:style w:type="character" w:customStyle="1" w:styleId="a6">
    <w:name w:val="页脚 字符"/>
    <w:basedOn w:val="a0"/>
    <w:link w:val="a5"/>
    <w:rsid w:val="007376D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4624</Words>
  <Characters>5041</Characters>
  <Application>Microsoft Office Word</Application>
  <DocSecurity>0</DocSecurity>
  <Lines>219</Lines>
  <Paragraphs>158</Paragraphs>
  <ScaleCrop>false</ScaleCrop>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奕 林</cp:lastModifiedBy>
  <cp:revision>12</cp:revision>
  <cp:lastPrinted>2025-12-29T02:44:00Z</cp:lastPrinted>
  <dcterms:created xsi:type="dcterms:W3CDTF">2025-06-04T14:08:00Z</dcterms:created>
  <dcterms:modified xsi:type="dcterms:W3CDTF">2025-12-29T02:45:00Z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