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26384">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4E4CA044">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66B5DFFF">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2BCA38FB">
      <w:pPr>
        <w:wordWrap w:val="0"/>
        <w:ind w:firstLine="1988" w:firstLineChars="450"/>
        <w:jc w:val="center"/>
        <w:rPr>
          <w:rFonts w:eastAsia="黑体"/>
          <w:b/>
          <w:bCs/>
          <w:sz w:val="44"/>
          <w:szCs w:val="44"/>
        </w:rPr>
      </w:pPr>
    </w:p>
    <w:p w14:paraId="04A04953">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66649A13">
      <w:pPr>
        <w:wordWrap w:val="0"/>
        <w:jc w:val="center"/>
        <w:rPr>
          <w:sz w:val="18"/>
          <w:szCs w:val="18"/>
        </w:rPr>
      </w:pPr>
      <w:r>
        <w:rPr>
          <w:sz w:val="18"/>
          <w:szCs w:val="18"/>
        </w:rPr>
        <w:t> </w:t>
      </w:r>
    </w:p>
    <w:p w14:paraId="2E05ABB8">
      <w:pPr>
        <w:wordWrap w:val="0"/>
        <w:jc w:val="center"/>
        <w:rPr>
          <w:sz w:val="18"/>
          <w:szCs w:val="18"/>
        </w:rPr>
      </w:pPr>
      <w:r>
        <w:rPr>
          <w:sz w:val="18"/>
          <w:szCs w:val="18"/>
        </w:rPr>
        <w:t> </w:t>
      </w:r>
    </w:p>
    <w:p w14:paraId="2DB31DB5">
      <w:pPr>
        <w:wordWrap w:val="0"/>
        <w:jc w:val="left"/>
        <w:rPr>
          <w:b/>
          <w:bCs/>
          <w:sz w:val="18"/>
          <w:szCs w:val="18"/>
        </w:rPr>
      </w:pPr>
    </w:p>
    <w:p w14:paraId="72B45C96">
      <w:pPr>
        <w:wordWrap w:val="0"/>
        <w:jc w:val="left"/>
        <w:rPr>
          <w:b/>
          <w:bCs/>
          <w:sz w:val="18"/>
          <w:szCs w:val="18"/>
        </w:rPr>
      </w:pPr>
    </w:p>
    <w:p w14:paraId="17663B49">
      <w:pPr>
        <w:wordWrap w:val="0"/>
        <w:jc w:val="left"/>
        <w:rPr>
          <w:b/>
          <w:bCs/>
          <w:sz w:val="18"/>
          <w:szCs w:val="18"/>
        </w:rPr>
      </w:pPr>
    </w:p>
    <w:p w14:paraId="3E6D1FD9">
      <w:pPr>
        <w:tabs>
          <w:tab w:val="left" w:pos="1080"/>
        </w:tabs>
        <w:wordWrap w:val="0"/>
        <w:ind w:left="3021" w:leftChars="852" w:hanging="1232" w:hangingChars="409"/>
        <w:jc w:val="left"/>
        <w:rPr>
          <w:rFonts w:hint="default" w:eastAsia="楷体_GB2312"/>
          <w:b/>
          <w:bCs/>
          <w:sz w:val="30"/>
          <w:szCs w:val="30"/>
          <w:u w:val="single"/>
          <w:lang w:val="en-US" w:eastAsia="zh-CN"/>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lang w:val="en-US" w:eastAsia="zh-CN"/>
        </w:rPr>
        <w:t xml:space="preserve">   大数据背景下社交媒体          </w:t>
      </w:r>
    </w:p>
    <w:p w14:paraId="2F004D90">
      <w:pPr>
        <w:tabs>
          <w:tab w:val="left" w:pos="1080"/>
        </w:tabs>
        <w:wordWrap w:val="0"/>
        <w:ind w:left="3021" w:leftChars="852" w:hanging="1232" w:hangingChars="409"/>
        <w:jc w:val="left"/>
        <w:rPr>
          <w:rFonts w:eastAsia="楷体_GB2312"/>
          <w:b/>
          <w:bCs/>
          <w:sz w:val="30"/>
          <w:szCs w:val="30"/>
          <w:u w:val="single"/>
        </w:rPr>
      </w:pPr>
      <w:r>
        <w:rPr>
          <w:rFonts w:hint="eastAsia" w:eastAsia="楷体_GB2312"/>
          <w:b/>
          <w:bCs/>
          <w:sz w:val="30"/>
          <w:szCs w:val="30"/>
          <w:u w:val="single"/>
          <w:lang w:val="en-US" w:eastAsia="zh-CN"/>
        </w:rPr>
        <w:tab/>
      </w:r>
      <w:r>
        <w:rPr>
          <w:rFonts w:hint="eastAsia" w:eastAsia="楷体_GB2312"/>
          <w:b/>
          <w:bCs/>
          <w:sz w:val="30"/>
          <w:szCs w:val="30"/>
          <w:u w:val="single"/>
          <w:lang w:val="en-US" w:eastAsia="zh-CN"/>
        </w:rPr>
        <w:t>数据挖掘对个人隐私的影响分析</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735E9252">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cs="楷体_GB2312"/>
          <w:b/>
          <w:bCs/>
          <w:sz w:val="30"/>
          <w:szCs w:val="30"/>
          <w:lang w:val="en-US" w:eastAsia="zh-CN"/>
        </w:rPr>
        <w:t xml:space="preserve"> </w:t>
      </w:r>
      <w:r>
        <w:rPr>
          <w:rFonts w:hint="eastAsia" w:eastAsia="楷体_GB2312"/>
          <w:b/>
          <w:bCs/>
          <w:sz w:val="30"/>
          <w:szCs w:val="30"/>
          <w:u w:val="single"/>
          <w:lang w:val="en-US" w:eastAsia="zh-CN"/>
        </w:rPr>
        <w:t xml:space="preserve">        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69BFD7D5">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72F076FF">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B220408</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105BD00B">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B22040810</w:t>
      </w:r>
      <w:r>
        <w:rPr>
          <w:rFonts w:eastAsia="楷体_GB2312"/>
          <w:b/>
          <w:bCs/>
          <w:sz w:val="30"/>
          <w:szCs w:val="30"/>
          <w:u w:val="single"/>
        </w:rPr>
        <w:t xml:space="preserve">                  </w:t>
      </w:r>
    </w:p>
    <w:p w14:paraId="1A455DFC">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杨正阳</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59369131">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张莹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374062D6">
      <w:pPr>
        <w:wordWrap w:val="0"/>
        <w:rPr>
          <w:sz w:val="18"/>
          <w:szCs w:val="18"/>
        </w:rPr>
      </w:pPr>
    </w:p>
    <w:p w14:paraId="43DE23BD">
      <w:pPr>
        <w:ind w:firstLine="3330" w:firstLineChars="1850"/>
        <w:rPr>
          <w:sz w:val="18"/>
          <w:szCs w:val="18"/>
        </w:rPr>
      </w:pPr>
    </w:p>
    <w:p w14:paraId="0715CC5C">
      <w:pPr>
        <w:rPr>
          <w:sz w:val="18"/>
          <w:szCs w:val="18"/>
        </w:rPr>
      </w:pPr>
    </w:p>
    <w:p w14:paraId="0852E5EB">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36058D8A">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 xml:space="preserve">   </w:t>
      </w: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 xml:space="preserve">年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25</w:t>
      </w:r>
      <w:r>
        <w:rPr>
          <w:rFonts w:ascii="仿宋" w:hAnsi="仿宋" w:eastAsia="仿宋"/>
          <w:sz w:val="24"/>
          <w:szCs w:val="24"/>
        </w:rPr>
        <w:t xml:space="preserve"> </w:t>
      </w:r>
      <w:r>
        <w:rPr>
          <w:rFonts w:hint="eastAsia" w:ascii="仿宋" w:hAnsi="仿宋" w:eastAsia="仿宋"/>
          <w:sz w:val="24"/>
          <w:szCs w:val="24"/>
        </w:rPr>
        <w:t>日</w:t>
      </w:r>
    </w:p>
    <w:p w14:paraId="7EC743B4">
      <w:pPr>
        <w:widowControl/>
        <w:jc w:val="left"/>
        <w:rPr>
          <w:rFonts w:ascii="仿宋" w:hAnsi="仿宋" w:eastAsia="仿宋"/>
          <w:sz w:val="30"/>
          <w:szCs w:val="30"/>
        </w:rPr>
      </w:pPr>
      <w:r>
        <w:rPr>
          <w:rFonts w:ascii="仿宋" w:hAnsi="仿宋" w:eastAsia="仿宋"/>
          <w:sz w:val="30"/>
          <w:szCs w:val="30"/>
        </w:rPr>
        <w:br w:type="page"/>
      </w:r>
    </w:p>
    <w:p w14:paraId="202FC916">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5"/>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79E0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700F53A5">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1BAF7E12">
            <w:pPr>
              <w:tabs>
                <w:tab w:val="left" w:pos="6870"/>
              </w:tabs>
              <w:jc w:val="center"/>
              <w:rPr>
                <w:rFonts w:ascii="仿宋" w:hAnsi="仿宋" w:eastAsia="仿宋"/>
                <w:color w:val="FF0000"/>
              </w:rPr>
            </w:pPr>
            <w:r>
              <w:rPr>
                <w:rFonts w:hint="eastAsia" w:ascii="仿宋" w:hAnsi="仿宋" w:eastAsia="仿宋"/>
                <w:lang w:val="en-US" w:eastAsia="zh-CN"/>
              </w:rPr>
              <w:t>大数据背景下社交媒体数据挖掘对个人隐私的影响分析</w:t>
            </w:r>
            <w:r>
              <w:rPr>
                <w:rFonts w:hint="eastAsia" w:ascii="仿宋" w:hAnsi="仿宋" w:eastAsia="仿宋"/>
              </w:rPr>
              <w:t xml:space="preserve"> </w:t>
            </w:r>
          </w:p>
        </w:tc>
      </w:tr>
      <w:tr w14:paraId="5A6C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54E43BF">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3A76A832">
            <w:pPr>
              <w:tabs>
                <w:tab w:val="left" w:pos="6870"/>
              </w:tabs>
              <w:jc w:val="center"/>
              <w:rPr>
                <w:rFonts w:ascii="仿宋" w:hAnsi="仿宋" w:eastAsia="仿宋"/>
              </w:rPr>
            </w:pPr>
            <w:r>
              <w:rPr>
                <w:rFonts w:hint="eastAsia" w:ascii="仿宋" w:hAnsi="仿宋" w:eastAsia="仿宋"/>
                <w:lang w:val="en-US" w:eastAsia="zh-CN"/>
              </w:rPr>
              <w:t>杨正阳</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1C600A24">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39E7B0A5">
            <w:pPr>
              <w:tabs>
                <w:tab w:val="left" w:pos="6870"/>
              </w:tabs>
              <w:jc w:val="center"/>
              <w:rPr>
                <w:rFonts w:ascii="仿宋" w:hAnsi="仿宋" w:eastAsia="仿宋"/>
              </w:rPr>
            </w:pPr>
            <w:r>
              <w:rPr>
                <w:rFonts w:hint="eastAsia" w:ascii="仿宋" w:hAnsi="仿宋" w:eastAsia="仿宋"/>
                <w:lang w:val="en-US" w:eastAsia="zh-CN"/>
              </w:rPr>
              <w:t>B22040810</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45A3C86D">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4ECB72D7">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14:paraId="263D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EF52AED">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1993682">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F542290">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03ACF42">
            <w:pPr>
              <w:tabs>
                <w:tab w:val="left" w:pos="6870"/>
              </w:tabs>
              <w:jc w:val="center"/>
              <w:rPr>
                <w:rFonts w:ascii="楷体" w:hAnsi="楷体" w:eastAsia="楷体"/>
                <w:color w:val="000000"/>
              </w:rPr>
            </w:pPr>
            <w:r>
              <w:rPr>
                <w:rFonts w:hint="eastAsia" w:ascii="楷体" w:hAnsi="楷体" w:eastAsia="楷体"/>
                <w:color w:val="000000"/>
              </w:rPr>
              <w:t>评分</w:t>
            </w:r>
          </w:p>
        </w:tc>
      </w:tr>
      <w:tr w14:paraId="23C2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BEE9418">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1F9F28A">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7B24549">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F8CDCEB">
            <w:pPr>
              <w:tabs>
                <w:tab w:val="left" w:pos="6870"/>
              </w:tabs>
              <w:jc w:val="center"/>
              <w:rPr>
                <w:rFonts w:ascii="仿宋" w:hAnsi="仿宋" w:eastAsia="仿宋"/>
                <w:color w:val="000000"/>
              </w:rPr>
            </w:pPr>
            <w:r>
              <w:rPr>
                <w:rFonts w:ascii="仿宋" w:hAnsi="仿宋" w:eastAsia="仿宋"/>
                <w:color w:val="000000"/>
              </w:rPr>
              <w:t xml:space="preserve"> </w:t>
            </w:r>
          </w:p>
        </w:tc>
      </w:tr>
      <w:tr w14:paraId="2B98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14C09FB">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2647B81">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BDE8149">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DAA5354">
            <w:pPr>
              <w:tabs>
                <w:tab w:val="left" w:pos="6870"/>
              </w:tabs>
              <w:jc w:val="center"/>
              <w:rPr>
                <w:rFonts w:ascii="仿宋" w:hAnsi="仿宋" w:eastAsia="仿宋"/>
                <w:color w:val="000000"/>
              </w:rPr>
            </w:pPr>
            <w:r>
              <w:rPr>
                <w:rFonts w:ascii="仿宋" w:hAnsi="仿宋" w:eastAsia="仿宋"/>
                <w:color w:val="000000"/>
              </w:rPr>
              <w:t xml:space="preserve"> </w:t>
            </w:r>
          </w:p>
        </w:tc>
      </w:tr>
      <w:tr w14:paraId="5432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CE9E97E">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8FA14AC">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857CB4F">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59B5A97">
            <w:pPr>
              <w:tabs>
                <w:tab w:val="left" w:pos="6870"/>
              </w:tabs>
              <w:jc w:val="center"/>
              <w:rPr>
                <w:rFonts w:ascii="仿宋" w:hAnsi="仿宋" w:eastAsia="仿宋"/>
                <w:color w:val="000000"/>
              </w:rPr>
            </w:pPr>
            <w:r>
              <w:rPr>
                <w:rFonts w:ascii="仿宋" w:hAnsi="仿宋" w:eastAsia="仿宋"/>
                <w:color w:val="000000"/>
              </w:rPr>
              <w:t xml:space="preserve"> </w:t>
            </w:r>
          </w:p>
        </w:tc>
      </w:tr>
      <w:tr w14:paraId="292D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0F14081">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93771B2">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4F28C4C">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2F2BAB4">
            <w:pPr>
              <w:tabs>
                <w:tab w:val="left" w:pos="6870"/>
              </w:tabs>
              <w:jc w:val="center"/>
              <w:rPr>
                <w:rFonts w:ascii="仿宋" w:hAnsi="仿宋" w:eastAsia="仿宋"/>
                <w:color w:val="000000"/>
              </w:rPr>
            </w:pPr>
            <w:r>
              <w:rPr>
                <w:rFonts w:ascii="仿宋" w:hAnsi="仿宋" w:eastAsia="仿宋"/>
                <w:color w:val="000000"/>
              </w:rPr>
              <w:t xml:space="preserve"> </w:t>
            </w:r>
          </w:p>
        </w:tc>
      </w:tr>
      <w:tr w14:paraId="6495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83672A9">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2530CE0">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21A79F8">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98D114F">
            <w:pPr>
              <w:tabs>
                <w:tab w:val="left" w:pos="6870"/>
              </w:tabs>
              <w:jc w:val="center"/>
              <w:rPr>
                <w:rFonts w:ascii="仿宋" w:hAnsi="仿宋" w:eastAsia="仿宋"/>
                <w:color w:val="000000"/>
              </w:rPr>
            </w:pPr>
            <w:r>
              <w:rPr>
                <w:rFonts w:ascii="仿宋" w:hAnsi="仿宋" w:eastAsia="仿宋"/>
                <w:color w:val="000000"/>
              </w:rPr>
              <w:t xml:space="preserve"> </w:t>
            </w:r>
          </w:p>
        </w:tc>
      </w:tr>
      <w:tr w14:paraId="2B2E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14CC6F5">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59C8F1C6">
            <w:pPr>
              <w:tabs>
                <w:tab w:val="left" w:pos="6870"/>
              </w:tabs>
              <w:rPr>
                <w:rFonts w:ascii="仿宋" w:hAnsi="仿宋" w:eastAsia="仿宋"/>
                <w:color w:val="000000"/>
              </w:rPr>
            </w:pPr>
          </w:p>
        </w:tc>
      </w:tr>
      <w:tr w14:paraId="2AE8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AC3C351">
            <w:pPr>
              <w:tabs>
                <w:tab w:val="left" w:pos="6870"/>
              </w:tabs>
              <w:jc w:val="center"/>
              <w:rPr>
                <w:rFonts w:ascii="黑体" w:hAnsi="黑体" w:eastAsia="黑体"/>
              </w:rPr>
            </w:pPr>
          </w:p>
          <w:p w14:paraId="7679B083">
            <w:pPr>
              <w:tabs>
                <w:tab w:val="left" w:pos="6870"/>
              </w:tabs>
              <w:jc w:val="center"/>
              <w:rPr>
                <w:rFonts w:ascii="黑体" w:hAnsi="黑体" w:eastAsia="黑体"/>
              </w:rPr>
            </w:pPr>
          </w:p>
          <w:p w14:paraId="1BA0FE87">
            <w:pPr>
              <w:tabs>
                <w:tab w:val="left" w:pos="6870"/>
              </w:tabs>
              <w:jc w:val="center"/>
              <w:rPr>
                <w:rFonts w:ascii="黑体" w:hAnsi="黑体" w:eastAsia="黑体"/>
              </w:rPr>
            </w:pPr>
          </w:p>
          <w:p w14:paraId="63BDC47F">
            <w:pPr>
              <w:tabs>
                <w:tab w:val="left" w:pos="6870"/>
              </w:tabs>
              <w:jc w:val="center"/>
              <w:rPr>
                <w:rFonts w:ascii="黑体" w:hAnsi="黑体" w:eastAsia="黑体"/>
              </w:rPr>
            </w:pPr>
          </w:p>
          <w:p w14:paraId="4C5DA685">
            <w:pPr>
              <w:tabs>
                <w:tab w:val="left" w:pos="6870"/>
              </w:tabs>
              <w:jc w:val="center"/>
              <w:rPr>
                <w:rFonts w:ascii="黑体" w:hAnsi="黑体" w:eastAsia="黑体"/>
              </w:rPr>
            </w:pPr>
          </w:p>
          <w:p w14:paraId="4123C91A">
            <w:pPr>
              <w:tabs>
                <w:tab w:val="left" w:pos="6870"/>
              </w:tabs>
              <w:jc w:val="center"/>
              <w:rPr>
                <w:rFonts w:ascii="黑体" w:hAnsi="黑体" w:eastAsia="黑体"/>
              </w:rPr>
            </w:pPr>
          </w:p>
          <w:p w14:paraId="24F7F805">
            <w:pPr>
              <w:tabs>
                <w:tab w:val="left" w:pos="6870"/>
              </w:tabs>
              <w:jc w:val="center"/>
              <w:rPr>
                <w:rFonts w:ascii="黑体" w:hAnsi="黑体" w:eastAsia="黑体"/>
              </w:rPr>
            </w:pPr>
            <w:r>
              <w:rPr>
                <w:rFonts w:hint="eastAsia" w:ascii="黑体" w:hAnsi="黑体" w:eastAsia="黑体"/>
              </w:rPr>
              <w:t>任课教师</w:t>
            </w:r>
          </w:p>
          <w:p w14:paraId="675A1858">
            <w:pPr>
              <w:tabs>
                <w:tab w:val="left" w:pos="6870"/>
              </w:tabs>
              <w:jc w:val="center"/>
              <w:rPr>
                <w:rFonts w:ascii="黑体" w:hAnsi="黑体" w:eastAsia="黑体"/>
              </w:rPr>
            </w:pPr>
            <w:r>
              <w:rPr>
                <w:rFonts w:hint="eastAsia" w:ascii="黑体" w:hAnsi="黑体" w:eastAsia="黑体"/>
              </w:rPr>
              <w:t>评阅意见</w:t>
            </w:r>
          </w:p>
          <w:p w14:paraId="3D42DED0">
            <w:pPr>
              <w:rPr>
                <w:rFonts w:ascii="黑体" w:hAnsi="黑体" w:eastAsia="黑体"/>
              </w:rPr>
            </w:pPr>
          </w:p>
          <w:p w14:paraId="1B0F1704">
            <w:pPr>
              <w:rPr>
                <w:rFonts w:ascii="黑体" w:hAnsi="黑体" w:eastAsia="黑体"/>
              </w:rPr>
            </w:pPr>
          </w:p>
          <w:p w14:paraId="1F686BFF">
            <w:pPr>
              <w:rPr>
                <w:rFonts w:ascii="黑体" w:hAnsi="黑体" w:eastAsia="黑体"/>
              </w:rPr>
            </w:pPr>
          </w:p>
          <w:p w14:paraId="6329D312">
            <w:pPr>
              <w:rPr>
                <w:rFonts w:ascii="黑体" w:hAnsi="黑体" w:eastAsia="黑体"/>
              </w:rPr>
            </w:pPr>
          </w:p>
          <w:p w14:paraId="755C0E7B">
            <w:pPr>
              <w:rPr>
                <w:rFonts w:ascii="黑体" w:hAnsi="黑体" w:eastAsia="黑体"/>
              </w:rPr>
            </w:pPr>
          </w:p>
          <w:p w14:paraId="5C022FED">
            <w:pPr>
              <w:rPr>
                <w:rFonts w:ascii="黑体" w:hAnsi="黑体" w:eastAsia="黑体"/>
              </w:rPr>
            </w:pPr>
          </w:p>
          <w:p w14:paraId="3BA71AC7">
            <w:pPr>
              <w:rPr>
                <w:rFonts w:ascii="黑体" w:hAnsi="黑体" w:eastAsia="黑体"/>
              </w:rPr>
            </w:pPr>
          </w:p>
          <w:p w14:paraId="2B42B4CB">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017B30B9">
            <w:pPr>
              <w:tabs>
                <w:tab w:val="left" w:pos="6870"/>
              </w:tabs>
              <w:jc w:val="center"/>
              <w:rPr>
                <w:rFonts w:ascii="仿宋" w:hAnsi="仿宋" w:eastAsia="仿宋"/>
                <w:color w:val="000000"/>
              </w:rPr>
            </w:pPr>
          </w:p>
          <w:p w14:paraId="54B08D2C">
            <w:pPr>
              <w:tabs>
                <w:tab w:val="left" w:pos="6870"/>
              </w:tabs>
              <w:jc w:val="center"/>
              <w:rPr>
                <w:rFonts w:ascii="仿宋" w:hAnsi="仿宋" w:eastAsia="仿宋"/>
                <w:color w:val="000000"/>
              </w:rPr>
            </w:pPr>
          </w:p>
          <w:p w14:paraId="79B22CA2">
            <w:pPr>
              <w:tabs>
                <w:tab w:val="left" w:pos="6870"/>
              </w:tabs>
              <w:jc w:val="center"/>
              <w:rPr>
                <w:rFonts w:ascii="仿宋" w:hAnsi="仿宋" w:eastAsia="仿宋"/>
                <w:color w:val="000000"/>
              </w:rPr>
            </w:pPr>
          </w:p>
          <w:p w14:paraId="489F7702">
            <w:pPr>
              <w:tabs>
                <w:tab w:val="left" w:pos="6870"/>
              </w:tabs>
              <w:jc w:val="center"/>
              <w:rPr>
                <w:rFonts w:ascii="仿宋" w:hAnsi="仿宋" w:eastAsia="仿宋"/>
                <w:color w:val="000000"/>
              </w:rPr>
            </w:pPr>
          </w:p>
          <w:p w14:paraId="04E1D1B1">
            <w:pPr>
              <w:tabs>
                <w:tab w:val="left" w:pos="6870"/>
              </w:tabs>
              <w:jc w:val="center"/>
              <w:rPr>
                <w:rFonts w:ascii="仿宋" w:hAnsi="仿宋" w:eastAsia="仿宋"/>
                <w:color w:val="000000"/>
              </w:rPr>
            </w:pPr>
          </w:p>
          <w:p w14:paraId="6AFA3024">
            <w:pPr>
              <w:tabs>
                <w:tab w:val="left" w:pos="6870"/>
              </w:tabs>
              <w:jc w:val="center"/>
              <w:rPr>
                <w:rFonts w:ascii="仿宋" w:hAnsi="仿宋" w:eastAsia="仿宋"/>
                <w:color w:val="000000"/>
              </w:rPr>
            </w:pPr>
          </w:p>
          <w:p w14:paraId="37E72F8B">
            <w:pPr>
              <w:tabs>
                <w:tab w:val="left" w:pos="6870"/>
              </w:tabs>
              <w:jc w:val="center"/>
              <w:rPr>
                <w:rFonts w:ascii="仿宋" w:hAnsi="仿宋" w:eastAsia="仿宋"/>
                <w:color w:val="000000"/>
              </w:rPr>
            </w:pPr>
          </w:p>
          <w:p w14:paraId="0588F322">
            <w:pPr>
              <w:tabs>
                <w:tab w:val="left" w:pos="6870"/>
              </w:tabs>
              <w:jc w:val="center"/>
              <w:rPr>
                <w:rFonts w:ascii="仿宋" w:hAnsi="仿宋" w:eastAsia="仿宋"/>
                <w:color w:val="000000"/>
              </w:rPr>
            </w:pPr>
          </w:p>
          <w:p w14:paraId="3A3B5E6C">
            <w:pPr>
              <w:tabs>
                <w:tab w:val="left" w:pos="6870"/>
              </w:tabs>
              <w:jc w:val="center"/>
              <w:rPr>
                <w:rFonts w:ascii="仿宋" w:hAnsi="仿宋" w:eastAsia="仿宋"/>
                <w:color w:val="000000"/>
              </w:rPr>
            </w:pPr>
          </w:p>
          <w:p w14:paraId="3C7B20BB">
            <w:pPr>
              <w:tabs>
                <w:tab w:val="left" w:pos="6870"/>
              </w:tabs>
              <w:rPr>
                <w:rFonts w:ascii="仿宋" w:hAnsi="仿宋" w:eastAsia="仿宋"/>
                <w:color w:val="000000"/>
              </w:rPr>
            </w:pPr>
          </w:p>
          <w:p w14:paraId="7FD87243">
            <w:pPr>
              <w:tabs>
                <w:tab w:val="left" w:pos="6870"/>
              </w:tabs>
              <w:rPr>
                <w:rFonts w:ascii="仿宋" w:hAnsi="仿宋" w:eastAsia="仿宋"/>
                <w:color w:val="000000"/>
              </w:rPr>
            </w:pPr>
          </w:p>
        </w:tc>
      </w:tr>
    </w:tbl>
    <w:p w14:paraId="2443C805"/>
    <w:p w14:paraId="47542781">
      <w:pPr>
        <w:jc w:val="center"/>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大数据背景下社交媒体数据挖掘对个人隐私的影响分析</w:t>
      </w:r>
    </w:p>
    <w:p w14:paraId="40748AC9">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摘要</w:t>
      </w:r>
    </w:p>
    <w:p w14:paraId="0238F4AF">
      <w:pPr>
        <w:ind w:firstLine="420" w:firstLineChars="0"/>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随着互联网平台的快速发展，社交媒体已成为重要的数据生产与传播空间。依托大数据与人工智能技术，社交媒体数据挖掘在用户画像构建、精准推荐、舆情分析等方面展现出巨大价值，但同时也引发了个人隐私泄露、数据滥用和算法歧视等一系列社会问题。本文以工程与社会视角为切入点，在系统梳理国内外相关研究成果的基础上，分析社交媒体数据挖掘的技术原理及其对个人隐私、社会关系和伦理秩序的影响。通过结合典型案例，探讨当前隐私保护制度与技术治理中存在的不足，并从法律制度完善、技术手段优化以及社会伦理建设等方面提出相应的治理路径。研究认为，在人工智能深度介入社会运行的背景下，应构建多主体协同的隐私保护机制，以实现技术发展与社会价值之间的协调统一。</w:t>
      </w:r>
    </w:p>
    <w:p w14:paraId="52675857">
      <w:pPr>
        <w:ind w:firstLine="420" w:firstLineChars="0"/>
        <w:jc w:val="both"/>
        <w:rPr>
          <w:rFonts w:hint="default" w:asciiTheme="minorEastAsia" w:hAnsiTheme="minorEastAsia" w:eastAsiaTheme="minorEastAsia" w:cstheme="minorEastAsia"/>
          <w:b w:val="0"/>
          <w:bCs w:val="0"/>
          <w:sz w:val="24"/>
          <w:szCs w:val="24"/>
          <w:lang w:val="en-US" w:eastAsia="zh-CN"/>
        </w:rPr>
      </w:pPr>
    </w:p>
    <w:p w14:paraId="7C599A17">
      <w:pPr>
        <w:jc w:val="both"/>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关键词：</w:t>
      </w:r>
      <w:r>
        <w:rPr>
          <w:rFonts w:hint="eastAsia" w:asciiTheme="minorEastAsia" w:hAnsiTheme="minorEastAsia" w:eastAsiaTheme="minorEastAsia" w:cstheme="minorEastAsia"/>
          <w:b w:val="0"/>
          <w:bCs w:val="0"/>
          <w:sz w:val="24"/>
          <w:szCs w:val="24"/>
          <w:lang w:val="en-US" w:eastAsia="zh-CN"/>
        </w:rPr>
        <w:t>社交媒体、数据挖掘、个人隐私、人工智能</w:t>
      </w:r>
    </w:p>
    <w:p w14:paraId="4FEB6B22">
      <w:pPr>
        <w:jc w:val="both"/>
        <w:rPr>
          <w:rFonts w:hint="eastAsia" w:asciiTheme="minorEastAsia" w:hAnsiTheme="minorEastAsia" w:eastAsiaTheme="minorEastAsia" w:cstheme="minorEastAsia"/>
          <w:b w:val="0"/>
          <w:bCs w:val="0"/>
          <w:sz w:val="24"/>
          <w:szCs w:val="24"/>
          <w:lang w:val="en-US" w:eastAsia="zh-CN"/>
        </w:rPr>
      </w:pPr>
    </w:p>
    <w:p w14:paraId="6DE790FC">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文献综述</w:t>
      </w:r>
    </w:p>
    <w:p w14:paraId="478521EC">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随着互联网技术、社交媒体平台以及人工智能算法的快速发展，围绕社交媒体数据挖掘及个人隐私保护问题的研究逐渐成为信息工程、法学与社会科学领域的交叉热点。现有研究主要从数据挖掘技术应用、个人信息保护制度以及工程伦理与社会影响等角度展开。</w:t>
      </w:r>
    </w:p>
    <w:p w14:paraId="6752E83C">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社交媒体数据挖掘领域，国内学者多从信息工程和计算社会科学视角探讨数据挖掘技术的应用价值。张文宏、王晓明等认为，社交媒体平台所产生的海量文本、行为和关系数据为用户画像构建和信息推荐提供了重要基础，通过数据挖掘技术可以有效提升内容分发的精准性和平台运营效率[1]。刘洋、陈立对社交媒体用户行为分析方法进行了系统综述，指出机器学习与统计分析方法在兴趣识别、行为预测等方面已取得显著成效[2]。此外，周志华、张敏从舆情分析角度出发，强调社交媒体数据挖掘在公共事件监测和社会治理中的应用潜力[3]。</w:t>
      </w:r>
    </w:p>
    <w:p w14:paraId="0DC31275">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随着人工智能技术的广泛应用，部分研究开始关注算法推荐系统的社会影响。赵鑫、李娜指出，基于深度学习的推荐算法在提升用户体验的同时，也可能强化信息过滤效应，对用户认知结构和社会舆论产生深远影响[4]。总体来看，国内相关研究在技术路径和应用场景方面较为成熟，但多以提升算法性能和商业价值为目标，对数据来源合法性和用户隐私风险的讨论相对不足。</w:t>
      </w:r>
    </w:p>
    <w:p w14:paraId="76CC60A9">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国外关于社交媒体数据挖掘的研究起步较早，研究视角更加多元。Boyd 与 Crawford 提出“大数据并非价值中立”，认为数据挖掘过程本身蕴含着权力关系与社会结构问题，技术应用可能加剧社会不平等[11]。该研究为从社会和伦理层面审视社交媒体数据挖掘提供了重要理论基础，也对单纯技术导向的研究形成了有力反思。</w:t>
      </w:r>
    </w:p>
    <w:p w14:paraId="3E947437">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个人隐私保护研究方面，国内学者主要从法律制度与社会治理角度展开探讨。李晓辉指出，在大数据环境下，个人信息的收集、存储和利用呈现出规模化和隐蔽化特征，现有法律体系在责任界定和权利救济方面仍存在不足[5]。随着《个人信息保护法》的正式实施，相关研究开始关注制度创新与实践挑战。王利明认为，该法在个人信息分类保护、平台责任强化等方面具有重要突破，但在执法落实和技术配合层面仍需进一步完善[6]。</w:t>
      </w:r>
    </w:p>
    <w:p w14:paraId="15DD556B">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平台经济背景下，隐私保护问题愈发复杂。陈瑞华指出，互联网平台在数据处理过程中占据主导地位，用户往往处于弱势地位，传统的“知情—同意”机制难以真正保障个人信息安全[7]。刘德良则从算法推荐角度分析了信息茧房与隐私侵害之间的关系，认为过度依赖数据驱动的内容分发机制可能在无形中加深用户隐私暴露风险[8]。</w:t>
      </w:r>
    </w:p>
    <w:p w14:paraId="6E1648E2">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国外研究更加注重隐私理论体系的构建。Solove 提出了系统的隐私侵害分类框架，将隐私风险划分为信息收集、处理、传播等多个阶段，为分析社交媒体数据挖掘中的隐私问题提供了清晰思路[备选文献]。此类研究强调，应将隐私保护视为一个贯穿技术全流程的问题，而非单一环节的技术或法律问题。</w:t>
      </w:r>
    </w:p>
    <w:p w14:paraId="1C665E07">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除技术和法律研究外，部分学者开始从工程伦理和社会影响角度反思人工智能与数据技术的发展。马会祥、赵婷婷指出，人工智能系统的设计和应用并非纯粹技术问题，工程师在算法设计与系统部署中应承担相应的伦理责任[9]。张玉洁则从社会治理视角强调，信息技术的发展必须与隐私权保护和公共利益相协调，否则可能对社会信任机制造成冲击[10]。</w:t>
      </w:r>
    </w:p>
    <w:p w14:paraId="5C0942E3">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总体来看，现有研究为理解社交媒体数据挖掘与个人隐私保护问题奠定了坚实基础，但仍存在一定不足：一是技术研究与社会制度分析相对割裂，缺乏综合性研究框架；二是对人工智能算法责任和工程伦理问题关注不足；三是针对社交媒体情境下隐私保护的系统治理路径仍有待深化。基于此，本文将在前人研究基础上，结合工程与社会视角，进一步探讨社交媒体数据挖掘中的隐私风险及其治理路径。</w:t>
      </w:r>
    </w:p>
    <w:p w14:paraId="5434EE8B">
      <w:pPr>
        <w:ind w:firstLine="420" w:firstLineChars="0"/>
        <w:jc w:val="both"/>
        <w:rPr>
          <w:rFonts w:hint="eastAsia" w:asciiTheme="minorEastAsia" w:hAnsiTheme="minorEastAsia" w:eastAsiaTheme="minorEastAsia" w:cstheme="minorEastAsia"/>
          <w:b w:val="0"/>
          <w:bCs w:val="0"/>
          <w:sz w:val="24"/>
          <w:szCs w:val="24"/>
          <w:lang w:val="en-US" w:eastAsia="zh-CN"/>
        </w:rPr>
      </w:pPr>
    </w:p>
    <w:p w14:paraId="2A7B7CE2">
      <w:pPr>
        <w:jc w:val="both"/>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社交媒体数据挖掘的隐私风险分析</w:t>
      </w:r>
    </w:p>
    <w:p w14:paraId="189E855F">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在社交媒体平台中，数据挖掘技术依托大数据与人工智能算法，对用户行为、兴趣偏好及社会关系进行深度分析。这一过程在提升信息服务效率的同时，也带来了多层次的个人隐私风险。</w:t>
      </w:r>
    </w:p>
    <w:p w14:paraId="46589A32">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先，数据采集阶段存在过度收集风险。社交媒体平台往往通过注册协议、隐私政策等形式获取用户授权，但相关条款通常篇幅冗长、表述复杂，用户在实际使用中难以充分理解其数据被收集和利用的具体方式。在此背景下，平台不仅收集用户主动提供的信息，还通过行为追踪、设备识别等技术获取大量隐性数据，导致个人信息收集范围不断扩张，超出了实现基本服务功能的必要限度。</w:t>
      </w:r>
    </w:p>
    <w:p w14:paraId="31F59FF0">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次，数据处理与分析阶段的隐私侵害更加隐蔽。人工智能算法通过对用户历史行为和社交关系的综合分析，构建高度精细化的用户画像。这类画像不仅反映用户的兴趣偏好，还可能推断出其价值观、生活习惯甚至心理状态。一旦算法决策过程缺乏透明度，用户难以知晓自身信息被如何处理，个人隐私便在“算法黑箱”中被持续放大和利用。</w:t>
      </w:r>
    </w:p>
    <w:p w14:paraId="4909BF57">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再次，数据使用与共享环节加剧了隐私泄露风险。在平台商业模式驱动下，用户数据往往被用于广告投放、内容推荐甚至对外合作。当数据在不同主体之间流转时，即便经过形式上的匿名化处理，也可能通过数据关联分析实现“去匿名化”，从而重新识别特定个体，增加隐私泄露的可能性。</w:t>
      </w:r>
    </w:p>
    <w:p w14:paraId="5151E249">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最后，隐私风险对社会关系和日常生活产生深远影响。长期处于数据监控与算法推荐环境中，用户的行为选择可能被潜移默化地引导，形成“信息茧房”效应。这不仅影响个体的信息获取方式，也可能削弱社会公共讨论的多样性，进而对社会信任机制和公共理性产生负面影响。</w:t>
      </w:r>
    </w:p>
    <w:p w14:paraId="24B0CE13">
      <w:pPr>
        <w:ind w:firstLine="420" w:firstLineChars="0"/>
        <w:jc w:val="both"/>
        <w:rPr>
          <w:rFonts w:hint="eastAsia" w:asciiTheme="minorEastAsia" w:hAnsiTheme="minorEastAsia" w:eastAsiaTheme="minorEastAsia" w:cstheme="minorEastAsia"/>
          <w:b w:val="0"/>
          <w:bCs w:val="0"/>
          <w:sz w:val="24"/>
          <w:szCs w:val="24"/>
          <w:lang w:val="en-US" w:eastAsia="zh-CN"/>
        </w:rPr>
      </w:pPr>
    </w:p>
    <w:p w14:paraId="4CFF6CD2">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典型案例分析</w:t>
      </w:r>
    </w:p>
    <w:p w14:paraId="3F26B43A">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Facebook–Cambridge Analytica 事件是社交媒体数据挖掘引发隐私争议的典型案例。该事件中，第三方应用在获取少量用户授权的情况下，通过社交关系接口大量收集用户及其好友的数据，并将其用于政治广告精准投放。尽管数据采集形式上获得了部分用户同意，但其实际使用目的明显超出了用户的合理预期。</w:t>
      </w:r>
    </w:p>
    <w:p w14:paraId="1ECC3197">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案例揭示了社交媒体数据挖掘中的多重问题：一是平台对第三方数据使用缺乏有效监管；二是用户对数据流向和用途缺乏知情权；三是数据分析结果被用于影响公共政治决策，对社会公平和民主机制造成潜在冲击。这一事件也促使国际社会重新审视大数据与人工智能技术在公共领域中的伦理边界。</w:t>
      </w:r>
    </w:p>
    <w:p w14:paraId="297D6B9F">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国内社交媒体环境中，短视频平台依托算法推荐机制实现内容精准分发，但由此引发的隐私和社会问题同样引人关注。平台通过持续收集用户的浏览、停留、点赞等行为数据，对用户兴趣进行动态建模，从而实现“千人千面”的内容推送。</w:t>
      </w:r>
    </w:p>
    <w:p w14:paraId="03405C18">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然而，这种高度依赖数据挖掘的推荐机制在提升用户黏性的同时，也引发了隐私边界模糊和信息同质化问题。一方面，用户往往难以拒绝数据收集或关闭个性化推荐；另一方面，算法持续强化用户既有偏好，可能限制其接触多元信息的机会。该现象不仅影响个体认知结构，也对青少年价值观塑造和社会公共文化环境产生潜在影响。</w:t>
      </w:r>
    </w:p>
    <w:p w14:paraId="3E5C58FB">
      <w:pPr>
        <w:ind w:firstLine="420" w:firstLineChars="0"/>
        <w:jc w:val="both"/>
        <w:rPr>
          <w:rFonts w:hint="eastAsia" w:asciiTheme="minorEastAsia" w:hAnsiTheme="minorEastAsia" w:eastAsiaTheme="minorEastAsia" w:cstheme="minorEastAsia"/>
          <w:b w:val="0"/>
          <w:bCs w:val="0"/>
          <w:sz w:val="24"/>
          <w:szCs w:val="24"/>
          <w:lang w:val="en-US" w:eastAsia="zh-CN"/>
        </w:rPr>
      </w:pPr>
    </w:p>
    <w:p w14:paraId="4F08C920">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隐私保护的治理路径</w:t>
      </w:r>
    </w:p>
    <w:p w14:paraId="48F339A8">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针对社交媒体数据挖掘过程中暴露的隐私风险，有必要从制度、技术和伦理多个层面构建综合治理路径。</w:t>
      </w:r>
    </w:p>
    <w:p w14:paraId="0663D269">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制度层面，应进一步完善个人信息保护相关法律法规，明确平台在数据收集、处理和共享过程中的责任边界。通过强化监管机制和违法成本，提高平台对隐私保护的重视程度。同时，应推动隐私政策向简明化、可理解化方向发展，切实保障用户的知情权和选择权。</w:t>
      </w:r>
    </w:p>
    <w:p w14:paraId="7468B84A">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技术层面，应将隐私保护理念嵌入技术设计全过程。通过数据最小化原则、匿名化与差分隐私技术，降低数据分析对个体隐私的侵害风险。同时，探索可解释人工智能技术，使算法决策过程更加透明，增强用户对数据处理过程的信任。</w:t>
      </w:r>
    </w:p>
    <w:p w14:paraId="73DC32E2">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伦理与社会层面，需要强化工程伦理意识，将隐私保护视为信息工程从业者的重要职业责任。平台、技术人员与用户之间应形成良性互动机制，共同推动技术发展与社会价值的协调统一。此外，通过提升公众的隐私意识和数据素养，引导用户理性使用社交媒体，也是缓解隐私风险的重要途径。</w:t>
      </w:r>
    </w:p>
    <w:p w14:paraId="17F257DF">
      <w:pPr>
        <w:ind w:firstLine="420" w:firstLineChars="0"/>
        <w:jc w:val="both"/>
        <w:rPr>
          <w:rFonts w:hint="eastAsia" w:asciiTheme="minorEastAsia" w:hAnsiTheme="minorEastAsia" w:eastAsiaTheme="minorEastAsia" w:cstheme="minorEastAsia"/>
          <w:b w:val="0"/>
          <w:bCs w:val="0"/>
          <w:sz w:val="24"/>
          <w:szCs w:val="24"/>
          <w:lang w:val="en-US" w:eastAsia="zh-CN"/>
        </w:rPr>
      </w:pPr>
    </w:p>
    <w:p w14:paraId="0D60F50A">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结论</w:t>
      </w:r>
    </w:p>
    <w:p w14:paraId="56A79A6C">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互联网、大数据与人工智能深度融合的背景下，社交媒体数据挖掘已成为推动信息工程发展的重要力量。然而，技术进步在带来便利和效率的同时，也对个人隐私、社会关系和伦理秩序提出了新的挑战。通过对现有研究和典型案例的分析可以发现，隐私风险并非单一技术问题，而是涉及制度设计、技术路径和社会价值的综合性议题。</w:t>
      </w:r>
    </w:p>
    <w:p w14:paraId="4139C986">
      <w:pPr>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因此，在推进社交媒体数据挖掘技术应用的过程中，应坚持工程与社会协调发展的理念，从法律制度完善、技术手段优化和工程伦理建设等多个层面入手，构建多主体协同的隐私保护机制。只有在保障个人隐私和社会公共利益的前提下，社交媒体数据挖掘技术才能实现可持续发展，并更好地服务于社会整体进步。</w:t>
      </w:r>
    </w:p>
    <w:p w14:paraId="58FCA79A">
      <w:pPr>
        <w:jc w:val="both"/>
        <w:rPr>
          <w:rFonts w:hint="eastAsia" w:asciiTheme="minorEastAsia" w:hAnsiTheme="minorEastAsia" w:eastAsiaTheme="minorEastAsia" w:cstheme="minorEastAsia"/>
          <w:b w:val="0"/>
          <w:bCs w:val="0"/>
          <w:sz w:val="24"/>
          <w:szCs w:val="24"/>
          <w:lang w:val="en-US" w:eastAsia="zh-CN"/>
        </w:rPr>
      </w:pPr>
    </w:p>
    <w:p w14:paraId="48308E4B">
      <w:pPr>
        <w:jc w:val="both"/>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参考文献</w:t>
      </w:r>
    </w:p>
    <w:p w14:paraId="5F62F477">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 张文宏, 王晓明. 社交媒体大数据挖掘技术及其应用研究[J]. 情报杂志, 2020, 39(6): 112-118.</w:t>
      </w:r>
    </w:p>
    <w:p w14:paraId="6C5BA65D">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[2] 刘洋, 陈立. 基于社交媒体的用户行为分析与数据挖掘方法综述[J]. 计算机科学, 2019, 46(10): 15-22.</w:t>
      </w:r>
    </w:p>
    <w:p w14:paraId="05907BBC">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[3] 周志华, 张敏. 大数据环境下的舆情分析方法研究[J]. 情报理论与实践, 2018, 41(3): 94-99.</w:t>
      </w:r>
    </w:p>
    <w:p w14:paraId="0D28E8AE">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[4] 赵鑫, 李娜. 人工智能驱动的社交媒体推荐算法及其社会影响[J]. 情报科学, 2021, 39(8): 45-52.</w:t>
      </w:r>
    </w:p>
    <w:p w14:paraId="09F41B4F">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[5] 李晓辉. 大数据时代个人信息保护的法律困境与出路[J]. 法学研究, 2020, 42(5): 67-79.</w:t>
      </w:r>
    </w:p>
    <w:p w14:paraId="52E16621">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[6] 王利明. 个人信息保护法的制度创新与实践挑战[J]. 中国法学, 2021(6): 3-21.</w:t>
      </w:r>
    </w:p>
    <w:p w14:paraId="396E5F0C">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[7] 陈瑞华. 平台经济背景下个人信息保护的法治路径[J]. 现代法学, 2021, 43(4): 1-15.</w:t>
      </w:r>
    </w:p>
    <w:p w14:paraId="1054D272">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[8] 刘德良. 算法推荐、信息茧房与个人隐私保护[J]. 新闻与传播研究, 2022, 29(2): 20-34.</w:t>
      </w:r>
    </w:p>
    <w:p w14:paraId="659B6E1E">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[9] 马会祥, 赵婷婷. 人工智能技术应用中的工程伦理问题研究[J]. 科学技术与工程伦理, 2019, 26(3): 54-60.</w:t>
      </w:r>
    </w:p>
    <w:p w14:paraId="0D56AE54">
      <w:pPr>
        <w:jc w:val="both"/>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[10] 张玉洁. 信息技术发展中的隐私权保护与社会治理[J]. 科学学研究, 2018, 36(7): 1234-1240.</w:t>
      </w:r>
    </w:p>
    <w:p w14:paraId="6C89445B">
      <w:pPr>
        <w:jc w:val="both"/>
        <w:rPr>
          <w:rFonts w:hint="default" w:asciiTheme="majorEastAsia" w:hAnsiTheme="majorEastAsia" w:eastAsiaTheme="majorEastAsia" w:cstheme="majorEastAsia"/>
          <w:b/>
          <w:bCs/>
          <w:sz w:val="24"/>
          <w:szCs w:val="24"/>
          <w:lang w:val="en-US" w:eastAsia="zh-CN"/>
        </w:rPr>
      </w:pPr>
      <w:r>
        <w:rPr>
          <w:rFonts w:hint="default" w:asciiTheme="minorEastAsia" w:hAnsiTheme="minorEastAsia" w:eastAsiaTheme="minorEastAsia" w:cstheme="minorEastAsia"/>
          <w:b w:val="0"/>
          <w:bCs w:val="0"/>
          <w:sz w:val="24"/>
          <w:szCs w:val="24"/>
          <w:lang w:val="en-US" w:eastAsia="zh-CN"/>
        </w:rPr>
        <w:t>[11] Boyd D, Crawford K. Critical questions for big data[J]. Information, Communication &amp; Society, 2012, 15(5): 662–679.</w:t>
      </w:r>
    </w:p>
    <w:p w14:paraId="77EE7E16">
      <w:pPr>
        <w:jc w:val="both"/>
        <w:rPr>
          <w:rFonts w:hint="default" w:asciiTheme="majorEastAsia" w:hAnsiTheme="majorEastAsia" w:eastAsiaTheme="majorEastAsia" w:cstheme="majorEastAsia"/>
          <w:b/>
          <w:bCs/>
          <w:sz w:val="24"/>
          <w:szCs w:val="24"/>
          <w:lang w:val="en-US" w:eastAsia="zh-CN"/>
        </w:rPr>
      </w:pPr>
      <w:r>
        <w:drawing>
          <wp:inline distT="0" distB="0" distL="114300" distR="114300">
            <wp:extent cx="5269865" cy="6946900"/>
            <wp:effectExtent l="0" t="0" r="635"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5"/>
                    <a:stretch>
                      <a:fillRect/>
                    </a:stretch>
                  </pic:blipFill>
                  <pic:spPr>
                    <a:xfrm>
                      <a:off x="0" y="0"/>
                      <a:ext cx="5269865" cy="694690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631929"/>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14693"/>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E54EC4"/>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163</Words>
  <Characters>198</Characters>
  <Lines>0</Lines>
  <Paragraphs>0</Paragraphs>
  <TotalTime>2431</TotalTime>
  <ScaleCrop>false</ScaleCrop>
  <LinksUpToDate>false</LinksUpToDate>
  <CharactersWithSpaces>421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杨正阳</cp:lastModifiedBy>
  <dcterms:modified xsi:type="dcterms:W3CDTF">2025-12-30T02:29:22Z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0F2BE50C29F946F79BF83E98741EB0A5_11</vt:lpwstr>
  </property>
  <property fmtid="{D5CDD505-2E9C-101B-9397-08002B2CF9AE}" pid="4" name="KSOTemplateDocerSaveRecord">
    <vt:lpwstr>eyJoZGlkIjoiMjAxZTFiYTIyNmY3ZDkzMzhhYjYwNTY4OTU4YmMyM2EiLCJ1c2VySWQiOiI0NjgwNDA5MDEifQ==</vt:lpwstr>
  </property>
</Properties>
</file>