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4DDED">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46C4063B">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0639D6BB">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77C906F5">
      <w:pPr>
        <w:wordWrap w:val="0"/>
        <w:ind w:firstLine="1988" w:firstLineChars="450"/>
        <w:jc w:val="center"/>
        <w:rPr>
          <w:rFonts w:eastAsia="黑体"/>
          <w:b/>
          <w:bCs/>
          <w:sz w:val="44"/>
          <w:szCs w:val="44"/>
        </w:rPr>
      </w:pPr>
    </w:p>
    <w:p w14:paraId="655022CB">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6148FCE5">
      <w:pPr>
        <w:wordWrap w:val="0"/>
        <w:jc w:val="center"/>
        <w:rPr>
          <w:sz w:val="18"/>
          <w:szCs w:val="18"/>
        </w:rPr>
      </w:pPr>
      <w:r>
        <w:rPr>
          <w:sz w:val="18"/>
          <w:szCs w:val="18"/>
        </w:rPr>
        <w:t> </w:t>
      </w:r>
    </w:p>
    <w:p w14:paraId="7E19EADA">
      <w:pPr>
        <w:wordWrap w:val="0"/>
        <w:jc w:val="center"/>
        <w:rPr>
          <w:b/>
          <w:bCs/>
          <w:sz w:val="18"/>
          <w:szCs w:val="18"/>
        </w:rPr>
      </w:pPr>
      <w:r>
        <w:rPr>
          <w:sz w:val="18"/>
          <w:szCs w:val="18"/>
        </w:rPr>
        <w:t> </w:t>
      </w:r>
    </w:p>
    <w:p w14:paraId="25D721EB">
      <w:pPr>
        <w:wordWrap w:val="0"/>
        <w:jc w:val="left"/>
        <w:rPr>
          <w:b/>
          <w:bCs/>
          <w:sz w:val="18"/>
          <w:szCs w:val="18"/>
        </w:rPr>
      </w:pPr>
    </w:p>
    <w:p w14:paraId="5A06EA41">
      <w:pPr>
        <w:tabs>
          <w:tab w:val="left" w:pos="1080"/>
        </w:tabs>
        <w:wordWrap w:val="0"/>
        <w:ind w:firstLine="1780" w:firstLineChars="591"/>
        <w:jc w:val="left"/>
        <w:rPr>
          <w:rFonts w:hint="eastAsia" w:eastAsia="楷体_GB2312"/>
          <w:b/>
          <w:bCs/>
          <w:sz w:val="30"/>
          <w:szCs w:val="30"/>
          <w:u w:val="single"/>
          <w:lang w:val="en-US" w:eastAsia="zh-CN"/>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rPr>
        <w:t>人工智能时代的就业结构变迁</w:t>
      </w:r>
      <w:r>
        <w:rPr>
          <w:rFonts w:hint="eastAsia" w:eastAsia="楷体_GB2312"/>
          <w:b/>
          <w:bCs/>
          <w:sz w:val="30"/>
          <w:szCs w:val="30"/>
          <w:u w:val="single"/>
          <w:lang w:val="en-US" w:eastAsia="zh-CN"/>
        </w:rPr>
        <w:t xml:space="preserve"> </w:t>
      </w:r>
    </w:p>
    <w:p w14:paraId="226D1CE2">
      <w:pPr>
        <w:tabs>
          <w:tab w:val="left" w:pos="1080"/>
        </w:tabs>
        <w:wordWrap w:val="0"/>
        <w:ind w:firstLine="1780" w:firstLineChars="591"/>
        <w:jc w:val="left"/>
        <w:rPr>
          <w:rFonts w:hint="eastAsia" w:eastAsia="楷体_GB2312"/>
          <w:b/>
          <w:bCs/>
          <w:sz w:val="30"/>
          <w:szCs w:val="30"/>
          <w:u w:val="single"/>
        </w:rPr>
      </w:pPr>
      <w:r>
        <w:rPr>
          <w:rFonts w:hint="eastAsia" w:eastAsia="楷体_GB2312"/>
          <w:b/>
          <w:bCs/>
          <w:sz w:val="30"/>
          <w:szCs w:val="30"/>
          <w:u w:val="single"/>
        </w:rPr>
        <w:t>与社会应对机制研究——以外卖骑手算法</w:t>
      </w:r>
    </w:p>
    <w:p w14:paraId="2052C82D">
      <w:pPr>
        <w:tabs>
          <w:tab w:val="left" w:pos="1080"/>
        </w:tabs>
        <w:wordWrap w:val="0"/>
        <w:ind w:firstLine="1780" w:firstLineChars="591"/>
        <w:jc w:val="left"/>
        <w:rPr>
          <w:rFonts w:hint="default" w:eastAsia="楷体_GB2312"/>
          <w:b/>
          <w:bCs/>
          <w:sz w:val="30"/>
          <w:szCs w:val="30"/>
          <w:u w:val="single"/>
          <w:lang w:val="en-US" w:eastAsia="zh-CN"/>
        </w:rPr>
      </w:pPr>
      <w:r>
        <w:rPr>
          <w:rFonts w:hint="eastAsia" w:eastAsia="楷体_GB2312"/>
          <w:b/>
          <w:bCs/>
          <w:sz w:val="30"/>
          <w:szCs w:val="30"/>
          <w:u w:val="single"/>
        </w:rPr>
        <w:t>管理为例</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347A265A">
      <w:pPr>
        <w:wordWrap w:val="0"/>
        <w:ind w:firstLine="1780" w:firstLineChars="591"/>
        <w:rPr>
          <w:rFonts w:hint="default" w:eastAsia="楷体_GB2312"/>
          <w:b/>
          <w:bCs/>
          <w:sz w:val="30"/>
          <w:szCs w:val="30"/>
          <w:u w:val="single"/>
          <w:lang w:val="en-US" w:eastAsia="zh-CN"/>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计算机学院、软件学院、网  </w:t>
      </w:r>
    </w:p>
    <w:p w14:paraId="7AC8C827">
      <w:pPr>
        <w:wordWrap w:val="0"/>
        <w:ind w:firstLine="1780" w:firstLineChars="591"/>
        <w:rPr>
          <w:rFonts w:hint="eastAsia" w:eastAsia="楷体_GB2312"/>
          <w:b/>
          <w:bCs/>
          <w:sz w:val="30"/>
          <w:szCs w:val="30"/>
          <w:u w:val="single"/>
          <w:lang w:val="en-US" w:eastAsia="zh-CN"/>
        </w:rPr>
      </w:pPr>
      <w:r>
        <w:rPr>
          <w:rFonts w:hint="eastAsia" w:eastAsia="楷体_GB2312"/>
          <w:b/>
          <w:bCs/>
          <w:sz w:val="30"/>
          <w:szCs w:val="30"/>
          <w:u w:val="single"/>
          <w:lang w:val="en-US" w:eastAsia="zh-CN"/>
        </w:rPr>
        <w:t>络空间安全学院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31F4B249">
      <w:pPr>
        <w:wordWrap w:val="0"/>
        <w:ind w:firstLine="1780" w:firstLineChars="591"/>
        <w:rPr>
          <w:rFonts w:hint="eastAsia" w:eastAsia="楷体_GB2312"/>
          <w:b/>
          <w:bCs/>
          <w:sz w:val="30"/>
          <w:szCs w:val="30"/>
          <w:u w:val="single"/>
          <w:lang w:val="en-US" w:eastAsia="zh-CN"/>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hint="eastAsia" w:eastAsia="楷体_GB2312"/>
          <w:b/>
          <w:bCs/>
          <w:sz w:val="30"/>
          <w:szCs w:val="30"/>
          <w:u w:val="single"/>
          <w:lang w:val="en-US" w:eastAsia="zh-CN"/>
        </w:rPr>
        <w:t>计算机科学与技术专业</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3091FBC3">
      <w:pPr>
        <w:wordWrap w:val="0"/>
        <w:ind w:firstLine="1780" w:firstLineChars="591"/>
        <w:rPr>
          <w:rFonts w:hint="eastAsia" w:eastAsia="楷体_GB2312"/>
          <w:b/>
          <w:bCs/>
          <w:sz w:val="30"/>
          <w:szCs w:val="30"/>
          <w:u w:val="single"/>
          <w:lang w:val="en-US" w:eastAsia="zh-CN"/>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hint="eastAsia" w:eastAsia="楷体_GB2312"/>
          <w:b/>
          <w:bCs/>
          <w:sz w:val="30"/>
          <w:szCs w:val="30"/>
          <w:u w:val="single"/>
          <w:lang w:val="en-US" w:eastAsia="zh-CN"/>
        </w:rPr>
        <w:t>B220408</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p>
    <w:p w14:paraId="67E0A538">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B22040802</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3EDF7D31">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杨子荷</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20C75DBB">
      <w:pPr>
        <w:wordWrap w:val="0"/>
        <w:ind w:firstLine="1780" w:firstLineChars="591"/>
        <w:rPr>
          <w:rFonts w:hint="eastAsia" w:eastAsia="楷体_GB2312"/>
          <w:sz w:val="30"/>
          <w:szCs w:val="30"/>
          <w:lang w:val="en-US" w:eastAsia="zh-CN"/>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hint="eastAsia" w:eastAsia="楷体_GB2312"/>
          <w:b/>
          <w:bCs/>
          <w:sz w:val="30"/>
          <w:szCs w:val="30"/>
          <w:u w:val="single"/>
          <w:lang w:val="en-US" w:eastAsia="zh-CN"/>
        </w:rPr>
        <w:t>张莹</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3E7A7401">
      <w:pPr>
        <w:wordWrap w:val="0"/>
        <w:rPr>
          <w:sz w:val="18"/>
          <w:szCs w:val="18"/>
        </w:rPr>
      </w:pPr>
    </w:p>
    <w:p w14:paraId="5CB26EBC">
      <w:pPr>
        <w:rPr>
          <w:sz w:val="18"/>
          <w:szCs w:val="18"/>
        </w:rPr>
      </w:pPr>
    </w:p>
    <w:p w14:paraId="2F1F65CF">
      <w:pPr>
        <w:spacing w:line="360" w:lineRule="auto"/>
        <w:jc w:val="center"/>
        <w:rPr>
          <w:rFonts w:ascii="仿宋" w:hAnsi="仿宋" w:eastAsia="仿宋"/>
          <w:b/>
          <w:bCs/>
          <w:sz w:val="30"/>
          <w:szCs w:val="30"/>
        </w:rPr>
      </w:pP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721D86C6">
      <w:pPr>
        <w:spacing w:line="360" w:lineRule="auto"/>
        <w:jc w:val="center"/>
        <w:rPr>
          <w:rFonts w:ascii="仿宋" w:hAnsi="仿宋" w:eastAsia="仿宋"/>
          <w:sz w:val="24"/>
          <w:szCs w:val="24"/>
        </w:rPr>
      </w:pPr>
      <w:r>
        <w:rPr>
          <w:rFonts w:hint="eastAsia" w:ascii="仿宋" w:hAnsi="仿宋" w:eastAsia="仿宋"/>
          <w:sz w:val="24"/>
          <w:szCs w:val="24"/>
          <w:lang w:val="en-US" w:eastAsia="zh-CN"/>
        </w:rPr>
        <w:t>2025</w:t>
      </w:r>
      <w:r>
        <w:rPr>
          <w:rFonts w:hint="eastAsia" w:ascii="仿宋" w:hAnsi="仿宋" w:eastAsia="仿宋"/>
          <w:sz w:val="24"/>
          <w:szCs w:val="24"/>
        </w:rPr>
        <w:t>年</w:t>
      </w:r>
      <w:r>
        <w:rPr>
          <w:rFonts w:hint="eastAsia" w:ascii="仿宋" w:hAnsi="仿宋" w:eastAsia="仿宋"/>
          <w:sz w:val="24"/>
          <w:szCs w:val="24"/>
          <w:lang w:val="en-US" w:eastAsia="zh-CN"/>
        </w:rPr>
        <w:t>12</w:t>
      </w:r>
      <w:r>
        <w:rPr>
          <w:rFonts w:hint="eastAsia" w:ascii="仿宋" w:hAnsi="仿宋" w:eastAsia="仿宋"/>
          <w:sz w:val="24"/>
          <w:szCs w:val="24"/>
        </w:rPr>
        <w:t>月</w:t>
      </w:r>
      <w:r>
        <w:rPr>
          <w:rFonts w:hint="eastAsia" w:ascii="仿宋" w:hAnsi="仿宋" w:eastAsia="仿宋"/>
          <w:sz w:val="24"/>
          <w:szCs w:val="24"/>
          <w:lang w:val="en-US" w:eastAsia="zh-CN"/>
        </w:rPr>
        <w:t>9</w:t>
      </w:r>
      <w:r>
        <w:rPr>
          <w:rFonts w:hint="eastAsia" w:ascii="仿宋" w:hAnsi="仿宋" w:eastAsia="仿宋"/>
          <w:sz w:val="24"/>
          <w:szCs w:val="24"/>
        </w:rPr>
        <w:t>日</w:t>
      </w:r>
    </w:p>
    <w:p w14:paraId="1E23ABB2">
      <w:pPr>
        <w:widowControl/>
        <w:jc w:val="left"/>
        <w:rPr>
          <w:rFonts w:ascii="仿宋" w:hAnsi="仿宋" w:eastAsia="仿宋"/>
          <w:sz w:val="30"/>
          <w:szCs w:val="30"/>
        </w:rPr>
      </w:pPr>
      <w:r>
        <w:rPr>
          <w:rFonts w:ascii="仿宋" w:hAnsi="仿宋" w:eastAsia="仿宋"/>
          <w:sz w:val="30"/>
          <w:szCs w:val="30"/>
        </w:rPr>
        <w:br w:type="page"/>
      </w:r>
    </w:p>
    <w:p w14:paraId="181D97EC">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2"/>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13BB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548A450C">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37BD3AD9">
            <w:pPr>
              <w:tabs>
                <w:tab w:val="left" w:pos="6870"/>
              </w:tabs>
              <w:jc w:val="center"/>
              <w:rPr>
                <w:rFonts w:hint="eastAsia" w:ascii="仿宋" w:hAnsi="仿宋" w:eastAsia="仿宋"/>
              </w:rPr>
            </w:pPr>
            <w:r>
              <w:rPr>
                <w:rFonts w:hint="eastAsia" w:ascii="仿宋" w:hAnsi="仿宋" w:eastAsia="仿宋"/>
              </w:rPr>
              <w:t xml:space="preserve"> 人工智能时代的就业结构变迁与社会应对机制研究</w:t>
            </w:r>
          </w:p>
          <w:p w14:paraId="296CFDDA">
            <w:pPr>
              <w:tabs>
                <w:tab w:val="left" w:pos="6870"/>
              </w:tabs>
              <w:jc w:val="center"/>
              <w:rPr>
                <w:rFonts w:ascii="仿宋" w:hAnsi="仿宋" w:eastAsia="仿宋"/>
                <w:color w:val="FF0000"/>
              </w:rPr>
            </w:pPr>
            <w:r>
              <w:rPr>
                <w:rFonts w:hint="eastAsia" w:ascii="仿宋" w:hAnsi="仿宋" w:eastAsia="仿宋"/>
              </w:rPr>
              <w:t>——以外卖骑手算法管理为例</w:t>
            </w:r>
          </w:p>
        </w:tc>
      </w:tr>
      <w:tr w14:paraId="6993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04A12D74">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1470002D">
            <w:pPr>
              <w:tabs>
                <w:tab w:val="left" w:pos="6870"/>
              </w:tabs>
              <w:jc w:val="center"/>
              <w:rPr>
                <w:rFonts w:hint="eastAsia" w:ascii="仿宋" w:hAnsi="仿宋" w:eastAsia="仿宋"/>
                <w:lang w:val="en-US" w:eastAsia="zh-CN"/>
              </w:rPr>
            </w:pPr>
            <w:r>
              <w:rPr>
                <w:rFonts w:hint="eastAsia" w:ascii="仿宋" w:hAnsi="仿宋" w:eastAsia="仿宋"/>
              </w:rPr>
              <w:t xml:space="preserve"> </w:t>
            </w:r>
            <w:r>
              <w:rPr>
                <w:rFonts w:hint="eastAsia" w:ascii="仿宋" w:hAnsi="仿宋" w:eastAsia="仿宋"/>
                <w:lang w:val="en-US" w:eastAsia="zh-CN"/>
              </w:rPr>
              <w:t>杨子荷</w:t>
            </w:r>
          </w:p>
        </w:tc>
        <w:tc>
          <w:tcPr>
            <w:tcW w:w="1178" w:type="dxa"/>
            <w:tcBorders>
              <w:top w:val="single" w:color="auto" w:sz="4" w:space="0"/>
              <w:left w:val="single" w:color="auto" w:sz="4" w:space="0"/>
              <w:bottom w:val="single" w:color="auto" w:sz="4" w:space="0"/>
              <w:right w:val="single" w:color="auto" w:sz="4" w:space="0"/>
            </w:tcBorders>
            <w:vAlign w:val="center"/>
          </w:tcPr>
          <w:p w14:paraId="0C973C25">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010670BE">
            <w:pPr>
              <w:tabs>
                <w:tab w:val="left" w:pos="6870"/>
              </w:tabs>
              <w:jc w:val="center"/>
              <w:rPr>
                <w:rFonts w:ascii="仿宋" w:hAnsi="仿宋" w:eastAsia="仿宋"/>
              </w:rPr>
            </w:pPr>
            <w:r>
              <w:rPr>
                <w:rFonts w:hint="eastAsia" w:ascii="仿宋" w:hAnsi="仿宋" w:eastAsia="仿宋"/>
                <w:lang w:val="en-US" w:eastAsia="zh-CN"/>
              </w:rPr>
              <w:t>B22040802</w:t>
            </w: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29FFC316">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2AD500B0">
            <w:pPr>
              <w:tabs>
                <w:tab w:val="left" w:pos="6870"/>
              </w:tabs>
              <w:jc w:val="center"/>
              <w:rPr>
                <w:rFonts w:ascii="仿宋" w:hAnsi="仿宋" w:eastAsia="仿宋"/>
                <w:color w:val="FF0000"/>
              </w:rPr>
            </w:pPr>
            <w:r>
              <w:rPr>
                <w:rFonts w:hint="eastAsia" w:ascii="仿宋" w:hAnsi="仿宋" w:eastAsia="仿宋"/>
                <w:lang w:val="en-US" w:eastAsia="zh-CN"/>
              </w:rPr>
              <w:t>计算机科学与技术专业</w:t>
            </w:r>
            <w:r>
              <w:rPr>
                <w:rFonts w:hint="eastAsia" w:ascii="仿宋" w:hAnsi="仿宋" w:eastAsia="仿宋"/>
              </w:rPr>
              <w:t xml:space="preserve"> </w:t>
            </w:r>
          </w:p>
        </w:tc>
      </w:tr>
      <w:tr w14:paraId="56A5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F7CDD31">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D4E029C">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14385F4">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2E30733">
            <w:pPr>
              <w:tabs>
                <w:tab w:val="left" w:pos="6870"/>
              </w:tabs>
              <w:jc w:val="center"/>
              <w:rPr>
                <w:rFonts w:ascii="楷体" w:hAnsi="楷体" w:eastAsia="楷体"/>
                <w:color w:val="000000"/>
              </w:rPr>
            </w:pPr>
            <w:r>
              <w:rPr>
                <w:rFonts w:hint="eastAsia" w:ascii="楷体" w:hAnsi="楷体" w:eastAsia="楷体"/>
                <w:color w:val="000000"/>
              </w:rPr>
              <w:t>评分</w:t>
            </w:r>
          </w:p>
        </w:tc>
      </w:tr>
      <w:tr w14:paraId="2807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188408E">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59D9FDA">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9871A53">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536C8E3">
            <w:pPr>
              <w:tabs>
                <w:tab w:val="left" w:pos="6870"/>
              </w:tabs>
              <w:jc w:val="center"/>
              <w:rPr>
                <w:rFonts w:ascii="仿宋" w:hAnsi="仿宋" w:eastAsia="仿宋"/>
                <w:color w:val="000000"/>
              </w:rPr>
            </w:pPr>
            <w:r>
              <w:rPr>
                <w:rFonts w:ascii="仿宋" w:hAnsi="仿宋" w:eastAsia="仿宋"/>
                <w:color w:val="000000"/>
              </w:rPr>
              <w:t xml:space="preserve"> </w:t>
            </w:r>
          </w:p>
        </w:tc>
      </w:tr>
      <w:tr w14:paraId="7C86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CA7EE66">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F428EBB">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240B66B">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E3421D7">
            <w:pPr>
              <w:tabs>
                <w:tab w:val="left" w:pos="6870"/>
              </w:tabs>
              <w:jc w:val="center"/>
              <w:rPr>
                <w:rFonts w:ascii="仿宋" w:hAnsi="仿宋" w:eastAsia="仿宋"/>
                <w:color w:val="000000"/>
              </w:rPr>
            </w:pPr>
            <w:r>
              <w:rPr>
                <w:rFonts w:ascii="仿宋" w:hAnsi="仿宋" w:eastAsia="仿宋"/>
                <w:color w:val="000000"/>
              </w:rPr>
              <w:t xml:space="preserve"> </w:t>
            </w:r>
          </w:p>
        </w:tc>
      </w:tr>
      <w:tr w14:paraId="1016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D816112">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0082394">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1AAF2585">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F12A6DA">
            <w:pPr>
              <w:tabs>
                <w:tab w:val="left" w:pos="6870"/>
              </w:tabs>
              <w:jc w:val="center"/>
              <w:rPr>
                <w:rFonts w:ascii="仿宋" w:hAnsi="仿宋" w:eastAsia="仿宋"/>
                <w:color w:val="000000"/>
              </w:rPr>
            </w:pPr>
            <w:r>
              <w:rPr>
                <w:rFonts w:ascii="仿宋" w:hAnsi="仿宋" w:eastAsia="仿宋"/>
                <w:color w:val="000000"/>
              </w:rPr>
              <w:t xml:space="preserve"> </w:t>
            </w:r>
          </w:p>
        </w:tc>
      </w:tr>
      <w:tr w14:paraId="24CA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552A559">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18AD8C5">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08865C7">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775FFE6">
            <w:pPr>
              <w:tabs>
                <w:tab w:val="left" w:pos="6870"/>
              </w:tabs>
              <w:jc w:val="center"/>
              <w:rPr>
                <w:rFonts w:ascii="仿宋" w:hAnsi="仿宋" w:eastAsia="仿宋"/>
                <w:color w:val="000000"/>
              </w:rPr>
            </w:pPr>
            <w:r>
              <w:rPr>
                <w:rFonts w:ascii="仿宋" w:hAnsi="仿宋" w:eastAsia="仿宋"/>
                <w:color w:val="000000"/>
              </w:rPr>
              <w:t xml:space="preserve"> </w:t>
            </w:r>
          </w:p>
        </w:tc>
      </w:tr>
      <w:tr w14:paraId="34C7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D0707EE">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A6B2296">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1D30D05">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E8C913A">
            <w:pPr>
              <w:tabs>
                <w:tab w:val="left" w:pos="6870"/>
              </w:tabs>
              <w:jc w:val="center"/>
              <w:rPr>
                <w:rFonts w:ascii="仿宋" w:hAnsi="仿宋" w:eastAsia="仿宋"/>
                <w:color w:val="000000"/>
              </w:rPr>
            </w:pPr>
            <w:r>
              <w:rPr>
                <w:rFonts w:ascii="仿宋" w:hAnsi="仿宋" w:eastAsia="仿宋"/>
                <w:color w:val="000000"/>
              </w:rPr>
              <w:t xml:space="preserve"> </w:t>
            </w:r>
          </w:p>
        </w:tc>
      </w:tr>
      <w:tr w14:paraId="6FEF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56AE8C1">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04971986">
            <w:pPr>
              <w:tabs>
                <w:tab w:val="left" w:pos="6870"/>
              </w:tabs>
              <w:rPr>
                <w:rFonts w:ascii="仿宋" w:hAnsi="仿宋" w:eastAsia="仿宋"/>
                <w:color w:val="000000"/>
              </w:rPr>
            </w:pPr>
          </w:p>
        </w:tc>
      </w:tr>
      <w:tr w14:paraId="1EA1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8DC5DBE">
            <w:pPr>
              <w:tabs>
                <w:tab w:val="left" w:pos="6870"/>
              </w:tabs>
              <w:jc w:val="center"/>
              <w:rPr>
                <w:rFonts w:ascii="黑体" w:hAnsi="黑体" w:eastAsia="黑体"/>
              </w:rPr>
            </w:pPr>
          </w:p>
          <w:p w14:paraId="735126E1">
            <w:pPr>
              <w:tabs>
                <w:tab w:val="left" w:pos="6870"/>
              </w:tabs>
              <w:jc w:val="center"/>
              <w:rPr>
                <w:rFonts w:ascii="黑体" w:hAnsi="黑体" w:eastAsia="黑体"/>
              </w:rPr>
            </w:pPr>
          </w:p>
          <w:p w14:paraId="76195DAC">
            <w:pPr>
              <w:tabs>
                <w:tab w:val="left" w:pos="6870"/>
              </w:tabs>
              <w:jc w:val="center"/>
              <w:rPr>
                <w:rFonts w:ascii="黑体" w:hAnsi="黑体" w:eastAsia="黑体"/>
              </w:rPr>
            </w:pPr>
          </w:p>
          <w:p w14:paraId="485066AD">
            <w:pPr>
              <w:tabs>
                <w:tab w:val="left" w:pos="6870"/>
              </w:tabs>
              <w:jc w:val="center"/>
              <w:rPr>
                <w:rFonts w:ascii="黑体" w:hAnsi="黑体" w:eastAsia="黑体"/>
              </w:rPr>
            </w:pPr>
          </w:p>
          <w:p w14:paraId="7A62013E">
            <w:pPr>
              <w:tabs>
                <w:tab w:val="left" w:pos="6870"/>
              </w:tabs>
              <w:jc w:val="center"/>
              <w:rPr>
                <w:rFonts w:ascii="黑体" w:hAnsi="黑体" w:eastAsia="黑体"/>
              </w:rPr>
            </w:pPr>
          </w:p>
          <w:p w14:paraId="519B042A">
            <w:pPr>
              <w:tabs>
                <w:tab w:val="left" w:pos="6870"/>
              </w:tabs>
              <w:jc w:val="center"/>
              <w:rPr>
                <w:rFonts w:ascii="黑体" w:hAnsi="黑体" w:eastAsia="黑体"/>
              </w:rPr>
            </w:pPr>
          </w:p>
          <w:p w14:paraId="7794331E">
            <w:pPr>
              <w:tabs>
                <w:tab w:val="left" w:pos="6870"/>
              </w:tabs>
              <w:jc w:val="center"/>
              <w:rPr>
                <w:rFonts w:ascii="黑体" w:hAnsi="黑体" w:eastAsia="黑体"/>
              </w:rPr>
            </w:pPr>
            <w:r>
              <w:rPr>
                <w:rFonts w:hint="eastAsia" w:ascii="黑体" w:hAnsi="黑体" w:eastAsia="黑体"/>
              </w:rPr>
              <w:t>任课教师</w:t>
            </w:r>
          </w:p>
          <w:p w14:paraId="60DCE671">
            <w:pPr>
              <w:tabs>
                <w:tab w:val="left" w:pos="6870"/>
              </w:tabs>
              <w:jc w:val="center"/>
              <w:rPr>
                <w:rFonts w:ascii="黑体" w:hAnsi="黑体" w:eastAsia="黑体"/>
              </w:rPr>
            </w:pPr>
            <w:r>
              <w:rPr>
                <w:rFonts w:hint="eastAsia" w:ascii="黑体" w:hAnsi="黑体" w:eastAsia="黑体"/>
              </w:rPr>
              <w:t>评阅意见</w:t>
            </w:r>
          </w:p>
          <w:p w14:paraId="544B74EC">
            <w:pPr>
              <w:rPr>
                <w:rFonts w:ascii="黑体" w:hAnsi="黑体" w:eastAsia="黑体"/>
              </w:rPr>
            </w:pPr>
          </w:p>
          <w:p w14:paraId="3AC46EAB">
            <w:pPr>
              <w:rPr>
                <w:rFonts w:ascii="黑体" w:hAnsi="黑体" w:eastAsia="黑体"/>
              </w:rPr>
            </w:pPr>
          </w:p>
          <w:p w14:paraId="0315361C">
            <w:pPr>
              <w:rPr>
                <w:rFonts w:ascii="黑体" w:hAnsi="黑体" w:eastAsia="黑体"/>
              </w:rPr>
            </w:pPr>
          </w:p>
          <w:p w14:paraId="6BBE3C40">
            <w:pPr>
              <w:rPr>
                <w:rFonts w:ascii="黑体" w:hAnsi="黑体" w:eastAsia="黑体"/>
              </w:rPr>
            </w:pPr>
          </w:p>
          <w:p w14:paraId="2455FFC0">
            <w:pPr>
              <w:rPr>
                <w:rFonts w:ascii="黑体" w:hAnsi="黑体" w:eastAsia="黑体"/>
              </w:rPr>
            </w:pPr>
          </w:p>
          <w:p w14:paraId="2EA3B009">
            <w:pPr>
              <w:rPr>
                <w:rFonts w:ascii="黑体" w:hAnsi="黑体" w:eastAsia="黑体"/>
              </w:rPr>
            </w:pPr>
          </w:p>
          <w:p w14:paraId="78F9BBA9">
            <w:pPr>
              <w:rPr>
                <w:rFonts w:ascii="黑体" w:hAnsi="黑体" w:eastAsia="黑体"/>
              </w:rPr>
            </w:pPr>
          </w:p>
          <w:p w14:paraId="3186EC3F">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F89A3F0">
            <w:pPr>
              <w:tabs>
                <w:tab w:val="left" w:pos="6870"/>
              </w:tabs>
              <w:jc w:val="center"/>
              <w:rPr>
                <w:rFonts w:ascii="仿宋" w:hAnsi="仿宋" w:eastAsia="仿宋"/>
                <w:color w:val="000000"/>
              </w:rPr>
            </w:pPr>
          </w:p>
          <w:p w14:paraId="62F02380">
            <w:pPr>
              <w:tabs>
                <w:tab w:val="left" w:pos="6870"/>
              </w:tabs>
              <w:jc w:val="center"/>
              <w:rPr>
                <w:rFonts w:ascii="仿宋" w:hAnsi="仿宋" w:eastAsia="仿宋"/>
                <w:color w:val="000000"/>
              </w:rPr>
            </w:pPr>
          </w:p>
          <w:p w14:paraId="0CC43F64">
            <w:pPr>
              <w:tabs>
                <w:tab w:val="left" w:pos="6870"/>
              </w:tabs>
              <w:jc w:val="center"/>
              <w:rPr>
                <w:rFonts w:ascii="仿宋" w:hAnsi="仿宋" w:eastAsia="仿宋"/>
                <w:color w:val="000000"/>
              </w:rPr>
            </w:pPr>
          </w:p>
          <w:p w14:paraId="3FAC1B97">
            <w:pPr>
              <w:tabs>
                <w:tab w:val="left" w:pos="6870"/>
              </w:tabs>
              <w:jc w:val="center"/>
              <w:rPr>
                <w:rFonts w:ascii="仿宋" w:hAnsi="仿宋" w:eastAsia="仿宋"/>
                <w:color w:val="000000"/>
              </w:rPr>
            </w:pPr>
          </w:p>
          <w:p w14:paraId="34828B2E">
            <w:pPr>
              <w:tabs>
                <w:tab w:val="left" w:pos="6870"/>
              </w:tabs>
              <w:jc w:val="center"/>
              <w:rPr>
                <w:rFonts w:ascii="仿宋" w:hAnsi="仿宋" w:eastAsia="仿宋"/>
                <w:color w:val="000000"/>
              </w:rPr>
            </w:pPr>
          </w:p>
          <w:p w14:paraId="0C7E9F07">
            <w:pPr>
              <w:tabs>
                <w:tab w:val="left" w:pos="6870"/>
              </w:tabs>
              <w:jc w:val="center"/>
              <w:rPr>
                <w:rFonts w:ascii="仿宋" w:hAnsi="仿宋" w:eastAsia="仿宋"/>
                <w:color w:val="000000"/>
              </w:rPr>
            </w:pPr>
          </w:p>
          <w:p w14:paraId="179D9D3D">
            <w:pPr>
              <w:tabs>
                <w:tab w:val="left" w:pos="6870"/>
              </w:tabs>
              <w:jc w:val="center"/>
              <w:rPr>
                <w:rFonts w:ascii="仿宋" w:hAnsi="仿宋" w:eastAsia="仿宋"/>
                <w:color w:val="000000"/>
              </w:rPr>
            </w:pPr>
          </w:p>
          <w:p w14:paraId="581A408F">
            <w:pPr>
              <w:tabs>
                <w:tab w:val="left" w:pos="6870"/>
              </w:tabs>
              <w:jc w:val="center"/>
              <w:rPr>
                <w:rFonts w:ascii="仿宋" w:hAnsi="仿宋" w:eastAsia="仿宋"/>
                <w:color w:val="000000"/>
              </w:rPr>
            </w:pPr>
          </w:p>
          <w:p w14:paraId="5155DB1C">
            <w:pPr>
              <w:tabs>
                <w:tab w:val="left" w:pos="6870"/>
              </w:tabs>
              <w:jc w:val="center"/>
              <w:rPr>
                <w:rFonts w:ascii="仿宋" w:hAnsi="仿宋" w:eastAsia="仿宋"/>
                <w:color w:val="000000"/>
              </w:rPr>
            </w:pPr>
          </w:p>
          <w:p w14:paraId="47F75500">
            <w:pPr>
              <w:tabs>
                <w:tab w:val="left" w:pos="6870"/>
              </w:tabs>
              <w:rPr>
                <w:rFonts w:ascii="仿宋" w:hAnsi="仿宋" w:eastAsia="仿宋"/>
                <w:color w:val="000000"/>
              </w:rPr>
            </w:pPr>
          </w:p>
          <w:p w14:paraId="2EFF07B9">
            <w:pPr>
              <w:tabs>
                <w:tab w:val="left" w:pos="6870"/>
              </w:tabs>
              <w:rPr>
                <w:rFonts w:ascii="仿宋" w:hAnsi="仿宋" w:eastAsia="仿宋"/>
                <w:color w:val="000000"/>
              </w:rPr>
            </w:pPr>
          </w:p>
        </w:tc>
      </w:tr>
    </w:tbl>
    <w:p w14:paraId="20903CC9"/>
    <w:p w14:paraId="419617C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b/>
          <w:bCs/>
          <w:sz w:val="36"/>
          <w:szCs w:val="36"/>
        </w:rPr>
      </w:pPr>
      <w:r>
        <w:rPr>
          <w:rFonts w:hint="eastAsia" w:ascii="Times New Roman" w:hAnsi="Times New Roman"/>
          <w:b/>
          <w:bCs/>
          <w:sz w:val="36"/>
          <w:szCs w:val="36"/>
        </w:rPr>
        <w:t>人工智能时代的就业结构变迁与社会应对机制研究</w:t>
      </w:r>
    </w:p>
    <w:p w14:paraId="139860EA">
      <w:pPr>
        <w:keepNext w:val="0"/>
        <w:keepLines w:val="0"/>
        <w:pageBreakBefore w:val="0"/>
        <w:widowControl w:val="0"/>
        <w:kinsoku/>
        <w:wordWrap/>
        <w:overflowPunct/>
        <w:topLinePunct w:val="0"/>
        <w:autoSpaceDE/>
        <w:autoSpaceDN/>
        <w:bidi w:val="0"/>
        <w:adjustRightInd/>
        <w:snapToGrid/>
        <w:spacing w:line="300" w:lineRule="auto"/>
        <w:ind w:firstLine="3253" w:firstLineChars="900"/>
        <w:jc w:val="both"/>
        <w:textAlignment w:val="auto"/>
        <w:rPr>
          <w:rFonts w:hint="eastAsia" w:ascii="Times New Roman" w:hAnsi="Times New Roman"/>
          <w:sz w:val="36"/>
          <w:szCs w:val="36"/>
        </w:rPr>
      </w:pPr>
      <w:r>
        <w:rPr>
          <w:rFonts w:hint="eastAsia" w:ascii="Times New Roman" w:hAnsi="Times New Roman"/>
          <w:b/>
          <w:bCs/>
          <w:sz w:val="36"/>
          <w:szCs w:val="36"/>
        </w:rPr>
        <w:t>——以外卖骑手算法管理为例</w:t>
      </w:r>
    </w:p>
    <w:p w14:paraId="6A19CB2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黑体" w:cs="黑体"/>
          <w:sz w:val="28"/>
          <w:szCs w:val="28"/>
        </w:rPr>
      </w:pPr>
      <w:r>
        <w:rPr>
          <w:rFonts w:hint="eastAsia" w:ascii="Times New Roman" w:hAnsi="Times New Roman" w:eastAsia="黑体" w:cs="黑体"/>
          <w:sz w:val="28"/>
          <w:szCs w:val="28"/>
        </w:rPr>
        <w:t>摘要</w:t>
      </w:r>
    </w:p>
    <w:p w14:paraId="72978D0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在人工智能技术深度融入社会经济运行体系的背景下，就业结构正在经历前所未有的重构。人工智能不仅推动了产业升级和生产方式转型，同时也带来了劳动关系的再定义、职业技能的重塑与就业形态的多元化。外卖骑手群体作为数字劳动的重要代表，处于算法驱动的劳动管理体系之下，呈现出“人机协同”与“算法约束”并存的复杂局面。本文以外卖骑手为案例，探讨人工智能时代就业结构变迁的内在逻辑及社会应对机制，分析算法管理下的劳动伦理、社会保障与制度创新问题。通过文献综述与案例分析相结合的研究方法，本文揭示了人工智能技术对就业数量、结构及质量的多维影响，并提出加强制度创新、完善劳动保障与提升劳动者数字素养的对策建议。研究发现，人工智能在提升生产效率与促进灵活就业的同时，也强化了劳动的不确定性与社会分层风险。为此，需要构建以公平、保障与人本价值为导向的社会应对机制，以实现科技进步与社会可持续发展的平衡。</w:t>
      </w:r>
    </w:p>
    <w:p w14:paraId="668612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黑体" w:cs="黑体"/>
          <w:sz w:val="24"/>
          <w:szCs w:val="24"/>
        </w:rPr>
      </w:pPr>
      <w:r>
        <w:rPr>
          <w:rFonts w:hint="eastAsia" w:ascii="Times New Roman" w:hAnsi="Times New Roman"/>
          <w:sz w:val="24"/>
          <w:szCs w:val="24"/>
        </w:rPr>
        <w:t>关键词：人工智能；就业结构变迁；算法管理；外卖骑手；社会应对机制</w:t>
      </w:r>
    </w:p>
    <w:p w14:paraId="06DD7AB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黑体" w:cs="黑体"/>
          <w:b/>
          <w:bCs/>
          <w:sz w:val="28"/>
          <w:szCs w:val="28"/>
        </w:rPr>
      </w:pPr>
      <w:r>
        <w:rPr>
          <w:rFonts w:hint="eastAsia" w:ascii="Times New Roman" w:hAnsi="Times New Roman" w:eastAsia="黑体" w:cs="黑体"/>
          <w:b/>
          <w:bCs/>
          <w:sz w:val="28"/>
          <w:szCs w:val="28"/>
        </w:rPr>
        <w:t>引言</w:t>
      </w:r>
    </w:p>
    <w:p w14:paraId="7421DF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进入21世纪以来，人工智能（</w:t>
      </w:r>
      <w:r>
        <w:rPr>
          <w:rFonts w:hint="default" w:ascii="Times New Roman" w:hAnsi="Times New Roman" w:cs="Times New Roman"/>
          <w:sz w:val="24"/>
          <w:szCs w:val="24"/>
        </w:rPr>
        <w:t>Artificial Intelligence, AI</w:t>
      </w:r>
      <w:r>
        <w:rPr>
          <w:rFonts w:hint="eastAsia" w:ascii="Times New Roman" w:hAnsi="Times New Roman"/>
          <w:sz w:val="24"/>
          <w:szCs w:val="24"/>
        </w:rPr>
        <w:t>）已成为推动全球产业变革与社会发展的核心动力。以机器学习、深度算法与大数据为代表的技术突破，正以前所未有的速度改变着生产模式与劳动形态。特别是在“数字经济”与“智能社会”并行发展的今天，人工智能不仅提升了生产效率，也深刻地影响了劳动市场的结构性变迁。这种变迁既体现在职业数量的增减，也反映在职业属性、技能需求和社会保障体系的重构上。</w:t>
      </w:r>
    </w:p>
    <w:p w14:paraId="678C7D7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传统就业结构的稳定性正在被打破。平台经济、零工经济、灵活就业等新形态的出现，使得“就业”的定义从长期、稳定、全职的劳动契约，转向以任务为单位的灵活协作模式。这种模式一方面拓宽了劳动者的参与空间，创造了更多非标准化就业岗位；另一方面也引发了劳动权益保障不足、职业稳定性下降等社会问题。尤其是在人工智能算法管理体系下，以外卖骑手、网约车司机、内容审核员等为代表的数字劳动群体，成为了</w:t>
      </w:r>
      <w:r>
        <w:rPr>
          <w:rFonts w:hint="default" w:ascii="Times New Roman" w:hAnsi="Times New Roman" w:cs="Times New Roman"/>
          <w:sz w:val="24"/>
          <w:szCs w:val="24"/>
        </w:rPr>
        <w:t>AI</w:t>
      </w:r>
      <w:r>
        <w:rPr>
          <w:rFonts w:hint="eastAsia" w:ascii="Times New Roman" w:hAnsi="Times New Roman"/>
          <w:sz w:val="24"/>
          <w:szCs w:val="24"/>
        </w:rPr>
        <w:t>系统与人类劳动互动最典型的场域。</w:t>
      </w:r>
    </w:p>
    <w:p w14:paraId="0CEA922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外卖骑手这一职业的出现与扩张，是人工智能深度渗透劳动过程的直接体现。通过算法派单、路线规划与绩效评价，平台企业对劳动过程实现了精准化与智能化控制。这一机制提高了生产效率，却同时强化了劳动的“隐性剥削”与“数据异化”。在这种情境下，就业结构变迁不再仅是经济现象，更成为涉及伦理、制度与社会正义的议题。</w:t>
      </w:r>
    </w:p>
    <w:p w14:paraId="1964001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学界普遍认为，人工智能的快速发展推动了就业的“双重效应”：一方面创造了新的就业机会与职业类型；另一方面也替代、压缩了部分传统岗位。例如在制造业与服务业中，自动化技术的广泛应用导致低技能岗位减少，而算法驱动的数字服务业吸纳了大量灵活就业群体。这表明人工智能引发的就业结构变迁具有明显的分层性与再分配效应。</w:t>
      </w:r>
    </w:p>
    <w:p w14:paraId="177F86B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然而，制度层面的应对仍显滞后。当前，中国的劳动法规、社会保障体系与教育培训机制尚未完全适应人工智能时代的劳动形态。传统的社会保障制度以标准就业为前提，对平台劳动者的覆盖范围有限。因此，如何在保障劳动者基本权益的同时促进技术创新，成为人工智能时代社会政策设计的关键课题。</w:t>
      </w:r>
    </w:p>
    <w:p w14:paraId="0EC61E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本文旨在回答三个核心问题：</w:t>
      </w:r>
    </w:p>
    <w:p w14:paraId="5D36481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人工智能如何推动就业结构的变迁？</w:t>
      </w:r>
    </w:p>
    <w:p w14:paraId="7D5C841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算法管理下的外卖骑手劳动机制呈现出怎样的特征与问题？</w:t>
      </w:r>
    </w:p>
    <w:p w14:paraId="44809CE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社会应如何通过制度与政策创新应对人工智能带来的结构性就业挑战？</w:t>
      </w:r>
    </w:p>
    <w:p w14:paraId="4CA8255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为此，本文将首先回顾人工智能与就业变迁的理论基础，其次通过文献综述梳理已有研究成果，再以外卖骑手为案例分析算法管理下的劳动机制，最后提出相应的社会应对与政策建议。</w:t>
      </w:r>
    </w:p>
    <w:p w14:paraId="4666F80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黑体" w:cs="黑体"/>
          <w:b w:val="0"/>
          <w:bCs w:val="0"/>
          <w:sz w:val="28"/>
          <w:szCs w:val="28"/>
        </w:rPr>
      </w:pPr>
      <w:r>
        <w:rPr>
          <w:rFonts w:hint="eastAsia" w:ascii="Times New Roman" w:hAnsi="Times New Roman" w:eastAsia="黑体" w:cs="黑体"/>
          <w:b w:val="0"/>
          <w:bCs w:val="0"/>
          <w:sz w:val="28"/>
          <w:szCs w:val="28"/>
        </w:rPr>
        <w:t>第一章 人工智能与就业结构变迁的理论背景</w:t>
      </w:r>
    </w:p>
    <w:p w14:paraId="4077AB7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w:t>
      </w:r>
      <w:r>
        <w:rPr>
          <w:rFonts w:hint="default" w:ascii="Times New Roman" w:hAnsi="Times New Roman" w:cs="Times New Roman"/>
          <w:sz w:val="24"/>
          <w:szCs w:val="24"/>
        </w:rPr>
        <w:t>Artificial Intelligence, AI</w:t>
      </w:r>
      <w:r>
        <w:rPr>
          <w:rFonts w:hint="eastAsia" w:ascii="Times New Roman" w:hAnsi="Times New Roman"/>
          <w:sz w:val="24"/>
          <w:szCs w:val="24"/>
        </w:rPr>
        <w:t>）作为当代技术革命的核心动力，已深刻重塑了社会生产方式、劳动组织结构以及就业形态。要理解其对就业结构的影响，必须从经济学、劳动社会学与技术哲学的多重理论视角出发。学界主要通过三种理论路径——技术替代理论、任务重组理论与就业创造理论——来分析人工智能与就业之间的互动关系。这三种理论既揭示了人工智能推动就业变迁的机制，也反映了就业市场的结构性分化趋势。</w:t>
      </w:r>
    </w:p>
    <w:p w14:paraId="0759FD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b/>
          <w:bCs/>
          <w:sz w:val="24"/>
          <w:szCs w:val="24"/>
        </w:rPr>
        <w:t>一、技术替代理论：人工智能对劳动力的“替代效应”</w:t>
      </w:r>
    </w:p>
    <w:p w14:paraId="753C6FA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技术替代理论是分析人工智能对就业影响的最早框架。该理论认为，机器与算法的出现使得部分以重复性、标准化任务为主的劳动被自动化系统所取代，从而造成就业岗位的减少。随着深度学习与智能感知技术的突破，人工智能已不仅限于制造业与物流业的自动化，而逐步渗透到服务业、行政管理、金融决策等领域。例如，客服机器人、智能分拣系统、</w:t>
      </w:r>
      <w:r>
        <w:rPr>
          <w:rFonts w:hint="default" w:ascii="Times New Roman" w:hAnsi="Times New Roman" w:cs="Times New Roman"/>
          <w:sz w:val="24"/>
          <w:szCs w:val="24"/>
        </w:rPr>
        <w:t>AI</w:t>
      </w:r>
      <w:r>
        <w:rPr>
          <w:rFonts w:hint="eastAsia" w:ascii="Times New Roman" w:hAnsi="Times New Roman"/>
          <w:sz w:val="24"/>
          <w:szCs w:val="24"/>
        </w:rPr>
        <w:t>写作工具等的应用，使传统岗位中的基础任务被系统性替代。</w:t>
      </w:r>
    </w:p>
    <w:p w14:paraId="2E4EDB0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技术替代的本质在于资本与劳动的重新配置。人工智能的广泛部署导致了劳动力需求的“极化”：高技能与创新型岗位增长迅速，而中低技能岗位则面临缩减压力。这种结构性失衡强化了劳动市场的两极分化趋势，也使得“技术性失业”成为现实挑战。部分研究者将此视为“数字泰勒主义”的延伸，即以算法为核心的劳动控制与效率优化，进一步压缩了劳动者在生产过程中的自主性。</w:t>
      </w:r>
    </w:p>
    <w:p w14:paraId="656ACA0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然而，技术替代理论虽揭示了人工智能的“消极面”，但它无法全面解释为什么总就业量在宏观上并未持续下降。随着人工智能的应用，新的产业与职业类型不断涌现，这便引出了“任务重组”与“就业创造”的新视角。</w:t>
      </w:r>
    </w:p>
    <w:p w14:paraId="62D00D6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二、任务重组理论：劳动内容的重构与技能迁移</w:t>
      </w:r>
    </w:p>
    <w:p w14:paraId="5190960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任务重组理论（</w:t>
      </w:r>
      <w:r>
        <w:rPr>
          <w:rFonts w:hint="default" w:ascii="Times New Roman" w:hAnsi="Times New Roman" w:cs="Times New Roman"/>
          <w:sz w:val="24"/>
          <w:szCs w:val="24"/>
        </w:rPr>
        <w:t>Task Recomposition Theory</w:t>
      </w:r>
      <w:r>
        <w:rPr>
          <w:rFonts w:hint="eastAsia" w:ascii="Times New Roman" w:hAnsi="Times New Roman"/>
          <w:sz w:val="24"/>
          <w:szCs w:val="24"/>
        </w:rPr>
        <w:t>）强调，人工智能的引入并不只是单纯替代，而是改变劳动过程的分工结构。机器接管的是“可编程任务”，而人类劳动者转向执行创造性、情境性与情感性任务。在这一理论视角下，人工智能与劳动者形成“人机协同”关系，而非单向取代。这种协同结构在平台经济中尤为突出：骑手、主播、设计师等新职业的劳动内容均受到算法规则的塑造，但仍依赖人类的决策与情感劳动来实现用户体验优化。</w:t>
      </w:r>
    </w:p>
    <w:p w14:paraId="2F6346F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此外，任务重组理论还强调技能迁移的重要性。人工智能的广泛应用使得劳动者的职业技能不断更新，从传统的“岗位型技能”向“数据理解、算法交互与数字沟通”方向转变。因此，教育体系与职业培训必须及时响应，培养与</w:t>
      </w:r>
      <w:r>
        <w:rPr>
          <w:rFonts w:hint="default" w:ascii="Times New Roman" w:hAnsi="Times New Roman" w:cs="Times New Roman"/>
          <w:sz w:val="24"/>
          <w:szCs w:val="24"/>
        </w:rPr>
        <w:t>AI</w:t>
      </w:r>
      <w:r>
        <w:rPr>
          <w:rFonts w:hint="eastAsia" w:ascii="Times New Roman" w:hAnsi="Times New Roman"/>
          <w:sz w:val="24"/>
          <w:szCs w:val="24"/>
        </w:rPr>
        <w:t>共处的新型劳动力结构。这一观点也得到国际研究的支持。例如，</w:t>
      </w:r>
      <w:r>
        <w:rPr>
          <w:rFonts w:hint="default" w:ascii="Times New Roman" w:hAnsi="Times New Roman" w:cs="Times New Roman"/>
          <w:sz w:val="24"/>
          <w:szCs w:val="24"/>
        </w:rPr>
        <w:t>Chen et al. (2022)</w:t>
      </w:r>
      <w:r>
        <w:rPr>
          <w:rFonts w:hint="default" w:ascii="Times New Roman" w:hAnsi="Times New Roman" w:cs="Times New Roman"/>
          <w:sz w:val="24"/>
          <w:szCs w:val="24"/>
          <w:vertAlign w:val="superscript"/>
          <w:lang w:val="en-US" w:eastAsia="zh-CN"/>
        </w:rPr>
        <w:t>[1</w:t>
      </w:r>
      <w:r>
        <w:rPr>
          <w:rFonts w:hint="eastAsia" w:ascii="Times New Roman" w:hAnsi="Times New Roman" w:cs="Times New Roman"/>
          <w:sz w:val="24"/>
          <w:szCs w:val="24"/>
          <w:vertAlign w:val="superscript"/>
          <w:lang w:val="en-US" w:eastAsia="zh-CN"/>
        </w:rPr>
        <w:t>1</w:t>
      </w:r>
      <w:r>
        <w:rPr>
          <w:rFonts w:hint="default" w:ascii="Times New Roman" w:hAnsi="Times New Roman" w:cs="Times New Roman"/>
          <w:sz w:val="24"/>
          <w:szCs w:val="24"/>
          <w:vertAlign w:val="superscript"/>
          <w:lang w:val="en-US" w:eastAsia="zh-CN"/>
        </w:rPr>
        <w:t>]</w:t>
      </w:r>
      <w:r>
        <w:rPr>
          <w:rFonts w:hint="eastAsia" w:ascii="Times New Roman" w:hAnsi="Times New Roman"/>
          <w:sz w:val="24"/>
          <w:szCs w:val="24"/>
        </w:rPr>
        <w:t>对中国外卖骑手的算法管理实践进行混合方法分析后指出，算法不仅重塑了劳动节奏，也促使骑手发展“策略性数字技能”，以在算法规则中获得更高收益。</w:t>
      </w:r>
    </w:p>
    <w:p w14:paraId="3E1F07C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任务重组理论揭示出人工智能与劳动者之间的“动态博弈关系”：劳动并未消失，而是被重新配置到新的任务结构中。其关键不在于“是否被取代”，而在于“如何被重组”。</w:t>
      </w:r>
    </w:p>
    <w:p w14:paraId="7846736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三、就业创造理论：人工智能的“乘数效应”</w:t>
      </w:r>
    </w:p>
    <w:p w14:paraId="09796A0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与技术替代理论相对的，是就业创造理论</w:t>
      </w:r>
      <w:r>
        <w:rPr>
          <w:rFonts w:hint="default" w:ascii="Times New Roman" w:hAnsi="Times New Roman" w:cs="Times New Roman"/>
          <w:sz w:val="24"/>
          <w:szCs w:val="24"/>
        </w:rPr>
        <w:t>（Employment Creation Theory）</w:t>
      </w:r>
      <w:r>
        <w:rPr>
          <w:rFonts w:hint="eastAsia" w:ascii="Times New Roman" w:hAnsi="Times New Roman"/>
          <w:sz w:val="24"/>
          <w:szCs w:val="24"/>
        </w:rPr>
        <w:t>。</w:t>
      </w:r>
      <w:r>
        <w:rPr>
          <w:rFonts w:hint="eastAsia" w:ascii="Times New Roman" w:hAnsi="Times New Roman" w:eastAsiaTheme="minorEastAsia" w:cstheme="minorEastAsia"/>
          <w:sz w:val="24"/>
          <w:szCs w:val="24"/>
        </w:rPr>
        <w:t>该理论认为，人工智能通过产业升级与创新驱动，反而带来了新的就业机会。张传勇与蔡琪梦（2021）</w:t>
      </w:r>
      <w:r>
        <w:rPr>
          <w:rFonts w:hint="eastAsia" w:ascii="Times New Roman" w:hAnsi="Times New Roman" w:eastAsiaTheme="minorEastAsia" w:cstheme="minorEastAsia"/>
          <w:sz w:val="24"/>
          <w:szCs w:val="24"/>
          <w:vertAlign w:val="superscript"/>
          <w:lang w:val="en-US" w:eastAsia="zh-CN"/>
        </w:rPr>
        <w:t>[5]</w:t>
      </w:r>
      <w:r>
        <w:rPr>
          <w:rFonts w:hint="eastAsia" w:ascii="Times New Roman" w:hAnsi="Times New Roman" w:eastAsiaTheme="minorEastAsia" w:cstheme="minorEastAsia"/>
          <w:sz w:val="24"/>
          <w:szCs w:val="24"/>
        </w:rPr>
        <w:t>基于城市数字经济数据发现，数字普惠金融与</w:t>
      </w:r>
      <w:r>
        <w:rPr>
          <w:rFonts w:hint="default" w:ascii="Times New Roman" w:hAnsi="Times New Roman" w:cs="Times New Roman"/>
          <w:sz w:val="24"/>
          <w:szCs w:val="24"/>
        </w:rPr>
        <w:t>AI</w:t>
      </w:r>
      <w:r>
        <w:rPr>
          <w:rFonts w:hint="eastAsia" w:ascii="Times New Roman" w:hAnsi="Times New Roman"/>
          <w:sz w:val="24"/>
          <w:szCs w:val="24"/>
        </w:rPr>
        <w:t>技术</w:t>
      </w:r>
      <w:r>
        <w:rPr>
          <w:rFonts w:hint="eastAsia" w:ascii="Times New Roman" w:hAnsi="Times New Roman" w:eastAsiaTheme="minorEastAsia" w:cstheme="minorEastAsia"/>
          <w:sz w:val="24"/>
          <w:szCs w:val="24"/>
        </w:rPr>
        <w:t>的发展促进了零工经济的扩张，并为服务业创造了大量非传统就业岗位。中国信通院（2021）</w:t>
      </w:r>
      <w:r>
        <w:rPr>
          <w:rFonts w:hint="eastAsia" w:ascii="Times New Roman" w:hAnsi="Times New Roman" w:eastAsiaTheme="minorEastAsia" w:cstheme="minorEastAsia"/>
          <w:sz w:val="24"/>
          <w:szCs w:val="24"/>
          <w:vertAlign w:val="superscript"/>
          <w:lang w:val="en-US" w:eastAsia="zh-CN"/>
        </w:rPr>
        <w:t>[7]</w:t>
      </w:r>
      <w:r>
        <w:rPr>
          <w:rFonts w:hint="eastAsia" w:ascii="Times New Roman" w:hAnsi="Times New Roman" w:eastAsiaTheme="minorEastAsia" w:cstheme="minorEastAsia"/>
          <w:sz w:val="24"/>
          <w:szCs w:val="24"/>
        </w:rPr>
        <w:t>的报告也指出，数字经济创造了超过2亿个新型就业机会，尤其集中在数</w:t>
      </w:r>
      <w:r>
        <w:rPr>
          <w:rFonts w:hint="eastAsia" w:ascii="Times New Roman" w:hAnsi="Times New Roman"/>
          <w:sz w:val="24"/>
          <w:szCs w:val="24"/>
        </w:rPr>
        <w:t>据服务、算法工程、平台运营等新兴职业。</w:t>
      </w:r>
    </w:p>
    <w:p w14:paraId="1E06D1E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就业创造的关键机制在于“技术外溢效应”与“产业链带动效应”。一方面，</w:t>
      </w:r>
      <w:r>
        <w:rPr>
          <w:rFonts w:hint="default" w:ascii="Times New Roman" w:hAnsi="Times New Roman" w:cs="Times New Roman"/>
          <w:sz w:val="24"/>
          <w:szCs w:val="24"/>
        </w:rPr>
        <w:t>AI</w:t>
      </w:r>
      <w:r>
        <w:rPr>
          <w:rFonts w:hint="eastAsia" w:ascii="Times New Roman" w:hAnsi="Times New Roman"/>
          <w:sz w:val="24"/>
          <w:szCs w:val="24"/>
        </w:rPr>
        <w:t>推动企业数字化转型，为劳动力市场注入新的岗位需求；另一方面，新职业的出现带来了配套行业的扩张，如算法标注员、数据安全员、平台管理者等。数字经济发展对服务业就业具有显著正向影响，尤其在中小城市和第三产业领域更为突出。</w:t>
      </w:r>
    </w:p>
    <w:p w14:paraId="35D89C9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然而，就业创造理论并不意味着人工智能带来普遍的“就业红利”。平台型就业虽然数量庞大，但多以灵活用工为主，缺乏稳定的劳动合同与社会保障。这种就业结构的“非标准化”特征，使得劳动者面临收入波动与保障缺失等问题，从而引发新的社会不平等。</w:t>
      </w:r>
    </w:p>
    <w:p w14:paraId="3323353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四、小结：从理论到现实的综合分析框架</w:t>
      </w:r>
    </w:p>
    <w:p w14:paraId="6EC67A5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综上，人工智能影响就业结构的路径可分为三个层次：替代层面——人工智能通过自动化减少部分岗位需求；重组层面——劳动内容和技能需求被重新定义；创造层面——产业创新带来新岗位与就业模式。</w:t>
      </w:r>
    </w:p>
    <w:p w14:paraId="0DB291E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这三种机制在现实中并非孤立存在，而是交织互动的。以外卖骑手为例，算法系统既替代了传统调度岗位（替代效应），又重构了劳动任务（重组效应），同时创造了新的职业类型（创造效应）。因此，人工智能引发的就业变迁应被理解为一种结构性再分配过程，而非单向度的技术冲击。</w:t>
      </w:r>
    </w:p>
    <w:p w14:paraId="4EDB5A4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本章的理论框架为后续分析提供了基础。下一章将通过系统的文献综述，进一步总结学界对人工智能与就业变迁关系的研究成果与不足。</w:t>
      </w:r>
    </w:p>
    <w:p w14:paraId="3D0ECE2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黑体" w:cs="黑体"/>
          <w:b w:val="0"/>
          <w:bCs w:val="0"/>
          <w:sz w:val="28"/>
          <w:szCs w:val="28"/>
        </w:rPr>
      </w:pPr>
      <w:r>
        <w:rPr>
          <w:rFonts w:hint="eastAsia" w:ascii="Times New Roman" w:hAnsi="Times New Roman" w:eastAsia="黑体" w:cs="黑体"/>
          <w:b w:val="0"/>
          <w:bCs w:val="0"/>
          <w:sz w:val="28"/>
          <w:szCs w:val="28"/>
        </w:rPr>
        <w:t>第二章 文献综述</w:t>
      </w:r>
    </w:p>
    <w:p w14:paraId="52D28F9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人工智能（Artificial Intelligence, AI）对就业结构和劳动关系的影响，已成为当代经济学、社会学与劳动研究的重要议题。国内外学者围绕就业结构变迁、平台经济劳动关系、技能变革与社会保障应对等方面进行了广泛探讨。总体而言，现有研究集中在四个方向：①人工智能驱动的就业结构变迁；②灵活就业与劳动关系重塑；③算法管理与劳动伦理；④制度创新与社会保障应对机制。</w:t>
      </w:r>
    </w:p>
    <w:p w14:paraId="6C0272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一、人工智能与就业结构的重构</w:t>
      </w:r>
    </w:p>
    <w:p w14:paraId="51F3566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关于人工智能如何重塑就业结构，学界主要从宏观与微观两个层面展开讨论。邓洲与黄娅娜（2019）</w:t>
      </w:r>
      <w:r>
        <w:rPr>
          <w:rFonts w:hint="eastAsia" w:ascii="Times New Roman" w:hAnsi="Times New Roman"/>
          <w:sz w:val="24"/>
          <w:szCs w:val="24"/>
          <w:vertAlign w:val="superscript"/>
          <w:lang w:val="en-US" w:eastAsia="zh-CN"/>
        </w:rPr>
        <w:t>[2]</w:t>
      </w:r>
      <w:r>
        <w:rPr>
          <w:rFonts w:hint="eastAsia" w:ascii="Times New Roman" w:hAnsi="Times New Roman"/>
          <w:sz w:val="24"/>
          <w:szCs w:val="24"/>
        </w:rPr>
        <w:t>指出，人工智能的发展通过技术替代效应对劳动市场产生结构性影响，导致低技能劳动岗位减少、高技能岗位增加，呈现“就业极化”趋势（邓洲&amp;黄娅娜, 2019；来源：中国社会科学网）。程承坪（2023）</w:t>
      </w:r>
      <w:r>
        <w:rPr>
          <w:rFonts w:hint="eastAsia" w:ascii="Times New Roman" w:hAnsi="Times New Roman"/>
          <w:sz w:val="24"/>
          <w:szCs w:val="24"/>
          <w:vertAlign w:val="superscript"/>
          <w:lang w:val="en-US" w:eastAsia="zh-CN"/>
        </w:rPr>
        <w:t>[1]</w:t>
      </w:r>
      <w:r>
        <w:rPr>
          <w:rFonts w:hint="eastAsia" w:ascii="Times New Roman" w:hAnsi="Times New Roman"/>
          <w:sz w:val="24"/>
          <w:szCs w:val="24"/>
        </w:rPr>
        <w:t>进一步强调，人工智能不仅改变就业数量，更深刻影响职业结构与劳动生产率，其结果是就业结构从“体力密集型”向“知识密集型”转型（程承坪, 2023；来源：人民论坛·学术前沿）。王林辉（2023）</w:t>
      </w:r>
      <w:r>
        <w:rPr>
          <w:rFonts w:hint="eastAsia" w:ascii="Times New Roman" w:hAnsi="Times New Roman"/>
          <w:sz w:val="24"/>
          <w:szCs w:val="24"/>
          <w:vertAlign w:val="superscript"/>
          <w:lang w:val="en-US" w:eastAsia="zh-CN"/>
        </w:rPr>
        <w:t>[6]</w:t>
      </w:r>
      <w:r>
        <w:rPr>
          <w:rFonts w:hint="eastAsia" w:ascii="Times New Roman" w:hAnsi="Times New Roman"/>
          <w:sz w:val="24"/>
          <w:szCs w:val="24"/>
        </w:rPr>
        <w:t>从职业变迁视角指出，人工智能在重塑职业类型的同时，导致传统职业阶层的分化与新职业的兴起，如算法设计师、数据标注员、数字客服等（王林辉, 2023；来源：吉林大学管理学院）。高奕晨等（2025）</w:t>
      </w:r>
      <w:r>
        <w:rPr>
          <w:rFonts w:hint="eastAsia" w:ascii="Times New Roman" w:hAnsi="Times New Roman"/>
          <w:sz w:val="24"/>
          <w:szCs w:val="24"/>
          <w:vertAlign w:val="superscript"/>
          <w:lang w:val="en-US" w:eastAsia="zh-CN"/>
        </w:rPr>
        <w:t>[9]</w:t>
      </w:r>
      <w:r>
        <w:rPr>
          <w:rFonts w:hint="eastAsia" w:ascii="Times New Roman" w:hAnsi="Times New Roman"/>
          <w:sz w:val="24"/>
          <w:szCs w:val="24"/>
        </w:rPr>
        <w:t>的实证研究表明，数字经济发展显著促进服务业就业扩张，尤其是在中小城市和第三产业领域中，AI与就业增长呈正相关关系（高奕晨等, 2025；来源：WSP财经研究）。</w:t>
      </w:r>
    </w:p>
    <w:p w14:paraId="3DE281F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这些研究说明人工智能并非单纯造成“技术性失业”，而是引发了就业结构的再平衡。总体趋势是，传统行业岗位减少，而新兴数字职业与灵活就业崛起。</w:t>
      </w:r>
    </w:p>
    <w:p w14:paraId="5F473E5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二、灵活就业与劳动关系的再造</w:t>
      </w:r>
    </w:p>
    <w:p w14:paraId="2064017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人工智能的扩散加速了平台经济与零工经济的发展，形成了新的劳动组织形式。任文轩（2024）</w:t>
      </w:r>
      <w:r>
        <w:rPr>
          <w:rFonts w:hint="eastAsia" w:ascii="Times New Roman" w:hAnsi="Times New Roman"/>
          <w:sz w:val="24"/>
          <w:szCs w:val="24"/>
          <w:vertAlign w:val="superscript"/>
          <w:lang w:val="en-US" w:eastAsia="zh-CN"/>
        </w:rPr>
        <w:t>[4]</w:t>
      </w:r>
      <w:r>
        <w:rPr>
          <w:rFonts w:hint="eastAsia" w:ascii="Times New Roman" w:hAnsi="Times New Roman"/>
          <w:sz w:val="24"/>
          <w:szCs w:val="24"/>
        </w:rPr>
        <w:t>认为，数字平台通过算法实现劳动供需的高效匹配，但同时也弱化了传统劳动契约关系，使得劳动关系呈现出“去雇佣化”特征（任文轩, 2024；来源：中国集体经济期刊）。李琳琳（2025）</w:t>
      </w:r>
      <w:r>
        <w:rPr>
          <w:rFonts w:hint="eastAsia" w:ascii="Times New Roman" w:hAnsi="Times New Roman"/>
          <w:sz w:val="24"/>
          <w:szCs w:val="24"/>
          <w:vertAlign w:val="superscript"/>
          <w:lang w:val="en-US" w:eastAsia="zh-CN"/>
        </w:rPr>
        <w:t>[3]</w:t>
      </w:r>
      <w:r>
        <w:rPr>
          <w:rFonts w:hint="eastAsia" w:ascii="Times New Roman" w:hAnsi="Times New Roman"/>
          <w:sz w:val="24"/>
          <w:szCs w:val="24"/>
        </w:rPr>
        <w:t>指出，在数字经济背景下，灵活就业者虽然拓宽了就业渠道，但普遍缺乏社会保障与职业安全感，这要求制度创新来弥补平台劳动的“保障空白”（李琳琳, 2025；来源：经济管理前沿）。</w:t>
      </w:r>
    </w:p>
    <w:p w14:paraId="430BF9E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此外，张传勇与蔡琪梦（2021）</w:t>
      </w:r>
      <w:r>
        <w:rPr>
          <w:rFonts w:hint="eastAsia" w:ascii="Times New Roman" w:hAnsi="Times New Roman"/>
          <w:sz w:val="24"/>
          <w:szCs w:val="24"/>
          <w:vertAlign w:val="superscript"/>
          <w:lang w:val="en-US" w:eastAsia="zh-CN"/>
        </w:rPr>
        <w:t>[5]</w:t>
      </w:r>
      <w:r>
        <w:rPr>
          <w:rFonts w:hint="eastAsia" w:ascii="Times New Roman" w:hAnsi="Times New Roman"/>
          <w:sz w:val="24"/>
          <w:szCs w:val="24"/>
        </w:rPr>
        <w:t>通过对城市数字普惠金融与零工经济的研究发现，数字经济的发展促进了灵活就业的扩大，但同时也加剧了劳动市场的区域与技能差距（张传勇&amp;蔡琪梦, 2021；来源：上海财经大学学报）。沈宏亮</w:t>
      </w:r>
      <w:r>
        <w:rPr>
          <w:rFonts w:hint="eastAsia" w:ascii="Times New Roman" w:hAnsi="Times New Roman"/>
          <w:sz w:val="24"/>
          <w:szCs w:val="24"/>
          <w:lang w:val="en-US" w:eastAsia="zh-CN"/>
        </w:rPr>
        <w:t>等</w:t>
      </w:r>
      <w:r>
        <w:rPr>
          <w:rFonts w:hint="eastAsia" w:ascii="Times New Roman" w:hAnsi="Times New Roman"/>
          <w:sz w:val="24"/>
          <w:szCs w:val="24"/>
        </w:rPr>
        <w:t>（2024）</w:t>
      </w:r>
      <w:r>
        <w:rPr>
          <w:rFonts w:hint="eastAsia" w:ascii="Times New Roman" w:hAnsi="Times New Roman"/>
          <w:sz w:val="24"/>
          <w:szCs w:val="24"/>
          <w:vertAlign w:val="superscript"/>
          <w:lang w:val="en-US" w:eastAsia="zh-CN"/>
        </w:rPr>
        <w:t>[10]</w:t>
      </w:r>
      <w:r>
        <w:rPr>
          <w:rFonts w:hint="eastAsia" w:ascii="Times New Roman" w:hAnsi="Times New Roman"/>
          <w:sz w:val="24"/>
          <w:szCs w:val="24"/>
        </w:rPr>
        <w:t>的研究也表明，企业数字化转型在创造新就业岗位的同时，对传统岗位造成了“岗位置换”，形成“创造与破坏并存”的动态效应（沈宏亮</w:t>
      </w:r>
      <w:r>
        <w:rPr>
          <w:rFonts w:hint="eastAsia" w:ascii="Times New Roman" w:hAnsi="Times New Roman"/>
          <w:sz w:val="24"/>
          <w:szCs w:val="24"/>
          <w:lang w:eastAsia="zh-CN"/>
        </w:rPr>
        <w:t>、</w:t>
      </w:r>
      <w:r>
        <w:rPr>
          <w:rFonts w:hint="eastAsia" w:ascii="Times New Roman" w:hAnsi="Times New Roman"/>
          <w:sz w:val="24"/>
          <w:szCs w:val="24"/>
        </w:rPr>
        <w:t>宋思萌</w:t>
      </w:r>
      <w:r>
        <w:rPr>
          <w:rFonts w:hint="eastAsia" w:ascii="Times New Roman" w:hAnsi="Times New Roman"/>
          <w:sz w:val="24"/>
          <w:szCs w:val="24"/>
          <w:lang w:val="en-US" w:eastAsia="zh-CN"/>
        </w:rPr>
        <w:t>与</w:t>
      </w:r>
      <w:r>
        <w:rPr>
          <w:rFonts w:hint="eastAsia" w:ascii="Times New Roman" w:hAnsi="Times New Roman"/>
          <w:sz w:val="24"/>
          <w:szCs w:val="24"/>
        </w:rPr>
        <w:t>李杰</w:t>
      </w:r>
      <w:r>
        <w:rPr>
          <w:rFonts w:hint="eastAsia" w:ascii="Times New Roman" w:hAnsi="Times New Roman"/>
          <w:sz w:val="24"/>
          <w:szCs w:val="24"/>
          <w:lang w:eastAsia="zh-CN"/>
        </w:rPr>
        <w:t>，</w:t>
      </w:r>
      <w:r>
        <w:rPr>
          <w:rFonts w:hint="eastAsia" w:ascii="Times New Roman" w:hAnsi="Times New Roman"/>
          <w:sz w:val="24"/>
          <w:szCs w:val="24"/>
        </w:rPr>
        <w:t>2024；来源：统计与信息论坛）。</w:t>
      </w:r>
    </w:p>
    <w:p w14:paraId="3F690F5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总体来看，AI技术与数字平台推动了劳动关系的去中心化和灵活化，但也使得劳动者的议价权下降、社会保障覆盖不足。这一现象为后文的算法劳动案例分析提供了理论支撑。</w:t>
      </w:r>
    </w:p>
    <w:p w14:paraId="2FA985C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三、算法管理与劳动伦理问题</w:t>
      </w:r>
    </w:p>
    <w:p w14:paraId="16EFEFF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算法管理是人工智能在劳动领域最直接的应用形态。它通过数据收集、绩效算法与自动派单系统，实现了劳动过程的智能调度。Chen et al. (2022)</w:t>
      </w:r>
      <w:r>
        <w:rPr>
          <w:rFonts w:hint="eastAsia" w:ascii="Times New Roman" w:hAnsi="Times New Roman"/>
          <w:sz w:val="24"/>
          <w:szCs w:val="24"/>
          <w:vertAlign w:val="superscript"/>
        </w:rPr>
        <w:t xml:space="preserve"> </w:t>
      </w:r>
      <w:r>
        <w:rPr>
          <w:rFonts w:hint="eastAsia" w:ascii="Times New Roman" w:hAnsi="Times New Roman"/>
          <w:sz w:val="24"/>
          <w:szCs w:val="24"/>
          <w:vertAlign w:val="superscript"/>
          <w:lang w:val="en-US" w:eastAsia="zh-CN"/>
        </w:rPr>
        <w:t>[11]</w:t>
      </w:r>
      <w:r>
        <w:rPr>
          <w:rFonts w:hint="eastAsia" w:ascii="Times New Roman" w:hAnsi="Times New Roman"/>
          <w:sz w:val="24"/>
          <w:szCs w:val="24"/>
        </w:rPr>
        <w:t>的英文研究基于对中国外卖骑手的混合方法分析指出，算法派单系统强化了劳动节奏与效率控制，使劳动者处于“被计算的劳动”状态（Chen, Lan, Piao, Zhang, &amp; Li, 2022；来源：arXiv.org）。</w:t>
      </w:r>
    </w:p>
    <w:p w14:paraId="30DA4B0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四、社会制度与政策应对研究</w:t>
      </w:r>
    </w:p>
    <w:p w14:paraId="570126B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在政策与社会保障层面，国内研究普遍认为，人工智能时代的就业变迁对传统社会保障体系提出挑战。中国信通院（2021）</w:t>
      </w:r>
      <w:r>
        <w:rPr>
          <w:rFonts w:hint="eastAsia" w:ascii="Times New Roman" w:hAnsi="Times New Roman"/>
          <w:sz w:val="24"/>
          <w:szCs w:val="24"/>
          <w:vertAlign w:val="superscript"/>
          <w:lang w:val="en-US" w:eastAsia="zh-CN"/>
        </w:rPr>
        <w:t>[7]</w:t>
      </w:r>
      <w:r>
        <w:rPr>
          <w:rFonts w:hint="eastAsia" w:ascii="Times New Roman" w:hAnsi="Times New Roman"/>
          <w:sz w:val="24"/>
          <w:szCs w:val="24"/>
        </w:rPr>
        <w:t>的《数字经济就业发展报告》指出，数字经济创造了大量就业机会，但也暴露出“灵活就业群体保障不足”的现实问题，亟需制度层面的创新（中国信通院, 2021；来源：中国信息通信研究院）。同时，中国社会科学院（2025）</w:t>
      </w:r>
      <w:r>
        <w:rPr>
          <w:rFonts w:hint="eastAsia" w:ascii="Times New Roman" w:hAnsi="Times New Roman"/>
          <w:sz w:val="24"/>
          <w:szCs w:val="24"/>
          <w:vertAlign w:val="superscript"/>
          <w:lang w:val="en-US" w:eastAsia="zh-CN"/>
        </w:rPr>
        <w:t>[8]</w:t>
      </w:r>
      <w:r>
        <w:rPr>
          <w:rFonts w:hint="eastAsia" w:ascii="Times New Roman" w:hAnsi="Times New Roman"/>
          <w:sz w:val="24"/>
          <w:szCs w:val="24"/>
        </w:rPr>
        <w:t>的研究强调，应通过税收激励、社保补贴与职业教育改革，建立面向数字劳动者的保障体系（来源：中国社会科学网）。</w:t>
      </w:r>
    </w:p>
    <w:p w14:paraId="12A50ED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rPr>
        <w:t>五、研究评述</w:t>
      </w:r>
    </w:p>
    <w:p w14:paraId="343CFE0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综合上述文献可见，人工智能对就业的影响具有双重性。一方面，AI带来了产业升级、职业创新与就业机会的扩张；另一方面，它也造成了劳动不稳定、职业风险与伦理困境。现有研究为本文提供了重要的理论支撑，但仍存在两方面不足：</w:t>
      </w:r>
    </w:p>
    <w:p w14:paraId="31FCB7A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一是关于算法劳动的实证研究多聚焦劳动过程描述，缺乏对就业结构整体性变迁的宏观分析；</w:t>
      </w:r>
    </w:p>
    <w:p w14:paraId="0E8AFDA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二是社会应对机制研究仍停留在政策建议层面，缺乏制度实践的系统性评估。</w:t>
      </w:r>
    </w:p>
    <w:p w14:paraId="1C6B1AF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因此，本文将在后续章节中，以外卖骑手算法管理为案例，从就业结构变迁与社会应对机制的互动视角，探讨人工智能时代就业问题的本质特征与解决路径。</w:t>
      </w:r>
    </w:p>
    <w:p w14:paraId="5C1ED22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黑体" w:cs="黑体"/>
          <w:sz w:val="28"/>
          <w:szCs w:val="28"/>
        </w:rPr>
      </w:pPr>
      <w:r>
        <w:rPr>
          <w:rFonts w:hint="eastAsia" w:ascii="Times New Roman" w:hAnsi="Times New Roman" w:eastAsia="黑体" w:cs="黑体"/>
          <w:sz w:val="28"/>
          <w:szCs w:val="28"/>
        </w:rPr>
        <w:t>第三章 以外卖骑手算法管理为例的案例分析</w:t>
      </w:r>
    </w:p>
    <w:p w14:paraId="0DFC68B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一、</w:t>
      </w:r>
      <w:r>
        <w:rPr>
          <w:rFonts w:hint="eastAsia" w:ascii="Times New Roman" w:hAnsi="Times New Roman"/>
          <w:b/>
          <w:bCs/>
          <w:sz w:val="24"/>
          <w:szCs w:val="24"/>
        </w:rPr>
        <w:t>外卖骑手职业的兴起与结构特征</w:t>
      </w:r>
    </w:p>
    <w:p w14:paraId="3996584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随着互联网平台经济的蓬勃发展，外卖配送行业成为数字劳动中最典型的代表之一。据美团研究院（2023）发布的数据，中国平台型灵活就业人数已超过2亿，其中外卖骑手群体超过1300万人。该群体的快速增长，标志着人工智能与算法系统已深度嵌入劳动市场的运行机制。</w:t>
      </w:r>
    </w:p>
    <w:p w14:paraId="184F139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外卖骑手的劳动过程具有三大显著特征：平台依附性强、劳动组织松散、算法控制深入。在平台算法的驱动下，骑手并非传统意义上的企业雇员，而是通过APP接单的独立劳动者。这种“伪独立”状态使其既不享有传统雇员的劳动保障，也不具备完全的职业自主性。算法管理系统以订单分配、路线优化、时效考核等形式构建了数字劳动的制度化结构，从而在数据层面实现了劳动控制与绩效约束。</w:t>
      </w:r>
    </w:p>
    <w:p w14:paraId="6A5BE86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骑手劳动的结构性分层同样显著。以美团、饿了么为例，平台根据配送效率、客户评分、出勤率等算法指标，对骑手进行等级划分。高等级骑手可获得更优订单与收益，而低等级骑手则面临“算法惩罚”与收入下降的风险。这种算法导向的劳动竞争机制，导致劳动市场出现“数字化分层”与“算法性不平等”现象。</w:t>
      </w:r>
    </w:p>
    <w:p w14:paraId="72C72D3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二、</w:t>
      </w:r>
      <w:r>
        <w:rPr>
          <w:rFonts w:hint="eastAsia" w:ascii="Times New Roman" w:hAnsi="Times New Roman"/>
          <w:b/>
          <w:bCs/>
          <w:sz w:val="24"/>
          <w:szCs w:val="24"/>
        </w:rPr>
        <w:t>算法管理机制的运行逻辑</w:t>
      </w:r>
    </w:p>
    <w:p w14:paraId="78CBE54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人工智能在外卖骑手劳动中的作用主要体现在算法派单、路径规划与绩效评估三方面。</w:t>
      </w:r>
    </w:p>
    <w:p w14:paraId="7A6DA5A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首先，算法派单系统通过机器学习与地理信息技术，根据骑手历史绩效、实时位置与顾客评分等数据，计算最优订单匹配。该机制表面上提高了效率，但实质上强化了对劳动者的隐性控制。这种算法逻辑以“效率优先”为目标，忽视了劳动者个体差异与人性需求，易导致劳动者“被数据化”的异化状态。</w:t>
      </w:r>
    </w:p>
    <w:p w14:paraId="7B2CCD7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highlight w:val="none"/>
        </w:rPr>
      </w:pPr>
      <w:r>
        <w:rPr>
          <w:rFonts w:hint="eastAsia" w:ascii="Times New Roman" w:hAnsi="Times New Roman"/>
          <w:sz w:val="24"/>
          <w:szCs w:val="24"/>
        </w:rPr>
        <w:t>其次，路径规划算法实现了对劳动过程的空间控制。外卖平台的AI系统不仅计算最短路线，还通过“延时惩罚机制”倒逼骑手压缩送餐时间，从而形成“被算法驱动的加速劳动”</w:t>
      </w:r>
      <w:r>
        <w:rPr>
          <w:rFonts w:hint="eastAsia" w:ascii="Times New Roman" w:hAnsi="Times New Roman"/>
          <w:sz w:val="24"/>
          <w:szCs w:val="24"/>
          <w:highlight w:val="none"/>
        </w:rPr>
        <w:t>。</w:t>
      </w:r>
    </w:p>
    <w:p w14:paraId="648C92B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最后，绩效评估机制通过数据反馈实现劳动监督。平台通过客户评分、投诉率与完单率等指标，对骑手实施差异化激励。这种基于数据的绩效体系使劳动者持续处于被评估与自我监控的状态。这类“数字福特主义”在提升效率的同时，也强化了劳动的非人化倾向。</w:t>
      </w:r>
    </w:p>
    <w:p w14:paraId="02339BE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三、</w:t>
      </w:r>
      <w:r>
        <w:rPr>
          <w:rFonts w:hint="eastAsia" w:ascii="Times New Roman" w:hAnsi="Times New Roman"/>
          <w:b/>
          <w:bCs/>
          <w:sz w:val="24"/>
          <w:szCs w:val="24"/>
        </w:rPr>
        <w:t>算法管理的社会影响</w:t>
      </w:r>
    </w:p>
    <w:p w14:paraId="638D34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（一）劳动者自主性的削弱</w:t>
      </w:r>
    </w:p>
    <w:p w14:paraId="5391C85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 xml:space="preserve">算法管理通过技术中介实现劳动过程的数字控制，使得劳动者失去了工作节奏与选择权。Chen et al. (2022) </w:t>
      </w:r>
      <w:r>
        <w:rPr>
          <w:rFonts w:hint="eastAsia" w:ascii="Times New Roman" w:hAnsi="Times New Roman"/>
          <w:sz w:val="24"/>
          <w:szCs w:val="24"/>
          <w:vertAlign w:val="superscript"/>
          <w:lang w:val="en-US" w:eastAsia="zh-CN"/>
        </w:rPr>
        <w:t>[11]</w:t>
      </w:r>
      <w:r>
        <w:rPr>
          <w:rFonts w:hint="eastAsia" w:ascii="Times New Roman" w:hAnsi="Times New Roman"/>
          <w:sz w:val="24"/>
          <w:szCs w:val="24"/>
        </w:rPr>
        <w:t>的实证研究表明，骑手普遍存在“算法焦虑”现象，即因系统分配逻辑不透明而产生不安全感与心理压力。算法的不透明性削弱了劳动者对劳动关系的认知与参与权，进一步导致劳动者处于被动服从状态。</w:t>
      </w:r>
    </w:p>
    <w:p w14:paraId="603FC69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（二）劳动权益与社会保障的缺失</w:t>
      </w:r>
    </w:p>
    <w:p w14:paraId="5B55F88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由于外卖骑手被定义为“独立承包者”，他们无法享受传统劳动合同下的社会保险、工伤保障与最低工资制度。这种“灵活化剥夺”使得劳动者承担了平台运营风险。李琳琳（2025）指出，这种非标准劳动关系下的社会保障真空，正在成为数字劳动伦理的核心议题。</w:t>
      </w:r>
    </w:p>
    <w:p w14:paraId="0E22A49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同时，劳动风险呈现出个体化趋势。骑手在交通事故、超时罚款等问题中，往往独自承担责任，缺乏有效救济途径。因此，AI驱动的灵活就业虽提升了就业数量，却降低了就业质量。</w:t>
      </w:r>
    </w:p>
    <w:p w14:paraId="1F2F5BF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（三）算法治理与劳动伦理的冲突</w:t>
      </w:r>
    </w:p>
    <w:p w14:paraId="266B0A2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算法的决策逻辑以数据最优化为导向，往往忽略劳动的人性价值。算法效率与人文关怀之间的矛盾，是AI时代劳动伦理的核心张力。算法治理的“黑箱化”与“工具理性化”使得劳动者成为系统的一部分，而非系统的主体。这种“算法异化”不仅削弱了个体尊严，也加剧了社会不平等。</w:t>
      </w:r>
    </w:p>
    <w:p w14:paraId="6BD7E6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四、</w:t>
      </w:r>
      <w:r>
        <w:rPr>
          <w:rFonts w:hint="eastAsia" w:ascii="Times New Roman" w:hAnsi="Times New Roman"/>
          <w:b/>
          <w:bCs/>
          <w:sz w:val="24"/>
          <w:szCs w:val="24"/>
        </w:rPr>
        <w:t>算法管理的社会应对实践</w:t>
      </w:r>
    </w:p>
    <w:p w14:paraId="78A6F3D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为应对算法劳动的负面影响，政府、企业与社会组织开始探索制度创新路径。</w:t>
      </w:r>
    </w:p>
    <w:p w14:paraId="1D6171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首先，政府层面正推动劳动法规与社会保障制度的适配化改革。2022年，人力资源和社会保障部发布《关于维护新就业形态劳动者劳动保障权益的指导意见》，提出“分类施策、平台责任、政府监管”原则，以扩大社会保障覆盖范围（中华人民共和国人社部，2022）。</w:t>
      </w:r>
    </w:p>
    <w:p w14:paraId="2C969D8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其次，企业开始进行算法伦理治理与优化实践。美团研究院（2023）发布</w:t>
      </w:r>
      <w:r>
        <w:rPr>
          <w:rFonts w:hint="eastAsia" w:ascii="Times New Roman" w:hAnsi="Times New Roman"/>
          <w:sz w:val="24"/>
          <w:szCs w:val="24"/>
          <w:lang w:eastAsia="zh-CN"/>
        </w:rPr>
        <w:t>《</w:t>
      </w:r>
      <w:r>
        <w:rPr>
          <w:rFonts w:hint="eastAsia" w:ascii="Times New Roman" w:hAnsi="Times New Roman"/>
          <w:sz w:val="24"/>
          <w:szCs w:val="24"/>
        </w:rPr>
        <w:t>美团骑手权益保障社会责任报告</w:t>
      </w:r>
      <w:r>
        <w:rPr>
          <w:rFonts w:hint="eastAsia" w:ascii="Times New Roman" w:hAnsi="Times New Roman"/>
          <w:sz w:val="24"/>
          <w:szCs w:val="24"/>
          <w:lang w:eastAsia="zh-CN"/>
        </w:rPr>
        <w:t>》</w:t>
      </w:r>
      <w:r>
        <w:rPr>
          <w:rFonts w:hint="eastAsia" w:ascii="Times New Roman" w:hAnsi="Times New Roman"/>
          <w:sz w:val="24"/>
          <w:szCs w:val="24"/>
        </w:rPr>
        <w:t>，提出通过AI算法透明化、设立人性化送餐时长与动态订单调度机制，改善骑手体验。这种“技术人本化”趋势为算法劳动提供了新的治理方向。</w:t>
      </w:r>
    </w:p>
    <w:p w14:paraId="10C5F1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最后，社会层面出现了工会化与数字维权的萌芽。部分城市骑手通过线上社群自发建立互助网络，推动平台调整算法规则、改善工时与薪酬。这反映出数字劳动者正从“被动参与者”向“算法协商者”转变。</w:t>
      </w:r>
    </w:p>
    <w:p w14:paraId="57F71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五、</w:t>
      </w:r>
      <w:r>
        <w:rPr>
          <w:rFonts w:hint="eastAsia" w:ascii="Times New Roman" w:hAnsi="Times New Roman"/>
          <w:b/>
          <w:bCs/>
          <w:sz w:val="24"/>
          <w:szCs w:val="24"/>
        </w:rPr>
        <w:t>小结</w:t>
      </w:r>
    </w:p>
    <w:p w14:paraId="172D4CA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综上所述，外卖骑手案例揭示了人工智能对劳动关系的深层影响。算法管理通过技术逻辑实现劳动控制与资源配置，推动了就业结构的数字化转型，但同时也放大了劳动风险与社会分层。人工智能时代的劳动治理，应在技术效率与社会公正之间寻求平衡，构建以人本关怀为核心的制度环境。</w:t>
      </w:r>
    </w:p>
    <w:p w14:paraId="564C30DF">
      <w:pPr>
        <w:rPr>
          <w:rFonts w:hint="eastAsia" w:ascii="Times New Roman" w:hAnsi="Times New Roman" w:eastAsia="黑体" w:cs="黑体"/>
          <w:b w:val="0"/>
          <w:bCs w:val="0"/>
          <w:sz w:val="28"/>
          <w:szCs w:val="28"/>
        </w:rPr>
      </w:pPr>
      <w:r>
        <w:rPr>
          <w:rFonts w:hint="eastAsia" w:ascii="Times New Roman" w:hAnsi="Times New Roman" w:eastAsia="黑体" w:cs="黑体"/>
          <w:b w:val="0"/>
          <w:bCs w:val="0"/>
          <w:sz w:val="28"/>
          <w:szCs w:val="28"/>
        </w:rPr>
        <w:t>第四章 社会应对机制与政策建议</w:t>
      </w:r>
    </w:p>
    <w:p w14:paraId="0872E7A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驱动的就业结构变迁，是技术进步与社会制度互动的结果。AI技术带来的就业灵活化、岗位替代与技能重塑，使传统的劳动与社会保障体系面临挑战。面对这种结构性变迁，社会应对机制必须在制度创新、教育改革与伦理治理三方面同步推进，才能实现技术发展与社会公平的平衡。</w:t>
      </w:r>
    </w:p>
    <w:p w14:paraId="6C30607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一、</w:t>
      </w:r>
      <w:r>
        <w:rPr>
          <w:rFonts w:hint="eastAsia" w:ascii="Times New Roman" w:hAnsi="Times New Roman"/>
          <w:b/>
          <w:bCs/>
          <w:sz w:val="24"/>
          <w:szCs w:val="24"/>
        </w:rPr>
        <w:t>制度创新：构建包容性的社会保障体系</w:t>
      </w:r>
    </w:p>
    <w:p w14:paraId="586AA8C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当前中国的社会保障体系仍以“标准雇佣关系”为前提，难以覆盖以外卖骑手为代表的非典型劳动者。针对这种结构性短板，应从以下三方面推动制度创新：</w:t>
      </w:r>
    </w:p>
    <w:p w14:paraId="0B16CC0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（一）社会保障制度的多层次扩展</w:t>
      </w:r>
    </w:p>
    <w:p w14:paraId="52D6D3B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中国信通院（2021）</w:t>
      </w:r>
      <w:r>
        <w:rPr>
          <w:rFonts w:hint="eastAsia" w:ascii="Times New Roman" w:hAnsi="Times New Roman"/>
          <w:sz w:val="24"/>
          <w:szCs w:val="24"/>
          <w:vertAlign w:val="superscript"/>
          <w:lang w:val="en-US" w:eastAsia="zh-CN"/>
        </w:rPr>
        <w:t>[7]</w:t>
      </w:r>
      <w:r>
        <w:rPr>
          <w:rFonts w:hint="eastAsia" w:ascii="Times New Roman" w:hAnsi="Times New Roman"/>
          <w:sz w:val="24"/>
          <w:szCs w:val="24"/>
        </w:rPr>
        <w:t>的研究指出，灵活就业群体的社会保险参保率显著低于正式职工，仅约30%具有养老保险，20%具有工伤保险。因此，政府应探索灵活就业人员的社会保险“低门槛缴纳”机制，推动建立灵活参保、弹性缴费的制度模式。例如，部分城市已试行“骑手工伤保险试点”，由政府与平台共同承担保费，实现“风险共担”。</w:t>
      </w:r>
    </w:p>
    <w:p w14:paraId="620DD0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（二）强化平台企业的社会责任</w:t>
      </w:r>
    </w:p>
    <w:p w14:paraId="41524C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任文轩（2024）</w:t>
      </w:r>
      <w:r>
        <w:rPr>
          <w:rFonts w:hint="eastAsia" w:ascii="Times New Roman" w:hAnsi="Times New Roman"/>
          <w:sz w:val="24"/>
          <w:szCs w:val="24"/>
          <w:vertAlign w:val="superscript"/>
          <w:lang w:val="en-US" w:eastAsia="zh-CN"/>
        </w:rPr>
        <w:t>[4]</w:t>
      </w:r>
      <w:r>
        <w:rPr>
          <w:rFonts w:hint="eastAsia" w:ascii="Times New Roman" w:hAnsi="Times New Roman"/>
          <w:sz w:val="24"/>
          <w:szCs w:val="24"/>
        </w:rPr>
        <w:t>指出，平台企业在劳动关系中不应仅被视为“信息中介”，而应承担劳动者保障的部分义务。可借鉴欧盟的“平台劳动者共同责任制”模式，通过立法明确平台对劳动者的最低保障义务，如健康保险、意外伤害补贴与基本收入保障。这既有助于构建责任共担机制，也能提高平台企业的社会形象与品牌价值。</w:t>
      </w:r>
    </w:p>
    <w:p w14:paraId="00FCBE3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（三）推动劳动法规与AI监管融合</w:t>
      </w:r>
    </w:p>
    <w:p w14:paraId="239FF96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针对算法管理下的劳动控制问题，政府应加强算法透明度的制度化建设。应将算法公平性、可解释性与劳动伦理纳入企业算法评估标准。这意味着未来劳动法规的改革方向应包括“算法劳动法”维度，要求平台公开派单逻辑、惩罚机制及评价标准，从而提升劳动者的知情权与参与权。</w:t>
      </w:r>
    </w:p>
    <w:p w14:paraId="03D3C7A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二、</w:t>
      </w:r>
      <w:r>
        <w:rPr>
          <w:rFonts w:hint="eastAsia" w:ascii="Times New Roman" w:hAnsi="Times New Roman"/>
          <w:b/>
          <w:bCs/>
          <w:sz w:val="24"/>
          <w:szCs w:val="24"/>
        </w:rPr>
        <w:t>教育改革：提升劳动者的数字素养与职业适应性</w:t>
      </w:r>
    </w:p>
    <w:p w14:paraId="11A0DA6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就业结构变迁的深层驱动力是技术变革与技能更新之间的张力。人工智能不仅改变岗位数量，更改变岗位性质。因此，教育体系需从以下两方面进行结构性改革：</w:t>
      </w:r>
    </w:p>
    <w:p w14:paraId="2DCC96F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（一）构建“AI+职业教育”融合体系</w:t>
      </w:r>
    </w:p>
    <w:p w14:paraId="2DE6936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职业教育应将人工智能技术、数据分析与算法认知纳入核心课程体系，培养劳动者的数字认知能力与系统性思维。应通过“职业教育数字化转型”实现劳动者与技术的协同进化，推动高校与企业共建AI职业培训基地。这种“学用融合”模式不仅能提高劳动者就业竞争力，也能缓解就业结构错配问题。</w:t>
      </w:r>
    </w:p>
    <w:p w14:paraId="1FC088F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（二）推动终身学习体系建设</w:t>
      </w:r>
    </w:p>
    <w:p w14:paraId="6122F9C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人工智能时代的职业生命周期显著缩短。王林辉（2023）</w:t>
      </w:r>
      <w:r>
        <w:rPr>
          <w:rFonts w:hint="eastAsia" w:ascii="Times New Roman" w:hAnsi="Times New Roman"/>
          <w:sz w:val="24"/>
          <w:szCs w:val="24"/>
          <w:vertAlign w:val="superscript"/>
          <w:lang w:val="en-US" w:eastAsia="zh-CN"/>
        </w:rPr>
        <w:t>[6]</w:t>
      </w:r>
      <w:r>
        <w:rPr>
          <w:rFonts w:hint="eastAsia" w:ascii="Times New Roman" w:hAnsi="Times New Roman"/>
          <w:sz w:val="24"/>
          <w:szCs w:val="24"/>
        </w:rPr>
        <w:t>指出，未来劳动者平均每5—10年需进行技能重构。因此，应建立全民终身学习体系，整合在线教育、社区培训与职业认证体系，构建灵活、开放的学习环境。政府可通过税收减免或职业培训券形式，激励灵活就业群体参与再培训项目，实现就业能力的动态更新。</w:t>
      </w:r>
    </w:p>
    <w:p w14:paraId="2F93F52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b/>
          <w:bCs/>
          <w:sz w:val="24"/>
          <w:szCs w:val="24"/>
        </w:rPr>
      </w:pPr>
      <w:r>
        <w:rPr>
          <w:rFonts w:hint="eastAsia" w:ascii="Times New Roman" w:hAnsi="Times New Roman"/>
          <w:b/>
          <w:bCs/>
          <w:sz w:val="24"/>
          <w:szCs w:val="24"/>
          <w:lang w:val="en-US" w:eastAsia="zh-CN"/>
        </w:rPr>
        <w:t>三、</w:t>
      </w:r>
      <w:r>
        <w:rPr>
          <w:rFonts w:hint="eastAsia" w:ascii="Times New Roman" w:hAnsi="Times New Roman"/>
          <w:b/>
          <w:bCs/>
          <w:sz w:val="24"/>
          <w:szCs w:val="24"/>
        </w:rPr>
        <w:t>伦理治理：构建以人为本的算法劳动机制</w:t>
      </w:r>
    </w:p>
    <w:p w14:paraId="26EABE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人工智能技术的应用不可避免地引发伦理与社会正义问题。外卖骑手案例表明，算法在实现效率最优化的同时，也可能强化劳动的不平等。因此，AI治理必须坚持“人本导向”原则。</w:t>
      </w:r>
    </w:p>
    <w:p w14:paraId="21F915D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（一）算法透明化与劳动协商机制</w:t>
      </w:r>
    </w:p>
    <w:p w14:paraId="5B344C1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算法的“黑箱化”导致劳动者无法理解评价与派单逻辑，从而失去参与劳动决策的权利。平台应建立算法解释机制，使骑手能够查询订单分配与绩效评估逻辑。此外，应推动建立“算法协商委员会”，吸纳劳动者代表参与算法规则制定，从而实现算法管理的民主化与可协商化。</w:t>
      </w:r>
    </w:p>
    <w:p w14:paraId="1FDE31E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（二）构建“算法伦理审查”制度</w:t>
      </w:r>
    </w:p>
    <w:p w14:paraId="668A0B4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lang w:val="en-US" w:eastAsia="zh-CN"/>
        </w:rPr>
        <w:t>应</w:t>
      </w:r>
      <w:r>
        <w:rPr>
          <w:rFonts w:hint="eastAsia" w:ascii="Times New Roman" w:hAnsi="Times New Roman"/>
          <w:sz w:val="24"/>
          <w:szCs w:val="24"/>
        </w:rPr>
        <w:t>将算法伦理评估纳入企业治理体系，形成技术开发、社会影响与伦理审查三位一体的监管框架。此举有助于防止算法歧视与数据滥用现象，确保AI系统在公平、公正与人文关怀的约束下运行。类似机制已在欧盟《人工智能法案》中被确立，中国在算法劳动治理中可借鉴该路径。</w:t>
      </w:r>
    </w:p>
    <w:p w14:paraId="313391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（三）推动社会参与与工会建设</w:t>
      </w:r>
    </w:p>
    <w:p w14:paraId="22DA6A4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时代的劳动者需要新的社会组织形式。社会组织与工会应发挥协调作用，通过建立线上维权渠道、职业互助网络与心理支持平台，增强劳动者集体力量。美团与部分地方政府合作建立的“骑手之家”项目，便是一种有效实践，其通过AI数据分析识别劳动者风险并提供心理支持服务，体现了“技术反哺社会”的可能性。</w:t>
      </w:r>
    </w:p>
    <w:p w14:paraId="0FEA109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总体而言，人工智能带来的就业结构变迁既是挑战，也是机遇。制度创新为劳动保障提供外部约束，教育改革为劳动者提供内在驱动力，而伦理治理则为AI发展确立价值导向。三者相互作用，共同构成社会应对机制的系统性框架。唯有在制度与文化双重层面重塑劳动伦理，才能实现人工智能技术的“可持续就业化”发展。</w:t>
      </w:r>
    </w:p>
    <w:p w14:paraId="05D842C7">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ascii="Times New Roman" w:hAnsi="Times New Roman" w:eastAsia="黑体" w:cs="黑体"/>
          <w:sz w:val="28"/>
          <w:szCs w:val="28"/>
        </w:rPr>
      </w:pPr>
      <w:r>
        <w:rPr>
          <w:rFonts w:hint="eastAsia" w:ascii="Times New Roman" w:hAnsi="Times New Roman" w:eastAsia="黑体" w:cs="黑体"/>
          <w:sz w:val="28"/>
          <w:szCs w:val="28"/>
        </w:rPr>
        <w:t>第五章 结论</w:t>
      </w:r>
    </w:p>
    <w:p w14:paraId="3876F90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人工智能的快速发展正深刻重塑全球就业格局。本文以“人工智能时代的就业结构变迁与社会应对机制研究——以外卖骑手算法管理为例”为主题，通过理论分析、文献综述与案例研究，揭示了人工智能在就业结构、劳动关系与社会制度层面的系统性影响。</w:t>
      </w:r>
    </w:p>
    <w:p w14:paraId="44744D6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研究表明，人工智能技术在推动经济效率提升与产业结构升级的同时，也带来了劳动过程的重组与劳动关系的再造。算法管理在外卖骑手群体中的广泛应用，展现了AI技术在劳动过程控制、绩效评估与劳动治理中的深度嵌入。这一机制提高了社会生产效率，却也削弱了劳动者自主性，加剧了劳动不平等与社会分层。</w:t>
      </w:r>
    </w:p>
    <w:p w14:paraId="6DE6F8D6">
      <w:pPr>
        <w:keepNext w:val="0"/>
        <w:keepLines w:val="0"/>
        <w:pageBreakBefore w:val="0"/>
        <w:widowControl w:val="0"/>
        <w:kinsoku/>
        <w:wordWrap/>
        <w:overflowPunct/>
        <w:topLinePunct w:val="0"/>
        <w:autoSpaceDE/>
        <w:autoSpaceDN/>
        <w:bidi w:val="0"/>
        <w:adjustRightInd/>
        <w:snapToGrid/>
        <w:spacing w:line="300" w:lineRule="auto"/>
        <w:ind w:left="480" w:hanging="480" w:hangingChars="200"/>
        <w:textAlignment w:val="auto"/>
        <w:rPr>
          <w:rFonts w:hint="eastAsia" w:ascii="Times New Roman" w:hAnsi="Times New Roman"/>
          <w:sz w:val="24"/>
          <w:szCs w:val="24"/>
        </w:rPr>
      </w:pPr>
      <w:r>
        <w:rPr>
          <w:rFonts w:hint="eastAsia" w:ascii="Times New Roman" w:hAnsi="Times New Roman"/>
          <w:sz w:val="24"/>
          <w:szCs w:val="24"/>
        </w:rPr>
        <w:t>面对这一现实，社会应对机制需从制度、教育与伦理三方面协同发力：</w:t>
      </w:r>
    </w:p>
    <w:p w14:paraId="75C4EF9D">
      <w:pPr>
        <w:keepNext w:val="0"/>
        <w:keepLines w:val="0"/>
        <w:pageBreakBefore w:val="0"/>
        <w:widowControl w:val="0"/>
        <w:kinsoku/>
        <w:wordWrap/>
        <w:overflowPunct/>
        <w:topLinePunct w:val="0"/>
        <w:autoSpaceDE/>
        <w:autoSpaceDN/>
        <w:bidi w:val="0"/>
        <w:adjustRightInd/>
        <w:snapToGrid/>
        <w:spacing w:line="300" w:lineRule="auto"/>
        <w:ind w:left="479" w:leftChars="228" w:firstLine="0" w:firstLineChars="0"/>
        <w:textAlignment w:val="auto"/>
        <w:rPr>
          <w:rFonts w:hint="eastAsia" w:ascii="Times New Roman" w:hAnsi="Times New Roman"/>
          <w:sz w:val="24"/>
          <w:szCs w:val="24"/>
        </w:rPr>
      </w:pPr>
      <w:r>
        <w:rPr>
          <w:rFonts w:hint="eastAsia" w:ascii="Times New Roman" w:hAnsi="Times New Roman"/>
          <w:sz w:val="24"/>
          <w:szCs w:val="24"/>
        </w:rPr>
        <w:t>一是制度层面，应完善社会保障体系，推动平台企业履行劳动责任，并通过</w:t>
      </w:r>
    </w:p>
    <w:p w14:paraId="54765AF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立法提高算法透明度与劳动者知情权；</w:t>
      </w:r>
    </w:p>
    <w:p w14:paraId="495030C4">
      <w:pPr>
        <w:keepNext w:val="0"/>
        <w:keepLines w:val="0"/>
        <w:pageBreakBefore w:val="0"/>
        <w:widowControl w:val="0"/>
        <w:kinsoku/>
        <w:wordWrap/>
        <w:overflowPunct/>
        <w:topLinePunct w:val="0"/>
        <w:autoSpaceDE/>
        <w:autoSpaceDN/>
        <w:bidi w:val="0"/>
        <w:adjustRightInd/>
        <w:snapToGrid/>
        <w:spacing w:line="300" w:lineRule="auto"/>
        <w:ind w:left="479" w:leftChars="228" w:firstLine="0" w:firstLineChars="0"/>
        <w:textAlignment w:val="auto"/>
        <w:rPr>
          <w:rFonts w:hint="eastAsia" w:ascii="Times New Roman" w:hAnsi="Times New Roman"/>
          <w:sz w:val="24"/>
          <w:szCs w:val="24"/>
        </w:rPr>
      </w:pPr>
      <w:r>
        <w:rPr>
          <w:rFonts w:hint="eastAsia" w:ascii="Times New Roman" w:hAnsi="Times New Roman"/>
          <w:sz w:val="24"/>
          <w:szCs w:val="24"/>
        </w:rPr>
        <w:t>二是教育层面，应构建“AI+职业教育”体系与终身学习机制，以提升劳动</w:t>
      </w:r>
    </w:p>
    <w:p w14:paraId="244E0CF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者的数字素养与技能适应力；</w:t>
      </w:r>
    </w:p>
    <w:p w14:paraId="0DA136E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三是伦理层面，应确立算法治理的“人本导向”，推动算法公开、公平与协</w:t>
      </w:r>
    </w:p>
    <w:p w14:paraId="6B62091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sz w:val="24"/>
          <w:szCs w:val="24"/>
        </w:rPr>
      </w:pPr>
      <w:r>
        <w:rPr>
          <w:rFonts w:hint="eastAsia" w:ascii="Times New Roman" w:hAnsi="Times New Roman"/>
          <w:sz w:val="24"/>
          <w:szCs w:val="24"/>
        </w:rPr>
        <w:t>商机制建设，防止技术异化与劳动非人化。</w:t>
      </w:r>
    </w:p>
    <w:p w14:paraId="19533A0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黑体" w:eastAsiaTheme="minorEastAsia"/>
          <w:sz w:val="28"/>
          <w:szCs w:val="28"/>
          <w:lang w:val="en-US" w:eastAsia="zh-CN"/>
        </w:rPr>
      </w:pPr>
      <w:r>
        <w:rPr>
          <w:rFonts w:hint="eastAsia" w:ascii="Times New Roman" w:hAnsi="Times New Roman"/>
          <w:sz w:val="24"/>
          <w:szCs w:val="24"/>
        </w:rPr>
        <w:t>总体而言，人工智能的应用并非必然导致“技术性失业”，而是促使就业结构向更高层次演化。社会政策与制度创新的关键在于如何在效率与公平之间寻求平衡，构建以人为中心的智能劳动体系。未来研究可进一步从跨国比较与AI治理政策视角出发，评估不同国家在算法劳动管理与社会保障创新方面的差异，以为全球范围内的可持续就业提供经验借鉴</w:t>
      </w:r>
      <w:r>
        <w:rPr>
          <w:rFonts w:hint="eastAsia" w:ascii="Times New Roman" w:hAnsi="Times New Roman"/>
          <w:sz w:val="24"/>
          <w:szCs w:val="24"/>
          <w:lang w:eastAsia="zh-CN"/>
        </w:rPr>
        <w:t>。</w:t>
      </w:r>
    </w:p>
    <w:p w14:paraId="3C131D46">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ascii="Times New Roman" w:hAnsi="Times New Roman" w:eastAsiaTheme="minorEastAsia"/>
          <w:lang w:eastAsia="zh-CN"/>
        </w:rPr>
      </w:pPr>
      <w:r>
        <w:rPr>
          <w:rFonts w:hint="eastAsia" w:ascii="Times New Roman" w:hAnsi="Times New Roman" w:eastAsia="黑体" w:cs="黑体"/>
          <w:sz w:val="28"/>
          <w:szCs w:val="28"/>
          <w:lang w:val="en-US" w:eastAsia="zh-CN"/>
        </w:rPr>
        <w:t>参考文献</w:t>
      </w:r>
    </w:p>
    <w:p w14:paraId="2784D71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[1]</w:t>
      </w:r>
      <w:r>
        <w:rPr>
          <w:rFonts w:hint="eastAsia" w:ascii="Times New Roman" w:hAnsi="Times New Roman"/>
          <w:sz w:val="24"/>
          <w:szCs w:val="24"/>
        </w:rPr>
        <w:t xml:space="preserve">程承坪. (2023). “人工智能的发展趋势与就业形态变化”. 人民论坛·学术前沿. </w:t>
      </w:r>
      <w:r>
        <w:rPr>
          <w:rFonts w:hint="eastAsia" w:ascii="Times New Roman" w:hAnsi="Times New Roman"/>
          <w:color w:val="auto"/>
          <w:sz w:val="24"/>
          <w:szCs w:val="24"/>
          <w:u w:val="none"/>
        </w:rPr>
        <w:t>https://www.rmlt.com.cn/2023/0907/682317.shtml</w:t>
      </w:r>
    </w:p>
    <w:p w14:paraId="3361EE2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[2]</w:t>
      </w:r>
      <w:r>
        <w:rPr>
          <w:rFonts w:hint="eastAsia" w:ascii="Times New Roman" w:hAnsi="Times New Roman"/>
          <w:sz w:val="24"/>
          <w:szCs w:val="24"/>
        </w:rPr>
        <w:t xml:space="preserve">邓洲, 黄娅娜. (2019). “人工智能发展的就业影响研究”. 学习与探索, 2019(7). </w:t>
      </w:r>
    </w:p>
    <w:p w14:paraId="78601C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rPr>
        <w:t>https://www.cssn.cn/glx/glx_gsgl/202208/t20220822_5479362.shtml</w:t>
      </w:r>
    </w:p>
    <w:p w14:paraId="7F60326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[3]</w:t>
      </w:r>
      <w:r>
        <w:rPr>
          <w:rFonts w:hint="eastAsia" w:ascii="Times New Roman" w:hAnsi="Times New Roman"/>
          <w:sz w:val="24"/>
          <w:szCs w:val="24"/>
        </w:rPr>
        <w:t>李琳琳. (2025). “数字经济背景下灵活就业者保障研究”. 经济管理前沿, 2025(1): 5-42. https://www.sci-open.net/index.php/FEM/article/view/2496</w:t>
      </w:r>
    </w:p>
    <w:p w14:paraId="637CBD5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[4]</w:t>
      </w:r>
      <w:r>
        <w:rPr>
          <w:rFonts w:hint="eastAsia" w:ascii="Times New Roman" w:hAnsi="Times New Roman"/>
          <w:sz w:val="24"/>
          <w:szCs w:val="24"/>
        </w:rPr>
        <w:t>任文轩. (2024). “数字平台经济时代下的灵活就业:机遇、挑战与劳动力市场演变”. 中国集体经济, 2024(034):21-24. https://agri.nais.net.cn/literature/casdd/4969A815-1E22-4118-8384-F6C3EEFCB7D1.html</w:t>
      </w:r>
    </w:p>
    <w:p w14:paraId="73B7E18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[5]</w:t>
      </w:r>
      <w:r>
        <w:rPr>
          <w:rFonts w:hint="eastAsia" w:ascii="Times New Roman" w:hAnsi="Times New Roman"/>
          <w:sz w:val="24"/>
          <w:szCs w:val="24"/>
        </w:rPr>
        <w:t>张传勇, 蔡琪梦. (2021). “城市规模、数字普惠金融发展与零工经济”. 上海财经大学学报, 2021, 23(02):34-45. DOI 10.16538/j.cnki.jsufe.2021.02.003. https://qks.sufe.edu.cn/J/CDXB/Article/Details/7fb9bc37-afbd-449c-a451-323ff7fc6edb/CN</w:t>
      </w:r>
    </w:p>
    <w:p w14:paraId="4D64C63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[6]</w:t>
      </w:r>
      <w:r>
        <w:rPr>
          <w:rFonts w:hint="eastAsia" w:ascii="Times New Roman" w:hAnsi="Times New Roman"/>
          <w:sz w:val="24"/>
          <w:szCs w:val="24"/>
        </w:rPr>
        <w:t>王林辉. (2023).</w:t>
      </w:r>
      <w:r>
        <w:rPr>
          <w:rFonts w:hint="eastAsia" w:ascii="Times New Roman" w:hAnsi="Times New Roman"/>
          <w:sz w:val="24"/>
          <w:szCs w:val="24"/>
          <w:lang w:val="en-US" w:eastAsia="zh-CN"/>
        </w:rPr>
        <w:t xml:space="preserve"> </w:t>
      </w:r>
      <w:r>
        <w:rPr>
          <w:rFonts w:hint="eastAsia" w:ascii="Times New Roman" w:hAnsi="Times New Roman"/>
          <w:sz w:val="24"/>
          <w:szCs w:val="24"/>
        </w:rPr>
        <w:t>“人工智能技术和中国职业变迁方向”. 管理世界, 2023(11). https://jlucqe.jlu.edu.cn/info/1059/15236.htm</w:t>
      </w:r>
    </w:p>
    <w:p w14:paraId="0F90883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[7]</w:t>
      </w:r>
      <w:r>
        <w:rPr>
          <w:rFonts w:hint="eastAsia" w:ascii="Times New Roman" w:hAnsi="Times New Roman"/>
          <w:sz w:val="24"/>
          <w:szCs w:val="24"/>
        </w:rPr>
        <w:t>“数字经济就业发展研究报告：新形态、新模式、新趋势（2021年）”. 中国信通院报告. 2021. cbdio.comhttps://dag.ahmu.edu.cn/_upload/article/files/6c/e2/eca41cdb4eb6ac600a805d2699e3/2f91bf22-1032-4e0f-96af-1cab248bb70d.pdf</w:t>
      </w:r>
    </w:p>
    <w:p w14:paraId="37AEDE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[8]</w:t>
      </w:r>
      <w:r>
        <w:rPr>
          <w:rFonts w:hint="eastAsia" w:ascii="Times New Roman" w:hAnsi="Times New Roman"/>
          <w:sz w:val="24"/>
          <w:szCs w:val="24"/>
        </w:rPr>
        <w:t>“人工智能对劳动力市场的结构性影响及应对”. (2025). 中国社会科学网. https://www.cssn.cn/skgz/bwyc/202507/t20250722_5887206.shtml</w:t>
      </w:r>
    </w:p>
    <w:p w14:paraId="11B614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[9]</w:t>
      </w:r>
      <w:r>
        <w:rPr>
          <w:rFonts w:hint="eastAsia" w:ascii="Times New Roman" w:hAnsi="Times New Roman"/>
          <w:sz w:val="24"/>
          <w:szCs w:val="24"/>
        </w:rPr>
        <w:t>高奕晨, 于牧雁, 张高亮, 刘禹尧, 许传奇. (2025). “数字经济发展对服务业就业的影响研究”. WSP财经研究, 2025, 9(3):141-145. https://www.wsp-publishing.com/zh/article/doi/10.12184/wspfzjjxWSP2515-823632.20250903/</w:t>
      </w:r>
    </w:p>
    <w:p w14:paraId="573DEEC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lang w:val="en-US" w:eastAsia="zh-CN"/>
        </w:rPr>
        <w:t>[10]</w:t>
      </w:r>
      <w:r>
        <w:rPr>
          <w:rFonts w:hint="eastAsia" w:ascii="Times New Roman" w:hAnsi="Times New Roman"/>
          <w:sz w:val="24"/>
          <w:szCs w:val="24"/>
        </w:rPr>
        <w:t>沈宏亮, 宋思萌, 李杰. (2024) “企业数字化转型与劳动力就业:创造和破坏”. 统计与信息论坛, 2024, 39(11):77-92. https://agri.nais.net.cn/literature/casdd/62239161-FFFF-4C4E-9CF5-763B3666ECF2.html</w:t>
      </w:r>
    </w:p>
    <w:p w14:paraId="0E66210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rPr>
        <w:t>英文论文</w:t>
      </w:r>
    </w:p>
    <w:p w14:paraId="1C5E92A4">
      <w:pPr>
        <w:keepNext w:val="0"/>
        <w:keepLines w:val="0"/>
        <w:pageBreakBefore w:val="0"/>
        <w:widowControl w:val="0"/>
        <w:numPr>
          <w:ilvl w:val="0"/>
          <w:numId w:val="2"/>
        </w:numPr>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r>
        <w:rPr>
          <w:rFonts w:hint="eastAsia" w:ascii="Times New Roman" w:hAnsi="Times New Roman"/>
          <w:sz w:val="24"/>
          <w:szCs w:val="24"/>
        </w:rPr>
        <w:t>Chen, Z., Lan, X., Piao, J., Zhang, Y., Li, Y. (2022). “A Mixed-Methods Analysis of the Algorithm-Mediated Labor of Online Food Deliverers in</w:t>
      </w:r>
      <w:r>
        <w:rPr>
          <w:rFonts w:hint="eastAsia" w:ascii="Times New Roman" w:hAnsi="Times New Roman"/>
          <w:sz w:val="24"/>
          <w:szCs w:val="24"/>
          <w:lang w:val="en-US" w:eastAsia="zh-CN"/>
        </w:rPr>
        <w:t xml:space="preserve"> </w:t>
      </w:r>
      <w:r>
        <w:rPr>
          <w:rFonts w:hint="eastAsia" w:ascii="Times New Roman" w:hAnsi="Times New Roman"/>
          <w:sz w:val="24"/>
          <w:szCs w:val="24"/>
        </w:rPr>
        <w:t>China”.</w:t>
      </w:r>
    </w:p>
    <w:p w14:paraId="5BB025D0">
      <w:pPr>
        <w:keepNext w:val="0"/>
        <w:keepLines w:val="0"/>
        <w:pageBreakBefore w:val="0"/>
        <w:widowControl w:val="0"/>
        <w:numPr>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sz w:val="24"/>
          <w:szCs w:val="24"/>
        </w:rPr>
      </w:pPr>
      <w:bookmarkStart w:id="0" w:name="_GoBack"/>
      <w:bookmarkEnd w:id="0"/>
      <w:r>
        <w:rPr>
          <w:rFonts w:hint="eastAsia" w:ascii="Times New Roman" w:hAnsi="Times New Roman"/>
          <w:sz w:val="24"/>
          <w:szCs w:val="24"/>
        </w:rPr>
        <w:t>https://arxiv.org/abs/2208.04518</w:t>
      </w:r>
    </w:p>
    <w:p w14:paraId="7AB2F383"/>
    <w:p w14:paraId="3F6045EF">
      <w:pPr>
        <w:rPr>
          <w:rFonts w:hint="eastAsia" w:eastAsiaTheme="minorEastAsia"/>
          <w:lang w:eastAsia="zh-CN"/>
        </w:rPr>
      </w:pPr>
      <w:r>
        <w:rPr>
          <w:rFonts w:hint="eastAsia" w:eastAsiaTheme="minorEastAsia"/>
          <w:lang w:eastAsia="zh-CN"/>
        </w:rPr>
        <w:drawing>
          <wp:inline distT="0" distB="0" distL="114300" distR="114300">
            <wp:extent cx="5259705" cy="7442200"/>
            <wp:effectExtent l="0" t="0" r="7620" b="6350"/>
            <wp:docPr id="1" name="图片 1" descr="查重报告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查重报告_01"/>
                    <pic:cNvPicPr>
                      <a:picLocks noChangeAspect="1"/>
                    </pic:cNvPicPr>
                  </pic:nvPicPr>
                  <pic:blipFill>
                    <a:blip r:embed="rId5"/>
                    <a:stretch>
                      <a:fillRect/>
                    </a:stretch>
                  </pic:blipFill>
                  <pic:spPr>
                    <a:xfrm>
                      <a:off x="0" y="0"/>
                      <a:ext cx="5259705" cy="74422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03ABD"/>
    <w:multiLevelType w:val="singleLevel"/>
    <w:tmpl w:val="B9B03ABD"/>
    <w:lvl w:ilvl="0" w:tentative="0">
      <w:start w:val="11"/>
      <w:numFmt w:val="decimal"/>
      <w:lvlText w:val="[%1]"/>
      <w:lvlJc w:val="left"/>
      <w:pPr>
        <w:tabs>
          <w:tab w:val="left" w:pos="312"/>
        </w:tabs>
      </w:pPr>
    </w:lvl>
  </w:abstractNum>
  <w:abstractNum w:abstractNumId="1">
    <w:nsid w:val="E23DEC2D"/>
    <w:multiLevelType w:val="singleLevel"/>
    <w:tmpl w:val="E23DEC2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B469E"/>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434</Words>
  <Characters>465</Characters>
  <Lines>0</Lines>
  <Paragraphs>0</Paragraphs>
  <TotalTime>15</TotalTime>
  <ScaleCrop>false</ScaleCrop>
  <LinksUpToDate>false</LinksUpToDate>
  <CharactersWithSpaces>741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cp:lastModifiedBy>
  <dcterms:modified xsi:type="dcterms:W3CDTF">2025-12-09T08:24:18Z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0F2BE50C29F946F79BF83E98741EB0A5_11</vt:lpwstr>
  </property>
  <property fmtid="{D5CDD505-2E9C-101B-9397-08002B2CF9AE}" pid="4" name="KSOTemplateDocerSaveRecord">
    <vt:lpwstr>eyJoZGlkIjoiY2VmNjE5NjYxNGE5ZTZiYzA0OWQ1MTlmMDI0MDI0NWEiLCJ1c2VySWQiOiIyNjg5ODE1NDMifQ==</vt:lpwstr>
  </property>
</Properties>
</file>