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after="156" w:afterLines="50" w:line="440" w:lineRule="exact"/>
        <w:ind w:firstLine="641" w:firstLineChars="200"/>
        <w:jc w:val="center"/>
        <w:outlineLvl w:val="0"/>
        <w:rPr>
          <w:rFonts w:ascii="楷体" w:hAnsi="楷体" w:eastAsia="楷体"/>
          <w:b/>
          <w:color w:val="0000FF"/>
          <w:sz w:val="32"/>
          <w:szCs w:val="24"/>
        </w:rPr>
      </w:pPr>
      <w:r>
        <w:rPr>
          <w:rFonts w:hint="eastAsia" w:ascii="楷体" w:hAnsi="楷体" w:eastAsia="楷体"/>
          <w:b/>
          <w:sz w:val="32"/>
          <w:szCs w:val="24"/>
        </w:rPr>
        <w:t>报告正文</w:t>
      </w:r>
    </w:p>
    <w:p>
      <w:pPr>
        <w:snapToGrid w:val="0"/>
        <w:spacing w:before="120" w:line="300" w:lineRule="auto"/>
        <w:ind w:firstLine="560"/>
        <w:rPr>
          <w:rFonts w:ascii="楷体" w:hAnsi="楷体" w:eastAsia="楷体"/>
          <w:b/>
          <w:bCs/>
          <w:color w:val="0070C0"/>
          <w:sz w:val="28"/>
          <w:szCs w:val="28"/>
        </w:rPr>
      </w:pPr>
      <w:r>
        <w:rPr>
          <w:rFonts w:hint="eastAsia" w:ascii="楷体" w:hAnsi="楷体" w:eastAsia="楷体" w:cs="楷体_GB2312"/>
          <w:sz w:val="28"/>
          <w:szCs w:val="28"/>
        </w:rPr>
        <w:t>参照以下提纲撰写，要求内容翔实、清晰，层次分明，标题突出</w:t>
      </w:r>
      <w:r>
        <w:rPr>
          <w:rFonts w:hint="eastAsia" w:ascii="楷体" w:hAnsi="楷体" w:eastAsia="楷体" w:cs="楷体_GB2312"/>
          <w:iCs/>
          <w:sz w:val="28"/>
          <w:szCs w:val="28"/>
        </w:rPr>
        <w:t>。</w:t>
      </w:r>
      <w:r>
        <w:rPr>
          <w:rFonts w:hint="eastAsia" w:ascii="楷体" w:hAnsi="楷体" w:eastAsia="楷体" w:cs="楷体_GB2312"/>
          <w:b/>
          <w:iCs/>
          <w:color w:val="0070C0"/>
          <w:sz w:val="28"/>
          <w:szCs w:val="28"/>
        </w:rPr>
        <w:t>请勿删除或改动下述提纲标题及括号中的文字。</w:t>
      </w:r>
    </w:p>
    <w:p>
      <w:pPr>
        <w:snapToGrid w:val="0"/>
        <w:spacing w:after="156" w:afterLines="50" w:line="440" w:lineRule="exact"/>
        <w:ind w:left="420"/>
        <w:outlineLvl w:val="0"/>
        <w:rPr>
          <w:rFonts w:ascii="楷体" w:hAnsi="楷体" w:eastAsia="楷体"/>
          <w:color w:val="0070C0"/>
          <w:sz w:val="28"/>
          <w:szCs w:val="28"/>
        </w:rPr>
      </w:pPr>
      <w:r>
        <w:rPr>
          <w:rFonts w:hint="eastAsia" w:ascii="楷体" w:hAnsi="楷体" w:eastAsia="楷体" w:cs="楷体_GB2312"/>
          <w:b/>
          <w:bCs/>
          <w:color w:val="0070C0"/>
          <w:sz w:val="28"/>
          <w:szCs w:val="28"/>
        </w:rPr>
        <w:t>（一）立项依据与研究内容</w:t>
      </w:r>
      <w:r>
        <w:rPr>
          <w:rFonts w:hint="eastAsia" w:ascii="楷体" w:hAnsi="楷体" w:eastAsia="楷体" w:cs="楷体_GB2312"/>
          <w:color w:val="0070C0"/>
          <w:sz w:val="28"/>
          <w:szCs w:val="28"/>
        </w:rPr>
        <w:t>（</w:t>
      </w:r>
      <w:r>
        <w:rPr>
          <w:rFonts w:hint="eastAsia" w:ascii="楷体" w:hAnsi="楷体" w:eastAsia="楷体" w:cs="楷体_GB2312"/>
          <w:b/>
          <w:bCs/>
          <w:color w:val="0070C0"/>
          <w:sz w:val="28"/>
          <w:szCs w:val="28"/>
        </w:rPr>
        <w:t>建议</w:t>
      </w:r>
      <w:r>
        <w:rPr>
          <w:rFonts w:ascii="楷体" w:hAnsi="楷体" w:eastAsia="楷体" w:cs="楷体_GB2312"/>
          <w:b/>
          <w:bCs/>
          <w:color w:val="0070C0"/>
          <w:sz w:val="28"/>
          <w:szCs w:val="28"/>
        </w:rPr>
        <w:t>8000</w:t>
      </w:r>
      <w:r>
        <w:rPr>
          <w:rFonts w:hint="eastAsia" w:ascii="楷体" w:hAnsi="楷体" w:eastAsia="楷体" w:cs="楷体_GB2312"/>
          <w:b/>
          <w:bCs/>
          <w:color w:val="0070C0"/>
          <w:sz w:val="28"/>
          <w:szCs w:val="28"/>
        </w:rPr>
        <w:t>字以下</w:t>
      </w:r>
      <w:r>
        <w:rPr>
          <w:rFonts w:hint="eastAsia" w:ascii="楷体" w:hAnsi="楷体" w:eastAsia="楷体" w:cs="楷体_GB2312"/>
          <w:color w:val="0070C0"/>
          <w:sz w:val="28"/>
          <w:szCs w:val="28"/>
        </w:rPr>
        <w:t>）：</w:t>
      </w:r>
    </w:p>
    <w:p>
      <w:pPr>
        <w:snapToGrid w:val="0"/>
        <w:spacing w:line="440" w:lineRule="exact"/>
        <w:ind w:firstLine="548" w:firstLineChars="196"/>
        <w:rPr>
          <w:rFonts w:hint="eastAsia" w:ascii="楷体" w:hAnsi="楷体" w:eastAsia="楷体" w:cs="楷体_GB2312"/>
          <w:color w:val="0070C0"/>
          <w:sz w:val="28"/>
          <w:szCs w:val="28"/>
        </w:rPr>
      </w:pPr>
      <w:r>
        <w:rPr>
          <w:rFonts w:ascii="楷体" w:hAnsi="楷体" w:eastAsia="楷体"/>
          <w:color w:val="0070C0"/>
          <w:sz w:val="28"/>
          <w:szCs w:val="28"/>
        </w:rPr>
        <w:t>1</w:t>
      </w:r>
      <w:r>
        <w:rPr>
          <w:rFonts w:hint="eastAsia" w:ascii="楷体" w:hAnsi="楷体" w:eastAsia="楷体" w:cs="楷体_GB2312"/>
          <w:color w:val="0070C0"/>
          <w:sz w:val="28"/>
          <w:szCs w:val="28"/>
        </w:rPr>
        <w:t>．</w:t>
      </w:r>
      <w:r>
        <w:rPr>
          <w:rFonts w:hint="eastAsia" w:ascii="楷体" w:hAnsi="楷体" w:eastAsia="楷体" w:cs="楷体_GB2312"/>
          <w:b/>
          <w:bCs/>
          <w:color w:val="0070C0"/>
          <w:sz w:val="28"/>
          <w:szCs w:val="28"/>
        </w:rPr>
        <w:t>项目的立项依据</w:t>
      </w:r>
      <w:r>
        <w:rPr>
          <w:rFonts w:hint="eastAsia" w:ascii="楷体" w:hAnsi="楷体" w:eastAsia="楷体" w:cs="楷体_GB2312"/>
          <w:color w:val="0070C0"/>
          <w:sz w:val="28"/>
          <w:szCs w:val="28"/>
        </w:rPr>
        <w:t>（研究意义、国内外研究现状及发展动态分析，需结合科学研究发展趋势来论述科学意义；或结合国民经济和社会发展中迫切需要解决的关键科技问题来论述其应用前景。附主要参考文献目录）；</w:t>
      </w:r>
    </w:p>
    <w:p>
      <w:pPr>
        <w:snapToGrid w:val="0"/>
        <w:spacing w:line="440" w:lineRule="exact"/>
        <w:ind w:firstLine="471" w:firstLineChars="196"/>
        <w:rPr>
          <w:rFonts w:hint="default" w:asciiTheme="minorEastAsia" w:hAnsiTheme="minorEastAsia" w:eastAsiaTheme="minorEastAsia"/>
          <w:b/>
          <w:bCs/>
          <w:sz w:val="24"/>
          <w:szCs w:val="24"/>
          <w:lang w:val="en-US" w:eastAsia="zh-CN"/>
        </w:rPr>
      </w:pPr>
      <w:r>
        <w:rPr>
          <w:rFonts w:hint="eastAsia" w:asciiTheme="minorEastAsia" w:hAnsiTheme="minorEastAsia" w:eastAsiaTheme="minorEastAsia"/>
          <w:b/>
          <w:bCs/>
          <w:sz w:val="24"/>
          <w:szCs w:val="24"/>
          <w:lang w:eastAsia="zh-CN"/>
        </w:rPr>
        <w:t>（</w:t>
      </w:r>
      <w:r>
        <w:rPr>
          <w:rFonts w:hint="eastAsia" w:asciiTheme="minorEastAsia" w:hAnsiTheme="minorEastAsia" w:eastAsiaTheme="minorEastAsia"/>
          <w:b/>
          <w:bCs/>
          <w:sz w:val="24"/>
          <w:szCs w:val="24"/>
          <w:lang w:val="en-US" w:eastAsia="zh-CN"/>
        </w:rPr>
        <w:t>1</w:t>
      </w:r>
      <w:r>
        <w:rPr>
          <w:rFonts w:hint="eastAsia" w:asciiTheme="minorEastAsia" w:hAnsiTheme="minorEastAsia" w:eastAsiaTheme="minorEastAsia"/>
          <w:b/>
          <w:bCs/>
          <w:sz w:val="24"/>
          <w:szCs w:val="24"/>
          <w:lang w:eastAsia="zh-CN"/>
        </w:rPr>
        <w:t>）</w:t>
      </w:r>
      <w:r>
        <w:rPr>
          <w:rFonts w:hint="eastAsia" w:asciiTheme="minorEastAsia" w:hAnsiTheme="minorEastAsia" w:eastAsiaTheme="minorEastAsia"/>
          <w:b/>
          <w:bCs/>
          <w:sz w:val="24"/>
          <w:szCs w:val="24"/>
          <w:lang w:val="en-US" w:eastAsia="zh-CN"/>
        </w:rPr>
        <w:t>研究背景与意义</w:t>
      </w:r>
    </w:p>
    <w:p>
      <w:pPr>
        <w:snapToGrid w:val="0"/>
        <w:spacing w:line="440" w:lineRule="exact"/>
        <w:ind w:firstLine="470" w:firstLineChars="196"/>
        <w:rPr>
          <w:rFonts w:hint="eastAsia" w:asciiTheme="minorEastAsia" w:hAnsiTheme="minorEastAsia" w:eastAsiaTheme="minorEastAsia"/>
          <w:sz w:val="24"/>
          <w:szCs w:val="24"/>
        </w:rPr>
      </w:pPr>
      <w:r>
        <w:rPr>
          <w:rFonts w:hint="eastAsia" w:asciiTheme="minorEastAsia" w:hAnsiTheme="minorEastAsia" w:eastAsiaTheme="minorEastAsia"/>
          <w:sz w:val="24"/>
          <w:szCs w:val="24"/>
        </w:rPr>
        <w:t>在当代医疗实践中</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超适应症用药已成为一个不容忽视的普遍现象。这种用药方式虽然在某些情况下体现了医生的临床经验</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但同时也带来了潜在的医疗风险和管理挑战。传统的人工审核方式不仅耗时耗力</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而且往往受限于审核人员的知识储备和经验水平</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难以保证判断标准的一致性。这种情况在面对大量临床数据时显得尤为棘手</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亟需一种高效、准确且具有可解释性的自动化解决方案。</w:t>
      </w:r>
    </w:p>
    <w:p>
      <w:pPr>
        <w:snapToGrid w:val="0"/>
        <w:spacing w:line="440" w:lineRule="exact"/>
        <w:ind w:firstLine="470" w:firstLineChars="196"/>
        <w:rPr>
          <w:rFonts w:hint="eastAsia" w:asciiTheme="minorEastAsia" w:hAnsiTheme="minorEastAsia" w:eastAsiaTheme="minorEastAsia"/>
          <w:sz w:val="24"/>
          <w:szCs w:val="24"/>
        </w:rPr>
      </w:pPr>
      <w:r>
        <w:rPr>
          <w:rFonts w:hint="eastAsia" w:asciiTheme="minorEastAsia" w:hAnsiTheme="minorEastAsia" w:eastAsiaTheme="minorEastAsia"/>
          <w:sz w:val="24"/>
          <w:szCs w:val="24"/>
        </w:rPr>
        <w:t>大语言模型的出现为解决这一难题带来了新的希望。这类模型在医疗文本理解、知识推理等方面展现出的卓越能力</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为超适应症用药的自动化判断提供了技术基础。将大语言模型与专业医疗知识图谱相结合</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不仅能够提升判断的准确性</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还能为临床决策提供可追溯的证据支持</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这一研究既具有提升医疗监管效率的实践价值</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又在探索人工智能技术医疗场景深度应用方面具有重要的学术意义。</w:t>
      </w:r>
    </w:p>
    <w:p>
      <w:pPr>
        <w:snapToGrid w:val="0"/>
        <w:spacing w:line="440" w:lineRule="exact"/>
        <w:ind w:firstLine="471" w:firstLineChars="196"/>
        <w:rPr>
          <w:rFonts w:hint="default" w:asciiTheme="minorEastAsia" w:hAnsiTheme="minorEastAsia" w:eastAsiaTheme="minorEastAsia"/>
          <w:b/>
          <w:bCs/>
          <w:sz w:val="24"/>
          <w:szCs w:val="24"/>
          <w:lang w:val="en-US" w:eastAsia="zh-CN"/>
        </w:rPr>
      </w:pPr>
      <w:r>
        <w:rPr>
          <w:rFonts w:hint="eastAsia" w:asciiTheme="minorEastAsia" w:hAnsiTheme="minorEastAsia" w:eastAsiaTheme="minorEastAsia"/>
          <w:b/>
          <w:bCs/>
          <w:sz w:val="24"/>
          <w:szCs w:val="24"/>
          <w:lang w:eastAsia="zh-CN"/>
        </w:rPr>
        <w:t>（</w:t>
      </w:r>
      <w:r>
        <w:rPr>
          <w:rFonts w:hint="eastAsia" w:asciiTheme="minorEastAsia" w:hAnsiTheme="minorEastAsia" w:eastAsiaTheme="minorEastAsia"/>
          <w:b/>
          <w:bCs/>
          <w:sz w:val="24"/>
          <w:szCs w:val="24"/>
          <w:lang w:val="en-US" w:eastAsia="zh-CN"/>
        </w:rPr>
        <w:t>2</w:t>
      </w:r>
      <w:r>
        <w:rPr>
          <w:rFonts w:hint="eastAsia" w:asciiTheme="minorEastAsia" w:hAnsiTheme="minorEastAsia" w:eastAsiaTheme="minorEastAsia"/>
          <w:b/>
          <w:bCs/>
          <w:sz w:val="24"/>
          <w:szCs w:val="24"/>
          <w:lang w:eastAsia="zh-CN"/>
        </w:rPr>
        <w:t>）</w:t>
      </w:r>
      <w:r>
        <w:rPr>
          <w:rFonts w:hint="eastAsia" w:asciiTheme="minorEastAsia" w:hAnsiTheme="minorEastAsia" w:eastAsiaTheme="minorEastAsia"/>
          <w:b/>
          <w:bCs/>
          <w:sz w:val="24"/>
          <w:szCs w:val="24"/>
          <w:lang w:val="en-US" w:eastAsia="zh-CN"/>
        </w:rPr>
        <w:t>国内外研究现状</w:t>
      </w:r>
    </w:p>
    <w:p>
      <w:pPr>
        <w:snapToGrid w:val="0"/>
        <w:spacing w:line="440" w:lineRule="exact"/>
        <w:ind w:firstLine="470" w:firstLineChars="196"/>
        <w:rPr>
          <w:rFonts w:hint="eastAsia" w:asciiTheme="minorEastAsia" w:hAnsiTheme="minorEastAsia" w:eastAsiaTheme="minorEastAsia"/>
          <w:sz w:val="24"/>
          <w:szCs w:val="24"/>
          <w:lang w:val="en-US" w:eastAsia="zh-CN"/>
        </w:rPr>
      </w:pPr>
      <w:r>
        <w:rPr>
          <w:rFonts w:hint="eastAsia" w:asciiTheme="minorEastAsia" w:hAnsiTheme="minorEastAsia" w:eastAsiaTheme="minorEastAsia"/>
          <w:sz w:val="24"/>
          <w:szCs w:val="24"/>
          <w:lang w:val="en-US" w:eastAsia="zh-CN"/>
        </w:rPr>
        <w:t>【1】https://arxiv.org/abs/2402.02803</w:t>
      </w:r>
    </w:p>
    <w:p>
      <w:pPr>
        <w:snapToGrid w:val="0"/>
        <w:spacing w:line="440" w:lineRule="exact"/>
        <w:ind w:firstLine="470" w:firstLineChars="196"/>
        <w:rPr>
          <w:rFonts w:hint="default" w:asciiTheme="minorEastAsia" w:hAnsiTheme="minorEastAsia" w:eastAsiaTheme="minorEastAsia"/>
          <w:sz w:val="24"/>
          <w:szCs w:val="24"/>
          <w:lang w:val="en-US" w:eastAsia="zh-CN"/>
        </w:rPr>
      </w:pPr>
      <w:r>
        <w:rPr>
          <w:rFonts w:hint="eastAsia" w:asciiTheme="minorEastAsia" w:hAnsiTheme="minorEastAsia" w:eastAsiaTheme="minorEastAsia"/>
          <w:sz w:val="24"/>
          <w:szCs w:val="24"/>
          <w:lang w:val="en-US" w:eastAsia="zh-CN"/>
        </w:rPr>
        <w:t>【2】医疗大语言模型（如ChatDoctor）、中文医疗大模型（如华佗）</w:t>
      </w:r>
    </w:p>
    <w:p>
      <w:pPr>
        <w:numPr>
          <w:ilvl w:val="0"/>
          <w:numId w:val="1"/>
        </w:numPr>
        <w:snapToGrid w:val="0"/>
        <w:spacing w:line="440" w:lineRule="exact"/>
        <w:ind w:firstLine="549" w:firstLineChars="196"/>
        <w:rPr>
          <w:rFonts w:hint="eastAsia" w:ascii="楷体" w:hAnsi="楷体" w:eastAsia="楷体" w:cs="楷体_GB2312"/>
          <w:b/>
          <w:bCs/>
          <w:color w:val="0070C0"/>
          <w:sz w:val="28"/>
          <w:szCs w:val="28"/>
        </w:rPr>
      </w:pPr>
      <w:r>
        <w:rPr>
          <w:rFonts w:hint="eastAsia" w:ascii="楷体" w:hAnsi="楷体" w:eastAsia="楷体" w:cs="楷体_GB2312"/>
          <w:b/>
          <w:bCs/>
          <w:color w:val="0070C0"/>
          <w:sz w:val="28"/>
          <w:szCs w:val="28"/>
        </w:rPr>
        <w:t>项目的研究内容、研究目标，以及拟解决的关键科学问题</w:t>
      </w:r>
      <w:r>
        <w:rPr>
          <w:rFonts w:hint="eastAsia" w:ascii="楷体" w:hAnsi="楷体" w:eastAsia="楷体" w:cs="楷体_GB2312"/>
          <w:color w:val="0070C0"/>
          <w:sz w:val="28"/>
          <w:szCs w:val="28"/>
        </w:rPr>
        <w:t>（此部分为重点阐述内容）</w:t>
      </w:r>
      <w:r>
        <w:rPr>
          <w:rFonts w:hint="eastAsia" w:ascii="楷体" w:hAnsi="楷体" w:eastAsia="楷体" w:cs="楷体_GB2312"/>
          <w:b/>
          <w:bCs/>
          <w:color w:val="0070C0"/>
          <w:sz w:val="28"/>
          <w:szCs w:val="28"/>
        </w:rPr>
        <w:t>；</w:t>
      </w:r>
    </w:p>
    <w:p>
      <w:pPr>
        <w:snapToGrid w:val="0"/>
        <w:spacing w:line="440" w:lineRule="exact"/>
        <w:ind w:firstLine="471" w:firstLineChars="196"/>
        <w:rPr>
          <w:rFonts w:hint="default" w:ascii="楷体" w:hAnsi="楷体" w:eastAsia="楷体" w:cs="楷体_GB2312"/>
          <w:b/>
          <w:bCs/>
          <w:color w:val="0070C0"/>
          <w:sz w:val="28"/>
          <w:szCs w:val="28"/>
          <w:lang w:val="en-US"/>
        </w:rPr>
      </w:pPr>
      <w:r>
        <w:rPr>
          <w:rFonts w:hint="eastAsia" w:asciiTheme="minorEastAsia" w:hAnsiTheme="minorEastAsia" w:eastAsiaTheme="minorEastAsia"/>
          <w:b/>
          <w:bCs/>
          <w:sz w:val="24"/>
          <w:szCs w:val="24"/>
          <w:lang w:eastAsia="zh-CN"/>
        </w:rPr>
        <w:t>（</w:t>
      </w:r>
      <w:r>
        <w:rPr>
          <w:rFonts w:hint="eastAsia" w:asciiTheme="minorEastAsia" w:hAnsiTheme="minorEastAsia" w:eastAsiaTheme="minorEastAsia"/>
          <w:b/>
          <w:bCs/>
          <w:sz w:val="24"/>
          <w:szCs w:val="24"/>
          <w:lang w:val="en-US" w:eastAsia="zh-CN"/>
        </w:rPr>
        <w:t>1</w:t>
      </w:r>
      <w:r>
        <w:rPr>
          <w:rFonts w:hint="eastAsia" w:asciiTheme="minorEastAsia" w:hAnsiTheme="minorEastAsia" w:eastAsiaTheme="minorEastAsia"/>
          <w:b/>
          <w:bCs/>
          <w:sz w:val="24"/>
          <w:szCs w:val="24"/>
          <w:lang w:eastAsia="zh-CN"/>
        </w:rPr>
        <w:t>）</w:t>
      </w:r>
      <w:r>
        <w:rPr>
          <w:rFonts w:hint="eastAsia" w:asciiTheme="minorEastAsia" w:hAnsiTheme="minorEastAsia" w:eastAsiaTheme="minorEastAsia"/>
          <w:b/>
          <w:bCs/>
          <w:sz w:val="24"/>
          <w:szCs w:val="24"/>
          <w:lang w:val="en-US" w:eastAsia="zh-CN"/>
        </w:rPr>
        <w:t>研究目标</w:t>
      </w:r>
    </w:p>
    <w:p>
      <w:pPr>
        <w:snapToGrid w:val="0"/>
        <w:spacing w:line="440" w:lineRule="exact"/>
        <w:ind w:firstLine="470" w:firstLineChars="196"/>
        <w:rPr>
          <w:rFonts w:hint="eastAsia" w:asciiTheme="minorEastAsia" w:hAnsiTheme="minorEastAsia" w:eastAsiaTheme="minorEastAsia"/>
          <w:sz w:val="24"/>
          <w:szCs w:val="24"/>
        </w:rPr>
      </w:pPr>
      <w:r>
        <w:rPr>
          <w:rFonts w:hint="eastAsia" w:asciiTheme="minorEastAsia" w:hAnsiTheme="minorEastAsia" w:eastAsiaTheme="minorEastAsia"/>
          <w:sz w:val="24"/>
          <w:szCs w:val="24"/>
        </w:rPr>
        <w:t>本研究旨在构建一个基于大语言模型的超适应症用药智能判断系统</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以解决临床实践中的用药审核难题。具体而言</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我们的研究目标包含三个相互关联的层次:首要目标是实现医疗记录中药品实体的精准识别与标准化对齐</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为后续判断奠定基础;其次是开发一套融合大语言模型推理能力和专业知识图谱的混合判断机制</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确保超适应症用药判断的准确性</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最终是构建完整的可解释性框架</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使判断结果能够追溯到具体的证据支持</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为临床决策提供可靠参考。</w:t>
      </w:r>
    </w:p>
    <w:p>
      <w:pPr>
        <w:snapToGrid w:val="0"/>
        <w:spacing w:line="440" w:lineRule="exact"/>
        <w:ind w:firstLine="471" w:firstLineChars="196"/>
        <w:rPr>
          <w:rFonts w:hint="default" w:ascii="楷体" w:hAnsi="楷体" w:eastAsia="楷体" w:cs="楷体_GB2312"/>
          <w:b/>
          <w:bCs/>
          <w:color w:val="0070C0"/>
          <w:sz w:val="28"/>
          <w:szCs w:val="28"/>
          <w:lang w:val="en-US"/>
        </w:rPr>
      </w:pPr>
      <w:r>
        <w:rPr>
          <w:rFonts w:hint="eastAsia" w:asciiTheme="minorEastAsia" w:hAnsiTheme="minorEastAsia" w:eastAsiaTheme="minorEastAsia"/>
          <w:b/>
          <w:bCs/>
          <w:sz w:val="24"/>
          <w:szCs w:val="24"/>
          <w:lang w:eastAsia="zh-CN"/>
        </w:rPr>
        <w:t>（</w:t>
      </w:r>
      <w:r>
        <w:rPr>
          <w:rFonts w:hint="eastAsia" w:asciiTheme="minorEastAsia" w:hAnsiTheme="minorEastAsia" w:eastAsiaTheme="minorEastAsia"/>
          <w:b/>
          <w:bCs/>
          <w:sz w:val="24"/>
          <w:szCs w:val="24"/>
          <w:lang w:val="en-US" w:eastAsia="zh-CN"/>
        </w:rPr>
        <w:t>2</w:t>
      </w:r>
      <w:r>
        <w:rPr>
          <w:rFonts w:hint="eastAsia" w:asciiTheme="minorEastAsia" w:hAnsiTheme="minorEastAsia" w:eastAsiaTheme="minorEastAsia"/>
          <w:b/>
          <w:bCs/>
          <w:sz w:val="24"/>
          <w:szCs w:val="24"/>
          <w:lang w:eastAsia="zh-CN"/>
        </w:rPr>
        <w:t>）</w:t>
      </w:r>
      <w:r>
        <w:rPr>
          <w:rFonts w:hint="eastAsia" w:asciiTheme="minorEastAsia" w:hAnsiTheme="minorEastAsia" w:eastAsiaTheme="minorEastAsia"/>
          <w:b/>
          <w:bCs/>
          <w:sz w:val="24"/>
          <w:szCs w:val="24"/>
          <w:lang w:val="en-US" w:eastAsia="zh-CN"/>
        </w:rPr>
        <w:t>研究内容</w:t>
      </w:r>
    </w:p>
    <w:p>
      <w:pPr>
        <w:snapToGrid w:val="0"/>
        <w:spacing w:line="440" w:lineRule="exact"/>
        <w:ind w:firstLine="470" w:firstLineChars="196"/>
        <w:rPr>
          <w:rFonts w:hint="eastAsia" w:asciiTheme="minorEastAsia" w:hAnsiTheme="minorEastAsia" w:eastAsiaTheme="minorEastAsia"/>
          <w:sz w:val="24"/>
          <w:szCs w:val="24"/>
        </w:rPr>
      </w:pPr>
      <w:r>
        <w:rPr>
          <w:rFonts w:hint="eastAsia" w:asciiTheme="minorEastAsia" w:hAnsiTheme="minorEastAsia" w:eastAsiaTheme="minorEastAsia"/>
          <w:sz w:val="24"/>
          <w:szCs w:val="24"/>
        </w:rPr>
        <w:t>本研究将围绕超适应症用药判断这一核心问题</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展开四个方面的深入研究。首先</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针对医疗文本中药品实体识别这一基础性问题</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我们将设计基于大语言模型的实体识别方法</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通过提示学习技术提升模型对专业术语的理解能力</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实现诊疗记录中药品名称与标准药品说明书的精准对齐。其次</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构建一个面向超适应症用药判断的医疗知识图谱</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不仅包含药品说明书中的适应症信息</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还将整合临床指南、专家共识等多源知识</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为判断提供全面的知识支持。</w:t>
      </w:r>
    </w:p>
    <w:p>
      <w:pPr>
        <w:snapToGrid w:val="0"/>
        <w:spacing w:line="440" w:lineRule="exact"/>
        <w:ind w:firstLine="470" w:firstLineChars="196"/>
        <w:rPr>
          <w:rFonts w:hint="eastAsia" w:asciiTheme="minorEastAsia" w:hAnsiTheme="minorEastAsia" w:eastAsiaTheme="minorEastAsia"/>
          <w:sz w:val="24"/>
          <w:szCs w:val="24"/>
        </w:rPr>
      </w:pPr>
      <w:r>
        <w:rPr>
          <w:rFonts w:hint="eastAsia" w:asciiTheme="minorEastAsia" w:hAnsiTheme="minorEastAsia" w:eastAsiaTheme="minorEastAsia"/>
          <w:sz w:val="24"/>
          <w:szCs w:val="24"/>
        </w:rPr>
        <w:t>在此基础上</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本研究将重点开发一套混合推理机制。该机制通过检索增强生成(RAG)技术扩充大语言模型的专业知识储备</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同时利用知识图谱进行事实约束</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在保证推理准确性的同时提供清晰的证据链路。最后</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我们将设计一套结构化的输出框架</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确保判断结果既包含明确的超适应症判定</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又能提供详细的判断依据和潜在风险提示</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从而满足临床实践中对判断结果可解释性的要求。</w:t>
      </w:r>
    </w:p>
    <w:p>
      <w:pPr>
        <w:numPr>
          <w:ilvl w:val="0"/>
          <w:numId w:val="2"/>
        </w:numPr>
        <w:snapToGrid w:val="0"/>
        <w:spacing w:line="440" w:lineRule="exact"/>
        <w:ind w:firstLine="471" w:firstLineChars="196"/>
        <w:rPr>
          <w:rFonts w:hint="eastAsia" w:asciiTheme="minorEastAsia" w:hAnsiTheme="minorEastAsia" w:eastAsiaTheme="minorEastAsia"/>
          <w:b/>
          <w:bCs/>
          <w:sz w:val="24"/>
          <w:szCs w:val="24"/>
          <w:lang w:val="en-US" w:eastAsia="zh-CN"/>
        </w:rPr>
      </w:pPr>
      <w:r>
        <w:rPr>
          <w:rFonts w:hint="eastAsia" w:asciiTheme="minorEastAsia" w:hAnsiTheme="minorEastAsia" w:eastAsiaTheme="minorEastAsia"/>
          <w:b/>
          <w:bCs/>
          <w:sz w:val="24"/>
          <w:szCs w:val="24"/>
          <w:lang w:val="en-US" w:eastAsia="zh-CN"/>
        </w:rPr>
        <w:t>关键科学问题</w:t>
      </w:r>
    </w:p>
    <w:p>
      <w:pPr>
        <w:snapToGrid w:val="0"/>
        <w:spacing w:line="440" w:lineRule="exact"/>
        <w:ind w:firstLine="470" w:firstLineChars="196"/>
        <w:rPr>
          <w:rFonts w:hint="eastAsia" w:asciiTheme="minorEastAsia" w:hAnsiTheme="minorEastAsia" w:eastAsiaTheme="minorEastAsia"/>
          <w:sz w:val="24"/>
          <w:szCs w:val="24"/>
          <w:lang w:val="en-US" w:eastAsia="zh-CN"/>
        </w:rPr>
      </w:pPr>
      <w:r>
        <w:rPr>
          <w:rFonts w:hint="default" w:asciiTheme="minorEastAsia" w:hAnsiTheme="minorEastAsia" w:eastAsiaTheme="minorEastAsia"/>
          <w:sz w:val="24"/>
          <w:szCs w:val="24"/>
          <w:lang w:val="en-US" w:eastAsia="zh-CN"/>
        </w:rPr>
        <w:t>本研究</w:t>
      </w:r>
      <w:r>
        <w:rPr>
          <w:rFonts w:hint="eastAsia" w:asciiTheme="minorEastAsia" w:hAnsiTheme="minorEastAsia" w:eastAsiaTheme="minorEastAsia"/>
          <w:sz w:val="24"/>
          <w:szCs w:val="24"/>
          <w:lang w:val="en-US" w:eastAsia="zh-CN"/>
        </w:rPr>
        <w:t>拟解决</w:t>
      </w:r>
      <w:r>
        <w:rPr>
          <w:rFonts w:hint="default" w:asciiTheme="minorEastAsia" w:hAnsiTheme="minorEastAsia" w:eastAsiaTheme="minorEastAsia"/>
          <w:sz w:val="24"/>
          <w:szCs w:val="24"/>
          <w:lang w:val="en-US" w:eastAsia="zh-CN"/>
        </w:rPr>
        <w:t>两个关键科学问题</w:t>
      </w:r>
      <w:r>
        <w:rPr>
          <w:rFonts w:hint="eastAsia" w:asciiTheme="minorEastAsia" w:hAnsiTheme="minorEastAsia" w:eastAsiaTheme="minorEastAsia"/>
          <w:sz w:val="24"/>
          <w:szCs w:val="24"/>
          <w:lang w:val="en-US" w:eastAsia="zh-CN"/>
        </w:rPr>
        <w:t>：</w:t>
      </w:r>
    </w:p>
    <w:p>
      <w:pPr>
        <w:snapToGrid w:val="0"/>
        <w:spacing w:line="440" w:lineRule="exact"/>
        <w:ind w:firstLine="471" w:firstLineChars="196"/>
        <w:rPr>
          <w:rFonts w:hint="default" w:asciiTheme="minorEastAsia" w:hAnsiTheme="minorEastAsia" w:eastAsiaTheme="minorEastAsia"/>
          <w:sz w:val="24"/>
          <w:szCs w:val="24"/>
          <w:lang w:val="en-US" w:eastAsia="zh-CN"/>
        </w:rPr>
      </w:pPr>
      <w:r>
        <w:rPr>
          <w:rFonts w:hint="eastAsia" w:asciiTheme="minorEastAsia" w:hAnsiTheme="minorEastAsia" w:eastAsiaTheme="minorEastAsia"/>
          <w:b/>
          <w:bCs/>
          <w:sz w:val="24"/>
          <w:szCs w:val="24"/>
          <w:lang w:val="en-US" w:eastAsia="zh-CN"/>
        </w:rPr>
        <w:t>关键科学问题一：</w:t>
      </w:r>
      <w:r>
        <w:rPr>
          <w:rFonts w:hint="default" w:asciiTheme="minorEastAsia" w:hAnsiTheme="minorEastAsia" w:eastAsiaTheme="minorEastAsia"/>
          <w:b/>
          <w:bCs/>
          <w:sz w:val="24"/>
          <w:szCs w:val="24"/>
          <w:lang w:val="en-US" w:eastAsia="zh-CN"/>
        </w:rPr>
        <w:t>准确性与泛化性之间的矛盾</w:t>
      </w:r>
      <w:r>
        <w:rPr>
          <w:rFonts w:hint="eastAsia" w:asciiTheme="minorEastAsia" w:hAnsiTheme="minorEastAsia" w:eastAsiaTheme="minorEastAsia"/>
          <w:sz w:val="24"/>
          <w:szCs w:val="24"/>
          <w:lang w:val="en-US" w:eastAsia="zh-CN"/>
        </w:rPr>
        <w:t>。</w:t>
      </w:r>
      <w:r>
        <w:rPr>
          <w:rFonts w:hint="default" w:asciiTheme="minorEastAsia" w:hAnsiTheme="minorEastAsia" w:eastAsiaTheme="minorEastAsia"/>
          <w:sz w:val="24"/>
          <w:szCs w:val="24"/>
          <w:lang w:val="en-US" w:eastAsia="zh-CN"/>
        </w:rPr>
        <w:t>如何在保证大语言模型对专业医疗术语理解准确性的同时</w:t>
      </w:r>
      <w:r>
        <w:rPr>
          <w:rFonts w:hint="eastAsia" w:asciiTheme="minorEastAsia" w:hAnsiTheme="minorEastAsia" w:eastAsiaTheme="minorEastAsia"/>
          <w:sz w:val="24"/>
          <w:szCs w:val="24"/>
          <w:lang w:val="en-US" w:eastAsia="zh-CN"/>
        </w:rPr>
        <w:t>，</w:t>
      </w:r>
      <w:r>
        <w:rPr>
          <w:rFonts w:hint="default" w:asciiTheme="minorEastAsia" w:hAnsiTheme="minorEastAsia" w:eastAsiaTheme="minorEastAsia"/>
          <w:sz w:val="24"/>
          <w:szCs w:val="24"/>
          <w:lang w:val="en-US" w:eastAsia="zh-CN"/>
        </w:rPr>
        <w:t>又能处理临床实践中多样化的表达方式？这一矛盾体现在药品实体识别和标准化对齐过程中</w:t>
      </w:r>
      <w:r>
        <w:rPr>
          <w:rFonts w:hint="eastAsia" w:asciiTheme="minorEastAsia" w:hAnsiTheme="minorEastAsia" w:eastAsiaTheme="minorEastAsia"/>
          <w:sz w:val="24"/>
          <w:szCs w:val="24"/>
          <w:lang w:val="en-US" w:eastAsia="zh-CN"/>
        </w:rPr>
        <w:t>，</w:t>
      </w:r>
      <w:r>
        <w:rPr>
          <w:rFonts w:hint="default" w:asciiTheme="minorEastAsia" w:hAnsiTheme="minorEastAsia" w:eastAsiaTheme="minorEastAsia"/>
          <w:sz w:val="24"/>
          <w:szCs w:val="24"/>
          <w:lang w:val="en-US" w:eastAsia="zh-CN"/>
        </w:rPr>
        <w:t>过于严格的匹配规则会导致大量有效信息的丢失</w:t>
      </w:r>
      <w:r>
        <w:rPr>
          <w:rFonts w:hint="eastAsia" w:asciiTheme="minorEastAsia" w:hAnsiTheme="minorEastAsia" w:eastAsiaTheme="minorEastAsia"/>
          <w:sz w:val="24"/>
          <w:szCs w:val="24"/>
          <w:lang w:val="en-US" w:eastAsia="zh-CN"/>
        </w:rPr>
        <w:t>，</w:t>
      </w:r>
      <w:r>
        <w:rPr>
          <w:rFonts w:hint="default" w:asciiTheme="minorEastAsia" w:hAnsiTheme="minorEastAsia" w:eastAsiaTheme="minorEastAsia"/>
          <w:sz w:val="24"/>
          <w:szCs w:val="24"/>
          <w:lang w:val="en-US" w:eastAsia="zh-CN"/>
        </w:rPr>
        <w:t>而过于宽松的匹配策略则可能引入错误的判断依据。</w:t>
      </w:r>
    </w:p>
    <w:p>
      <w:pPr>
        <w:snapToGrid w:val="0"/>
        <w:spacing w:line="440" w:lineRule="exact"/>
        <w:ind w:firstLine="471" w:firstLineChars="196"/>
        <w:rPr>
          <w:rFonts w:hint="eastAsia" w:asciiTheme="minorEastAsia" w:hAnsiTheme="minorEastAsia" w:eastAsiaTheme="minorEastAsia"/>
          <w:sz w:val="24"/>
          <w:szCs w:val="24"/>
        </w:rPr>
      </w:pPr>
      <w:r>
        <w:rPr>
          <w:rFonts w:hint="eastAsia" w:asciiTheme="minorEastAsia" w:hAnsiTheme="minorEastAsia" w:eastAsiaTheme="minorEastAsia"/>
          <w:b/>
          <w:bCs/>
          <w:sz w:val="24"/>
          <w:szCs w:val="24"/>
          <w:lang w:val="en-US" w:eastAsia="zh-CN"/>
        </w:rPr>
        <w:t>关键科学问题二：</w:t>
      </w:r>
      <w:r>
        <w:rPr>
          <w:rFonts w:hint="default" w:asciiTheme="minorEastAsia" w:hAnsiTheme="minorEastAsia" w:eastAsiaTheme="minorEastAsia"/>
          <w:b/>
          <w:bCs/>
          <w:sz w:val="24"/>
          <w:szCs w:val="24"/>
          <w:lang w:val="en-US" w:eastAsia="zh-CN"/>
        </w:rPr>
        <w:t>自动化与可靠性之间的</w:t>
      </w:r>
      <w:r>
        <w:rPr>
          <w:rFonts w:hint="eastAsia" w:asciiTheme="minorEastAsia" w:hAnsiTheme="minorEastAsia" w:eastAsiaTheme="minorEastAsia"/>
          <w:b/>
          <w:bCs/>
          <w:sz w:val="24"/>
          <w:szCs w:val="24"/>
          <w:lang w:val="en-US" w:eastAsia="zh-CN"/>
        </w:rPr>
        <w:t>冲突</w:t>
      </w:r>
      <w:r>
        <w:rPr>
          <w:rFonts w:hint="eastAsia" w:asciiTheme="minorEastAsia" w:hAnsiTheme="minorEastAsia" w:eastAsiaTheme="minorEastAsia"/>
          <w:sz w:val="24"/>
          <w:szCs w:val="24"/>
          <w:lang w:val="en-US" w:eastAsia="zh-CN"/>
        </w:rPr>
        <w:t>。</w:t>
      </w:r>
      <w:r>
        <w:rPr>
          <w:rFonts w:hint="default" w:asciiTheme="minorEastAsia" w:hAnsiTheme="minorEastAsia" w:eastAsiaTheme="minorEastAsia"/>
          <w:sz w:val="24"/>
          <w:szCs w:val="24"/>
          <w:lang w:val="en-US" w:eastAsia="zh-CN"/>
        </w:rPr>
        <w:t>如何在提升</w:t>
      </w:r>
      <w:r>
        <w:rPr>
          <w:rFonts w:hint="eastAsia" w:asciiTheme="minorEastAsia" w:hAnsiTheme="minorEastAsia" w:eastAsiaTheme="minorEastAsia"/>
          <w:sz w:val="24"/>
          <w:szCs w:val="24"/>
          <w:lang w:val="en-US" w:eastAsia="zh-CN"/>
        </w:rPr>
        <w:t>系统</w:t>
      </w:r>
      <w:r>
        <w:rPr>
          <w:rFonts w:hint="default" w:asciiTheme="minorEastAsia" w:hAnsiTheme="minorEastAsia" w:eastAsiaTheme="minorEastAsia"/>
          <w:sz w:val="24"/>
          <w:szCs w:val="24"/>
          <w:lang w:val="en-US" w:eastAsia="zh-CN"/>
        </w:rPr>
        <w:t>判断效率的同时</w:t>
      </w:r>
      <w:r>
        <w:rPr>
          <w:rFonts w:hint="eastAsia" w:asciiTheme="minorEastAsia" w:hAnsiTheme="minorEastAsia" w:eastAsiaTheme="minorEastAsia"/>
          <w:sz w:val="24"/>
          <w:szCs w:val="24"/>
          <w:lang w:val="en-US" w:eastAsia="zh-CN"/>
        </w:rPr>
        <w:t>，</w:t>
      </w:r>
      <w:r>
        <w:rPr>
          <w:rFonts w:hint="default" w:asciiTheme="minorEastAsia" w:hAnsiTheme="minorEastAsia" w:eastAsiaTheme="minorEastAsia"/>
          <w:sz w:val="24"/>
          <w:szCs w:val="24"/>
          <w:lang w:val="en-US" w:eastAsia="zh-CN"/>
        </w:rPr>
        <w:t>确保输出结果的可信度？虽然大语言模型展现出强大的推理能力</w:t>
      </w:r>
      <w:r>
        <w:rPr>
          <w:rFonts w:hint="eastAsia" w:asciiTheme="minorEastAsia" w:hAnsiTheme="minorEastAsia" w:eastAsiaTheme="minorEastAsia"/>
          <w:sz w:val="24"/>
          <w:szCs w:val="24"/>
          <w:lang w:val="en-US" w:eastAsia="zh-CN"/>
        </w:rPr>
        <w:t>，</w:t>
      </w:r>
      <w:r>
        <w:rPr>
          <w:rFonts w:hint="default" w:asciiTheme="minorEastAsia" w:hAnsiTheme="minorEastAsia" w:eastAsiaTheme="minorEastAsia"/>
          <w:sz w:val="24"/>
          <w:szCs w:val="24"/>
          <w:lang w:val="en-US" w:eastAsia="zh-CN"/>
        </w:rPr>
        <w:t>但其"幻觉"问题在医疗场景中可能带来严重后果。因此</w:t>
      </w:r>
      <w:r>
        <w:rPr>
          <w:rFonts w:hint="eastAsia" w:asciiTheme="minorEastAsia" w:hAnsiTheme="minorEastAsia" w:eastAsiaTheme="minorEastAsia"/>
          <w:sz w:val="24"/>
          <w:szCs w:val="24"/>
          <w:lang w:val="en-US" w:eastAsia="zh-CN"/>
        </w:rPr>
        <w:t>，</w:t>
      </w:r>
      <w:r>
        <w:rPr>
          <w:rFonts w:hint="default" w:asciiTheme="minorEastAsia" w:hAnsiTheme="minorEastAsia" w:eastAsiaTheme="minorEastAsia"/>
          <w:sz w:val="24"/>
          <w:szCs w:val="24"/>
          <w:lang w:val="en-US" w:eastAsia="zh-CN"/>
        </w:rPr>
        <w:t>如何将模型的智能推理与专业知识库的事实约束有机结合</w:t>
      </w:r>
      <w:r>
        <w:rPr>
          <w:rFonts w:hint="eastAsia" w:asciiTheme="minorEastAsia" w:hAnsiTheme="minorEastAsia" w:eastAsiaTheme="minorEastAsia"/>
          <w:sz w:val="24"/>
          <w:szCs w:val="24"/>
          <w:lang w:val="en-US" w:eastAsia="zh-CN"/>
        </w:rPr>
        <w:t>，</w:t>
      </w:r>
      <w:r>
        <w:rPr>
          <w:rFonts w:hint="default" w:asciiTheme="minorEastAsia" w:hAnsiTheme="minorEastAsia" w:eastAsiaTheme="minorEastAsia"/>
          <w:sz w:val="24"/>
          <w:szCs w:val="24"/>
          <w:lang w:val="en-US" w:eastAsia="zh-CN"/>
        </w:rPr>
        <w:t>在保证判断效率的同时提供可靠的证据支持</w:t>
      </w:r>
      <w:r>
        <w:rPr>
          <w:rFonts w:hint="eastAsia" w:asciiTheme="minorEastAsia" w:hAnsiTheme="minorEastAsia" w:eastAsiaTheme="minorEastAsia"/>
          <w:sz w:val="24"/>
          <w:szCs w:val="24"/>
          <w:lang w:val="en-US" w:eastAsia="zh-CN"/>
        </w:rPr>
        <w:t>，</w:t>
      </w:r>
      <w:r>
        <w:rPr>
          <w:rFonts w:hint="default" w:asciiTheme="minorEastAsia" w:hAnsiTheme="minorEastAsia" w:eastAsiaTheme="minorEastAsia"/>
          <w:sz w:val="24"/>
          <w:szCs w:val="24"/>
          <w:lang w:val="en-US" w:eastAsia="zh-CN"/>
        </w:rPr>
        <w:t>是本研究需要解决的核心科学问题。</w:t>
      </w:r>
    </w:p>
    <w:p>
      <w:pPr>
        <w:numPr>
          <w:ilvl w:val="0"/>
          <w:numId w:val="1"/>
        </w:numPr>
        <w:snapToGrid w:val="0"/>
        <w:spacing w:line="440" w:lineRule="exact"/>
        <w:ind w:left="0" w:leftChars="0" w:firstLine="549" w:firstLineChars="196"/>
        <w:rPr>
          <w:rFonts w:hint="eastAsia" w:ascii="楷体" w:hAnsi="楷体" w:eastAsia="楷体" w:cs="楷体_GB2312"/>
          <w:color w:val="0070C0"/>
          <w:sz w:val="28"/>
          <w:szCs w:val="28"/>
        </w:rPr>
      </w:pPr>
      <w:r>
        <w:rPr>
          <w:rFonts w:hint="eastAsia" w:ascii="楷体" w:hAnsi="楷体" w:eastAsia="楷体" w:cs="楷体_GB2312"/>
          <w:b/>
          <w:bCs/>
          <w:color w:val="0070C0"/>
          <w:sz w:val="28"/>
          <w:szCs w:val="28"/>
        </w:rPr>
        <w:t>拟采取的研究方案及可行性分析</w:t>
      </w:r>
      <w:r>
        <w:rPr>
          <w:rFonts w:hint="eastAsia" w:ascii="楷体" w:hAnsi="楷体" w:eastAsia="楷体" w:cs="楷体_GB2312"/>
          <w:color w:val="0070C0"/>
          <w:sz w:val="28"/>
          <w:szCs w:val="28"/>
        </w:rPr>
        <w:t>（包括研究方法、技术路线、实验手段、关键技术等说明）；</w:t>
      </w:r>
    </w:p>
    <w:p>
      <w:pPr>
        <w:numPr>
          <w:ilvl w:val="0"/>
          <w:numId w:val="3"/>
        </w:numPr>
        <w:snapToGrid w:val="0"/>
        <w:spacing w:line="440" w:lineRule="exact"/>
        <w:ind w:firstLine="471" w:firstLineChars="196"/>
        <w:rPr>
          <w:rFonts w:hint="eastAsia" w:asciiTheme="minorEastAsia" w:hAnsiTheme="minorEastAsia" w:eastAsiaTheme="minorEastAsia"/>
          <w:b/>
          <w:bCs/>
          <w:sz w:val="24"/>
          <w:szCs w:val="24"/>
          <w:lang w:val="en-US" w:eastAsia="zh-CN"/>
        </w:rPr>
      </w:pPr>
      <w:r>
        <w:rPr>
          <w:rFonts w:hint="eastAsia" w:asciiTheme="minorEastAsia" w:hAnsiTheme="minorEastAsia" w:eastAsiaTheme="minorEastAsia"/>
          <w:b/>
          <w:bCs/>
          <w:sz w:val="24"/>
          <w:szCs w:val="24"/>
          <w:lang w:val="en-US" w:eastAsia="zh-CN"/>
        </w:rPr>
        <w:t>技术路线</w:t>
      </w:r>
    </w:p>
    <w:p>
      <w:pPr>
        <w:snapToGrid w:val="0"/>
        <w:spacing w:line="440" w:lineRule="exact"/>
        <w:ind w:firstLine="470" w:firstLineChars="196"/>
        <w:rPr>
          <w:rFonts w:hint="default" w:asciiTheme="minorEastAsia" w:hAnsiTheme="minorEastAsia" w:eastAsiaTheme="minorEastAsia"/>
          <w:sz w:val="24"/>
          <w:szCs w:val="24"/>
          <w:lang w:val="en-US" w:eastAsia="zh-CN"/>
        </w:rPr>
      </w:pPr>
      <w:r>
        <w:rPr>
          <w:rFonts w:hint="default" w:asciiTheme="minorEastAsia" w:hAnsiTheme="minorEastAsia" w:eastAsiaTheme="minorEastAsia"/>
          <w:sz w:val="24"/>
          <w:szCs w:val="24"/>
          <w:lang w:val="en-US" w:eastAsia="zh-CN"/>
        </w:rPr>
        <w:t>针对罕见病超适应症用药判断这一特定任务</w:t>
      </w:r>
      <w:r>
        <w:rPr>
          <w:rFonts w:hint="eastAsia" w:asciiTheme="minorEastAsia" w:hAnsiTheme="minorEastAsia" w:eastAsiaTheme="minorEastAsia"/>
          <w:sz w:val="24"/>
          <w:szCs w:val="24"/>
          <w:lang w:val="en-US" w:eastAsia="zh-CN"/>
        </w:rPr>
        <w:t>，</w:t>
      </w:r>
      <w:r>
        <w:rPr>
          <w:rFonts w:hint="default" w:asciiTheme="minorEastAsia" w:hAnsiTheme="minorEastAsia" w:eastAsiaTheme="minorEastAsia"/>
          <w:sz w:val="24"/>
          <w:szCs w:val="24"/>
          <w:lang w:val="en-US" w:eastAsia="zh-CN"/>
        </w:rPr>
        <w:t>本研究提出</w:t>
      </w:r>
      <w:r>
        <w:rPr>
          <w:rFonts w:hint="eastAsia" w:asciiTheme="minorEastAsia" w:hAnsiTheme="minorEastAsia" w:eastAsiaTheme="minorEastAsia"/>
          <w:sz w:val="24"/>
          <w:szCs w:val="24"/>
          <w:lang w:val="en-US" w:eastAsia="zh-CN"/>
        </w:rPr>
        <w:t>“</w:t>
      </w:r>
      <w:r>
        <w:rPr>
          <w:rFonts w:hint="default" w:asciiTheme="minorEastAsia" w:hAnsiTheme="minorEastAsia" w:eastAsiaTheme="minorEastAsia"/>
          <w:sz w:val="24"/>
          <w:szCs w:val="24"/>
          <w:lang w:val="en-US" w:eastAsia="zh-CN"/>
        </w:rPr>
        <w:t>双重验证、三阶段推理</w:t>
      </w:r>
      <w:r>
        <w:rPr>
          <w:rFonts w:hint="eastAsia" w:asciiTheme="minorEastAsia" w:hAnsiTheme="minorEastAsia" w:eastAsiaTheme="minorEastAsia"/>
          <w:sz w:val="24"/>
          <w:szCs w:val="24"/>
          <w:lang w:val="en-US" w:eastAsia="zh-CN"/>
        </w:rPr>
        <w:t>”</w:t>
      </w:r>
      <w:r>
        <w:rPr>
          <w:rFonts w:hint="default" w:asciiTheme="minorEastAsia" w:hAnsiTheme="minorEastAsia" w:eastAsiaTheme="minorEastAsia"/>
          <w:sz w:val="24"/>
          <w:szCs w:val="24"/>
          <w:lang w:val="en-US" w:eastAsia="zh-CN"/>
        </w:rPr>
        <w:t>的技术路线。在双重验证层面</w:t>
      </w:r>
      <w:r>
        <w:rPr>
          <w:rFonts w:hint="eastAsia" w:asciiTheme="minorEastAsia" w:hAnsiTheme="minorEastAsia" w:eastAsiaTheme="minorEastAsia"/>
          <w:sz w:val="24"/>
          <w:szCs w:val="24"/>
          <w:lang w:val="en-US" w:eastAsia="zh-CN"/>
        </w:rPr>
        <w:t>，</w:t>
      </w:r>
      <w:r>
        <w:rPr>
          <w:rFonts w:hint="default" w:asciiTheme="minorEastAsia" w:hAnsiTheme="minorEastAsia" w:eastAsiaTheme="minorEastAsia"/>
          <w:sz w:val="24"/>
          <w:szCs w:val="24"/>
          <w:lang w:val="en-US" w:eastAsia="zh-CN"/>
        </w:rPr>
        <w:t>我们将大语言模型的语义理解能力与罕见病知识图谱的专业约束相结合。这一设计特别考虑了罕见病用药的特殊性：相比常见病</w:t>
      </w:r>
      <w:r>
        <w:rPr>
          <w:rFonts w:hint="eastAsia" w:asciiTheme="minorEastAsia" w:hAnsiTheme="minorEastAsia" w:eastAsiaTheme="minorEastAsia"/>
          <w:sz w:val="24"/>
          <w:szCs w:val="24"/>
          <w:lang w:val="en-US" w:eastAsia="zh-CN"/>
        </w:rPr>
        <w:t>，</w:t>
      </w:r>
      <w:r>
        <w:rPr>
          <w:rFonts w:hint="default" w:asciiTheme="minorEastAsia" w:hAnsiTheme="minorEastAsia" w:eastAsiaTheme="minorEastAsia"/>
          <w:sz w:val="24"/>
          <w:szCs w:val="24"/>
          <w:lang w:val="en-US" w:eastAsia="zh-CN"/>
        </w:rPr>
        <w:t>罕见病的诊疗记录较少</w:t>
      </w:r>
      <w:r>
        <w:rPr>
          <w:rFonts w:hint="eastAsia" w:asciiTheme="minorEastAsia" w:hAnsiTheme="minorEastAsia" w:eastAsiaTheme="minorEastAsia"/>
          <w:sz w:val="24"/>
          <w:szCs w:val="24"/>
          <w:lang w:val="en-US" w:eastAsia="zh-CN"/>
        </w:rPr>
        <w:t>，</w:t>
      </w:r>
      <w:r>
        <w:rPr>
          <w:rFonts w:hint="default" w:asciiTheme="minorEastAsia" w:hAnsiTheme="minorEastAsia" w:eastAsiaTheme="minorEastAsia"/>
          <w:sz w:val="24"/>
          <w:szCs w:val="24"/>
          <w:lang w:val="en-US" w:eastAsia="zh-CN"/>
        </w:rPr>
        <w:t>标准治疗方案有限</w:t>
      </w:r>
      <w:r>
        <w:rPr>
          <w:rFonts w:hint="eastAsia" w:asciiTheme="minorEastAsia" w:hAnsiTheme="minorEastAsia" w:eastAsiaTheme="minorEastAsia"/>
          <w:sz w:val="24"/>
          <w:szCs w:val="24"/>
          <w:lang w:val="en-US" w:eastAsia="zh-CN"/>
        </w:rPr>
        <w:t>，</w:t>
      </w:r>
      <w:r>
        <w:rPr>
          <w:rFonts w:hint="default" w:asciiTheme="minorEastAsia" w:hAnsiTheme="minorEastAsia" w:eastAsiaTheme="minorEastAsia"/>
          <w:sz w:val="24"/>
          <w:szCs w:val="24"/>
          <w:lang w:val="en-US" w:eastAsia="zh-CN"/>
        </w:rPr>
        <w:t>往往需要更细致的语义理解和更严格的知识验证。</w:t>
      </w:r>
    </w:p>
    <w:p>
      <w:pPr>
        <w:snapToGrid w:val="0"/>
        <w:spacing w:line="440" w:lineRule="exact"/>
        <w:ind w:firstLine="470" w:firstLineChars="196"/>
        <w:rPr>
          <w:rFonts w:hint="default" w:asciiTheme="minorEastAsia" w:hAnsiTheme="minorEastAsia" w:eastAsiaTheme="minorEastAsia"/>
          <w:sz w:val="24"/>
          <w:szCs w:val="24"/>
          <w:lang w:val="en-US" w:eastAsia="zh-CN"/>
        </w:rPr>
      </w:pPr>
    </w:p>
    <w:p>
      <w:pPr>
        <w:snapToGrid w:val="0"/>
        <w:spacing w:line="440" w:lineRule="exact"/>
        <w:ind w:firstLine="470" w:firstLineChars="196"/>
        <w:rPr>
          <w:rFonts w:hint="default" w:asciiTheme="minorEastAsia" w:hAnsiTheme="minorEastAsia" w:eastAsiaTheme="minorEastAsia"/>
          <w:sz w:val="24"/>
          <w:szCs w:val="24"/>
          <w:lang w:val="en-US" w:eastAsia="zh-CN"/>
        </w:rPr>
      </w:pPr>
      <w:r>
        <w:rPr>
          <w:rFonts w:hint="default" w:asciiTheme="minorEastAsia" w:hAnsiTheme="minorEastAsia" w:eastAsiaTheme="minorEastAsia"/>
          <w:sz w:val="24"/>
          <w:szCs w:val="24"/>
          <w:lang w:val="en-US" w:eastAsia="zh-CN"/>
        </w:rPr>
        <w:t>具体而言</w:t>
      </w:r>
      <w:r>
        <w:rPr>
          <w:rFonts w:hint="eastAsia" w:asciiTheme="minorEastAsia" w:hAnsiTheme="minorEastAsia" w:eastAsiaTheme="minorEastAsia"/>
          <w:sz w:val="24"/>
          <w:szCs w:val="24"/>
          <w:lang w:val="en-US" w:eastAsia="zh-CN"/>
        </w:rPr>
        <w:t>，</w:t>
      </w:r>
      <w:r>
        <w:rPr>
          <w:rFonts w:hint="default" w:asciiTheme="minorEastAsia" w:hAnsiTheme="minorEastAsia" w:eastAsiaTheme="minorEastAsia"/>
          <w:sz w:val="24"/>
          <w:szCs w:val="24"/>
          <w:lang w:val="en-US" w:eastAsia="zh-CN"/>
        </w:rPr>
        <w:t>第一阶段聚焦于</w:t>
      </w:r>
      <w:r>
        <w:rPr>
          <w:rFonts w:hint="default" w:asciiTheme="minorEastAsia" w:hAnsiTheme="minorEastAsia" w:eastAsiaTheme="minorEastAsia"/>
          <w:b/>
          <w:bCs/>
          <w:sz w:val="24"/>
          <w:szCs w:val="24"/>
          <w:lang w:val="en-US" w:eastAsia="zh-CN"/>
        </w:rPr>
        <w:t>药品实体的精准识别与对齐</w:t>
      </w:r>
      <w:r>
        <w:rPr>
          <w:rFonts w:hint="default" w:asciiTheme="minorEastAsia" w:hAnsiTheme="minorEastAsia" w:eastAsiaTheme="minorEastAsia"/>
          <w:sz w:val="24"/>
          <w:szCs w:val="24"/>
          <w:lang w:val="en-US" w:eastAsia="zh-CN"/>
        </w:rPr>
        <w:t>。针对罕见病用药记录中可能出现的非标准药品描述(如进口药品的不同译名、临床简写等)</w:t>
      </w:r>
      <w:r>
        <w:rPr>
          <w:rFonts w:hint="eastAsia" w:asciiTheme="minorEastAsia" w:hAnsiTheme="minorEastAsia" w:eastAsiaTheme="minorEastAsia"/>
          <w:sz w:val="24"/>
          <w:szCs w:val="24"/>
          <w:lang w:val="en-US" w:eastAsia="zh-CN"/>
        </w:rPr>
        <w:t>，</w:t>
      </w:r>
      <w:r>
        <w:rPr>
          <w:rFonts w:hint="default" w:asciiTheme="minorEastAsia" w:hAnsiTheme="minorEastAsia" w:eastAsiaTheme="minorEastAsia"/>
          <w:sz w:val="24"/>
          <w:szCs w:val="24"/>
          <w:lang w:val="en-US" w:eastAsia="zh-CN"/>
        </w:rPr>
        <w:t>我们设计了一种基于少样本学习的迭代优化策略：首先构建罕见病特定的药品实体知识库</w:t>
      </w:r>
      <w:r>
        <w:rPr>
          <w:rFonts w:hint="eastAsia" w:asciiTheme="minorEastAsia" w:hAnsiTheme="minorEastAsia" w:eastAsiaTheme="minorEastAsia"/>
          <w:sz w:val="24"/>
          <w:szCs w:val="24"/>
          <w:lang w:val="en-US" w:eastAsia="zh-CN"/>
        </w:rPr>
        <w:t>，</w:t>
      </w:r>
      <w:r>
        <w:rPr>
          <w:rFonts w:hint="default" w:asciiTheme="minorEastAsia" w:hAnsiTheme="minorEastAsia" w:eastAsiaTheme="minorEastAsia"/>
          <w:sz w:val="24"/>
          <w:szCs w:val="24"/>
          <w:lang w:val="en-US" w:eastAsia="zh-CN"/>
        </w:rPr>
        <w:t>包含标准名称、常见别名和相关描述；利用大语言模型进行初步识别</w:t>
      </w:r>
      <w:r>
        <w:rPr>
          <w:rFonts w:hint="eastAsia" w:asciiTheme="minorEastAsia" w:hAnsiTheme="minorEastAsia" w:eastAsiaTheme="minorEastAsia"/>
          <w:sz w:val="24"/>
          <w:szCs w:val="24"/>
          <w:lang w:val="en-US" w:eastAsia="zh-CN"/>
        </w:rPr>
        <w:t>并提取</w:t>
      </w:r>
      <w:r>
        <w:rPr>
          <w:rFonts w:hint="default" w:asciiTheme="minorEastAsia" w:hAnsiTheme="minorEastAsia" w:eastAsiaTheme="minorEastAsia"/>
          <w:sz w:val="24"/>
          <w:szCs w:val="24"/>
          <w:lang w:val="en-US" w:eastAsia="zh-CN"/>
        </w:rPr>
        <w:t>；最后通过知识图谱验证</w:t>
      </w:r>
      <w:r>
        <w:rPr>
          <w:rFonts w:hint="eastAsia" w:asciiTheme="minorEastAsia" w:hAnsiTheme="minorEastAsia" w:eastAsiaTheme="minorEastAsia"/>
          <w:sz w:val="24"/>
          <w:szCs w:val="24"/>
          <w:lang w:val="en-US" w:eastAsia="zh-CN"/>
        </w:rPr>
        <w:t>，</w:t>
      </w:r>
      <w:r>
        <w:rPr>
          <w:rFonts w:hint="default" w:asciiTheme="minorEastAsia" w:hAnsiTheme="minorEastAsia" w:eastAsiaTheme="minorEastAsia"/>
          <w:sz w:val="24"/>
          <w:szCs w:val="24"/>
          <w:lang w:val="en-US" w:eastAsia="zh-CN"/>
        </w:rPr>
        <w:t>确保识别结果的专业准确性。</w:t>
      </w:r>
    </w:p>
    <w:p>
      <w:pPr>
        <w:snapToGrid w:val="0"/>
        <w:spacing w:line="440" w:lineRule="exact"/>
        <w:ind w:firstLine="470" w:firstLineChars="196"/>
        <w:rPr>
          <w:rFonts w:hint="default" w:asciiTheme="minorEastAsia" w:hAnsiTheme="minorEastAsia" w:eastAsiaTheme="minorEastAsia"/>
          <w:sz w:val="24"/>
          <w:szCs w:val="24"/>
          <w:lang w:val="en-US" w:eastAsia="zh-CN"/>
        </w:rPr>
      </w:pPr>
      <w:r>
        <w:rPr>
          <w:rFonts w:hint="default" w:asciiTheme="minorEastAsia" w:hAnsiTheme="minorEastAsia" w:eastAsiaTheme="minorEastAsia"/>
          <w:sz w:val="24"/>
          <w:szCs w:val="24"/>
          <w:lang w:val="en-US" w:eastAsia="zh-CN"/>
        </w:rPr>
        <w:t>第二阶段着重于</w:t>
      </w:r>
      <w:r>
        <w:rPr>
          <w:rFonts w:hint="default" w:asciiTheme="minorEastAsia" w:hAnsiTheme="minorEastAsia" w:eastAsiaTheme="minorEastAsia"/>
          <w:b/>
          <w:bCs/>
          <w:sz w:val="24"/>
          <w:szCs w:val="24"/>
          <w:lang w:val="en-US" w:eastAsia="zh-CN"/>
        </w:rPr>
        <w:t>适应症范围的精确界定</w:t>
      </w:r>
      <w:r>
        <w:rPr>
          <w:rFonts w:hint="default" w:asciiTheme="minorEastAsia" w:hAnsiTheme="minorEastAsia" w:eastAsiaTheme="minorEastAsia"/>
          <w:sz w:val="24"/>
          <w:szCs w:val="24"/>
          <w:lang w:val="en-US" w:eastAsia="zh-CN"/>
        </w:rPr>
        <w:t>。系统</w:t>
      </w:r>
      <w:bookmarkStart w:id="0" w:name="_GoBack"/>
      <w:bookmarkEnd w:id="0"/>
      <w:r>
        <w:rPr>
          <w:rFonts w:hint="default" w:asciiTheme="minorEastAsia" w:hAnsiTheme="minorEastAsia" w:eastAsiaTheme="minorEastAsia"/>
          <w:sz w:val="24"/>
          <w:szCs w:val="24"/>
          <w:lang w:val="en-US" w:eastAsia="zh-CN"/>
        </w:rPr>
        <w:t>首先从药品说明书中提取标准适应症信息</w:t>
      </w:r>
      <w:r>
        <w:rPr>
          <w:rFonts w:hint="eastAsia" w:asciiTheme="minorEastAsia" w:hAnsiTheme="minorEastAsia" w:eastAsiaTheme="minorEastAsia"/>
          <w:sz w:val="24"/>
          <w:szCs w:val="24"/>
          <w:lang w:val="en-US" w:eastAsia="zh-CN"/>
        </w:rPr>
        <w:t>，</w:t>
      </w:r>
      <w:r>
        <w:rPr>
          <w:rFonts w:hint="default" w:asciiTheme="minorEastAsia" w:hAnsiTheme="minorEastAsia" w:eastAsiaTheme="minorEastAsia"/>
          <w:sz w:val="24"/>
          <w:szCs w:val="24"/>
          <w:lang w:val="en-US" w:eastAsia="zh-CN"/>
        </w:rPr>
        <w:t>同时收集国内外罕见病诊疗指南、专家共识等补充资料。通过RAG技术</w:t>
      </w:r>
      <w:r>
        <w:rPr>
          <w:rFonts w:hint="eastAsia" w:asciiTheme="minorEastAsia" w:hAnsiTheme="minorEastAsia" w:eastAsiaTheme="minorEastAsia"/>
          <w:sz w:val="24"/>
          <w:szCs w:val="24"/>
          <w:lang w:val="en-US" w:eastAsia="zh-CN"/>
        </w:rPr>
        <w:t>，</w:t>
      </w:r>
      <w:r>
        <w:rPr>
          <w:rFonts w:hint="default" w:asciiTheme="minorEastAsia" w:hAnsiTheme="minorEastAsia" w:eastAsiaTheme="minorEastAsia"/>
          <w:sz w:val="24"/>
          <w:szCs w:val="24"/>
          <w:lang w:val="en-US" w:eastAsia="zh-CN"/>
        </w:rPr>
        <w:t>系统能够检索并整合这些信息</w:t>
      </w:r>
      <w:r>
        <w:rPr>
          <w:rFonts w:hint="eastAsia" w:asciiTheme="minorEastAsia" w:hAnsiTheme="minorEastAsia" w:eastAsiaTheme="minorEastAsia"/>
          <w:sz w:val="24"/>
          <w:szCs w:val="24"/>
          <w:lang w:val="en-US" w:eastAsia="zh-CN"/>
        </w:rPr>
        <w:t>，</w:t>
      </w:r>
      <w:r>
        <w:rPr>
          <w:rFonts w:hint="default" w:asciiTheme="minorEastAsia" w:hAnsiTheme="minorEastAsia" w:eastAsiaTheme="minorEastAsia"/>
          <w:sz w:val="24"/>
          <w:szCs w:val="24"/>
          <w:lang w:val="en-US" w:eastAsia="zh-CN"/>
        </w:rPr>
        <w:t>特别关注适应症的边界条件和特殊人群使用建议。在此基础上</w:t>
      </w:r>
      <w:r>
        <w:rPr>
          <w:rFonts w:hint="eastAsia" w:asciiTheme="minorEastAsia" w:hAnsiTheme="minorEastAsia" w:eastAsiaTheme="minorEastAsia"/>
          <w:sz w:val="24"/>
          <w:szCs w:val="24"/>
          <w:lang w:val="en-US" w:eastAsia="zh-CN"/>
        </w:rPr>
        <w:t>，</w:t>
      </w:r>
      <w:r>
        <w:rPr>
          <w:rFonts w:hint="default" w:asciiTheme="minorEastAsia" w:hAnsiTheme="minorEastAsia" w:eastAsiaTheme="minorEastAsia"/>
          <w:sz w:val="24"/>
          <w:szCs w:val="24"/>
          <w:lang w:val="en-US" w:eastAsia="zh-CN"/>
        </w:rPr>
        <w:t>利用大语言模型的推理能力</w:t>
      </w:r>
      <w:r>
        <w:rPr>
          <w:rFonts w:hint="eastAsia" w:asciiTheme="minorEastAsia" w:hAnsiTheme="minorEastAsia" w:eastAsiaTheme="minorEastAsia"/>
          <w:sz w:val="24"/>
          <w:szCs w:val="24"/>
          <w:lang w:val="en-US" w:eastAsia="zh-CN"/>
        </w:rPr>
        <w:t>，</w:t>
      </w:r>
      <w:r>
        <w:rPr>
          <w:rFonts w:hint="default" w:asciiTheme="minorEastAsia" w:hAnsiTheme="minorEastAsia" w:eastAsiaTheme="minorEastAsia"/>
          <w:sz w:val="24"/>
          <w:szCs w:val="24"/>
          <w:lang w:val="en-US" w:eastAsia="zh-CN"/>
        </w:rPr>
        <w:t>结合患者具体情况(如疾病亚型、合并症等)进行个性化分析。</w:t>
      </w:r>
    </w:p>
    <w:p>
      <w:pPr>
        <w:snapToGrid w:val="0"/>
        <w:spacing w:line="440" w:lineRule="exact"/>
        <w:ind w:firstLine="470" w:firstLineChars="196"/>
        <w:rPr>
          <w:rFonts w:hint="default" w:asciiTheme="minorEastAsia" w:hAnsiTheme="minorEastAsia" w:eastAsiaTheme="minorEastAsia"/>
          <w:sz w:val="24"/>
          <w:szCs w:val="24"/>
          <w:lang w:val="en-US" w:eastAsia="zh-CN"/>
        </w:rPr>
      </w:pPr>
      <w:r>
        <w:rPr>
          <w:rFonts w:hint="default" w:asciiTheme="minorEastAsia" w:hAnsiTheme="minorEastAsia" w:eastAsiaTheme="minorEastAsia"/>
          <w:sz w:val="24"/>
          <w:szCs w:val="24"/>
          <w:lang w:val="en-US" w:eastAsia="zh-CN"/>
        </w:rPr>
        <w:t>第三阶段专注于</w:t>
      </w:r>
      <w:r>
        <w:rPr>
          <w:rFonts w:hint="default" w:asciiTheme="minorEastAsia" w:hAnsiTheme="minorEastAsia" w:eastAsiaTheme="minorEastAsia"/>
          <w:b/>
          <w:bCs/>
          <w:sz w:val="24"/>
          <w:szCs w:val="24"/>
          <w:lang w:val="en-US" w:eastAsia="zh-CN"/>
        </w:rPr>
        <w:t>超适应症判断的结果生成</w:t>
      </w:r>
      <w:r>
        <w:rPr>
          <w:rFonts w:hint="default" w:asciiTheme="minorEastAsia" w:hAnsiTheme="minorEastAsia" w:eastAsiaTheme="minorEastAsia"/>
          <w:sz w:val="24"/>
          <w:szCs w:val="24"/>
          <w:lang w:val="en-US" w:eastAsia="zh-CN"/>
        </w:rPr>
        <w:t>。考虑到罕见病用药决策的复杂性</w:t>
      </w:r>
      <w:r>
        <w:rPr>
          <w:rFonts w:hint="eastAsia" w:asciiTheme="minorEastAsia" w:hAnsiTheme="minorEastAsia" w:eastAsiaTheme="minorEastAsia"/>
          <w:sz w:val="24"/>
          <w:szCs w:val="24"/>
          <w:lang w:val="en-US" w:eastAsia="zh-CN"/>
        </w:rPr>
        <w:t>，</w:t>
      </w:r>
      <w:r>
        <w:rPr>
          <w:rFonts w:hint="default" w:asciiTheme="minorEastAsia" w:hAnsiTheme="minorEastAsia" w:eastAsiaTheme="minorEastAsia"/>
          <w:sz w:val="24"/>
          <w:szCs w:val="24"/>
          <w:lang w:val="en-US" w:eastAsia="zh-CN"/>
        </w:rPr>
        <w:t>我们设计了一个多维度的输出框架</w:t>
      </w:r>
      <w:r>
        <w:rPr>
          <w:rFonts w:hint="eastAsia" w:asciiTheme="minorEastAsia" w:hAnsiTheme="minorEastAsia" w:eastAsiaTheme="minorEastAsia"/>
          <w:sz w:val="24"/>
          <w:szCs w:val="24"/>
          <w:lang w:val="en-US" w:eastAsia="zh-CN"/>
        </w:rPr>
        <w:t>，</w:t>
      </w:r>
      <w:r>
        <w:rPr>
          <w:rFonts w:hint="default" w:asciiTheme="minorEastAsia" w:hAnsiTheme="minorEastAsia" w:eastAsiaTheme="minorEastAsia"/>
          <w:sz w:val="24"/>
          <w:szCs w:val="24"/>
          <w:lang w:val="en-US" w:eastAsia="zh-CN"/>
        </w:rPr>
        <w:t>不仅给出超适应症的</w:t>
      </w:r>
      <w:r>
        <w:rPr>
          <w:rFonts w:hint="eastAsia" w:asciiTheme="minorEastAsia" w:hAnsiTheme="minorEastAsia" w:eastAsiaTheme="minorEastAsia"/>
          <w:sz w:val="24"/>
          <w:szCs w:val="24"/>
          <w:lang w:val="en-US" w:eastAsia="zh-CN"/>
        </w:rPr>
        <w:t>推断</w:t>
      </w:r>
      <w:r>
        <w:rPr>
          <w:rFonts w:hint="default" w:asciiTheme="minorEastAsia" w:hAnsiTheme="minorEastAsia" w:eastAsiaTheme="minorEastAsia"/>
          <w:sz w:val="24"/>
          <w:szCs w:val="24"/>
          <w:lang w:val="en-US" w:eastAsia="zh-CN"/>
        </w:rPr>
        <w:t>结果</w:t>
      </w:r>
      <w:r>
        <w:rPr>
          <w:rFonts w:hint="eastAsia" w:asciiTheme="minorEastAsia" w:hAnsiTheme="minorEastAsia" w:eastAsiaTheme="minorEastAsia"/>
          <w:sz w:val="24"/>
          <w:szCs w:val="24"/>
          <w:lang w:val="en-US" w:eastAsia="zh-CN"/>
        </w:rPr>
        <w:t>，同样还包括以下几个维度</w:t>
      </w:r>
      <w:r>
        <w:rPr>
          <w:rFonts w:hint="default" w:asciiTheme="minorEastAsia" w:hAnsiTheme="minorEastAsia" w:eastAsiaTheme="minorEastAsia"/>
          <w:sz w:val="24"/>
          <w:szCs w:val="24"/>
          <w:lang w:val="en-US" w:eastAsia="zh-CN"/>
        </w:rPr>
        <w:t>：</w:t>
      </w:r>
      <w:r>
        <w:rPr>
          <w:rFonts w:hint="eastAsia" w:asciiTheme="minorEastAsia" w:hAnsiTheme="minorEastAsia" w:eastAsiaTheme="minorEastAsia"/>
          <w:sz w:val="24"/>
          <w:szCs w:val="24"/>
          <w:lang w:val="en-US" w:eastAsia="zh-CN"/>
        </w:rPr>
        <w:t>1）</w:t>
      </w:r>
      <w:r>
        <w:rPr>
          <w:rFonts w:hint="default" w:asciiTheme="minorEastAsia" w:hAnsiTheme="minorEastAsia" w:eastAsiaTheme="minorEastAsia"/>
          <w:sz w:val="24"/>
          <w:szCs w:val="24"/>
          <w:lang w:val="en-US" w:eastAsia="zh-CN"/>
        </w:rPr>
        <w:t>适应症匹配度分析</w:t>
      </w:r>
      <w:r>
        <w:rPr>
          <w:rFonts w:hint="eastAsia" w:asciiTheme="minorEastAsia" w:hAnsiTheme="minorEastAsia" w:eastAsiaTheme="minorEastAsia"/>
          <w:sz w:val="24"/>
          <w:szCs w:val="24"/>
          <w:lang w:val="en-US" w:eastAsia="zh-CN"/>
        </w:rPr>
        <w:t>：</w:t>
      </w:r>
      <w:r>
        <w:rPr>
          <w:rFonts w:hint="default" w:asciiTheme="minorEastAsia" w:hAnsiTheme="minorEastAsia" w:eastAsiaTheme="minorEastAsia"/>
          <w:sz w:val="24"/>
          <w:szCs w:val="24"/>
          <w:lang w:val="en-US" w:eastAsia="zh-CN"/>
        </w:rPr>
        <w:t>详细说明当前用药与标准适应症的重合和偏离程度</w:t>
      </w:r>
      <w:r>
        <w:rPr>
          <w:rFonts w:hint="eastAsia" w:asciiTheme="minorEastAsia" w:hAnsiTheme="minorEastAsia" w:eastAsiaTheme="minorEastAsia"/>
          <w:sz w:val="24"/>
          <w:szCs w:val="24"/>
          <w:lang w:val="en-US" w:eastAsia="zh-CN"/>
        </w:rPr>
        <w:t>；2）</w:t>
      </w:r>
      <w:r>
        <w:rPr>
          <w:rFonts w:hint="default" w:asciiTheme="minorEastAsia" w:hAnsiTheme="minorEastAsia" w:eastAsiaTheme="minorEastAsia"/>
          <w:sz w:val="24"/>
          <w:szCs w:val="24"/>
          <w:lang w:val="en-US" w:eastAsia="zh-CN"/>
        </w:rPr>
        <w:t>支持证据等级：基于循证医学原则</w:t>
      </w:r>
      <w:r>
        <w:rPr>
          <w:rFonts w:hint="eastAsia" w:asciiTheme="minorEastAsia" w:hAnsiTheme="minorEastAsia" w:eastAsiaTheme="minorEastAsia"/>
          <w:sz w:val="24"/>
          <w:szCs w:val="24"/>
          <w:lang w:val="en-US" w:eastAsia="zh-CN"/>
        </w:rPr>
        <w:t>，</w:t>
      </w:r>
      <w:r>
        <w:rPr>
          <w:rFonts w:hint="default" w:asciiTheme="minorEastAsia" w:hAnsiTheme="minorEastAsia" w:eastAsiaTheme="minorEastAsia"/>
          <w:sz w:val="24"/>
          <w:szCs w:val="24"/>
          <w:lang w:val="en-US" w:eastAsia="zh-CN"/>
        </w:rPr>
        <w:t>标注支持用药决策的证据级别</w:t>
      </w:r>
      <w:r>
        <w:rPr>
          <w:rFonts w:hint="eastAsia" w:asciiTheme="minorEastAsia" w:hAnsiTheme="minorEastAsia" w:eastAsiaTheme="minorEastAsia"/>
          <w:sz w:val="24"/>
          <w:szCs w:val="24"/>
          <w:lang w:val="en-US" w:eastAsia="zh-CN"/>
        </w:rPr>
        <w:t>；3）</w:t>
      </w:r>
      <w:r>
        <w:rPr>
          <w:rFonts w:hint="default" w:asciiTheme="minorEastAsia" w:hAnsiTheme="minorEastAsia" w:eastAsiaTheme="minorEastAsia"/>
          <w:sz w:val="24"/>
          <w:szCs w:val="24"/>
          <w:lang w:val="en-US" w:eastAsia="zh-CN"/>
        </w:rPr>
        <w:t>潜在风险评估：预警可能的不良反应和相互作用</w:t>
      </w:r>
      <w:r>
        <w:rPr>
          <w:rFonts w:hint="eastAsia" w:asciiTheme="minorEastAsia" w:hAnsiTheme="minorEastAsia" w:eastAsiaTheme="minorEastAsia"/>
          <w:sz w:val="24"/>
          <w:szCs w:val="24"/>
          <w:lang w:val="en-US" w:eastAsia="zh-CN"/>
        </w:rPr>
        <w:t>；4）</w:t>
      </w:r>
      <w:r>
        <w:rPr>
          <w:rFonts w:hint="default" w:asciiTheme="minorEastAsia" w:hAnsiTheme="minorEastAsia" w:eastAsiaTheme="minorEastAsia"/>
          <w:sz w:val="24"/>
          <w:szCs w:val="24"/>
          <w:lang w:val="en-US" w:eastAsia="zh-CN"/>
        </w:rPr>
        <w:t>替代方案建议：推荐其他可能的治疗选择</w:t>
      </w:r>
      <w:r>
        <w:rPr>
          <w:rFonts w:hint="eastAsia" w:asciiTheme="minorEastAsia" w:hAnsiTheme="minorEastAsia" w:eastAsiaTheme="minorEastAsia"/>
          <w:sz w:val="24"/>
          <w:szCs w:val="24"/>
          <w:lang w:val="en-US" w:eastAsia="zh-CN"/>
        </w:rPr>
        <w:t>。</w:t>
      </w:r>
    </w:p>
    <w:p>
      <w:pPr>
        <w:numPr>
          <w:ilvl w:val="0"/>
          <w:numId w:val="3"/>
        </w:numPr>
        <w:snapToGrid w:val="0"/>
        <w:spacing w:line="440" w:lineRule="exact"/>
        <w:ind w:firstLine="471" w:firstLineChars="196"/>
        <w:rPr>
          <w:rFonts w:hint="eastAsia" w:asciiTheme="minorEastAsia" w:hAnsiTheme="minorEastAsia" w:eastAsiaTheme="minorEastAsia"/>
          <w:b/>
          <w:bCs/>
          <w:sz w:val="24"/>
          <w:szCs w:val="24"/>
          <w:lang w:val="en-US" w:eastAsia="zh-CN"/>
        </w:rPr>
      </w:pPr>
      <w:r>
        <w:rPr>
          <w:rFonts w:hint="eastAsia" w:asciiTheme="minorEastAsia" w:hAnsiTheme="minorEastAsia" w:eastAsiaTheme="minorEastAsia"/>
          <w:b/>
          <w:bCs/>
          <w:sz w:val="24"/>
          <w:szCs w:val="24"/>
          <w:lang w:val="en-US" w:eastAsia="zh-CN"/>
        </w:rPr>
        <w:t>研究方法</w:t>
      </w:r>
    </w:p>
    <w:p>
      <w:pPr>
        <w:snapToGrid w:val="0"/>
        <w:spacing w:line="440" w:lineRule="exact"/>
        <w:ind w:firstLine="470" w:firstLineChars="196"/>
        <w:rPr>
          <w:rFonts w:hint="eastAsia" w:asciiTheme="minorEastAsia" w:hAnsiTheme="minorEastAsia" w:eastAsiaTheme="minorEastAsia"/>
          <w:sz w:val="24"/>
          <w:szCs w:val="24"/>
          <w:lang w:val="en-US" w:eastAsia="zh-CN"/>
        </w:rPr>
      </w:pPr>
      <w:r>
        <w:rPr>
          <w:rFonts w:hint="eastAsia" w:asciiTheme="minorEastAsia" w:hAnsiTheme="minorEastAsia" w:eastAsiaTheme="minorEastAsia"/>
          <w:sz w:val="24"/>
          <w:szCs w:val="24"/>
          <w:lang w:val="en-US" w:eastAsia="zh-CN"/>
        </w:rPr>
        <w:t>本研究采用“大模型驱动、专家知识引导、分级验证”的研究方法。在大模型应用层面，我们将针对罕见病领域进行特定的提示词优化和微调训练；在知识引导层面，建立专门的罕见病用药知识库，整合国内外最新研究进展和临床实践经验；在分级验证层面，设置不同的置信度阈值，对高风险判断进行人工复核，确保系统输出的安全性和可靠性。</w:t>
      </w:r>
    </w:p>
    <w:p>
      <w:pPr>
        <w:numPr>
          <w:ilvl w:val="0"/>
          <w:numId w:val="3"/>
        </w:numPr>
        <w:snapToGrid w:val="0"/>
        <w:spacing w:line="440" w:lineRule="exact"/>
        <w:ind w:firstLine="471" w:firstLineChars="196"/>
        <w:rPr>
          <w:rFonts w:hint="eastAsia" w:asciiTheme="minorEastAsia" w:hAnsiTheme="minorEastAsia" w:eastAsiaTheme="minorEastAsia"/>
          <w:b/>
          <w:bCs/>
          <w:sz w:val="24"/>
          <w:szCs w:val="24"/>
          <w:lang w:val="en-US" w:eastAsia="zh-CN"/>
        </w:rPr>
      </w:pPr>
      <w:r>
        <w:rPr>
          <w:rFonts w:hint="eastAsia" w:asciiTheme="minorEastAsia" w:hAnsiTheme="minorEastAsia" w:eastAsiaTheme="minorEastAsia"/>
          <w:b/>
          <w:bCs/>
          <w:sz w:val="24"/>
          <w:szCs w:val="24"/>
          <w:lang w:val="en-US" w:eastAsia="zh-CN"/>
        </w:rPr>
        <w:t>关键技术</w:t>
      </w:r>
    </w:p>
    <w:p>
      <w:pPr>
        <w:snapToGrid w:val="0"/>
        <w:spacing w:line="440" w:lineRule="exact"/>
        <w:ind w:firstLine="470" w:firstLineChars="196"/>
        <w:rPr>
          <w:rFonts w:hint="eastAsia" w:asciiTheme="minorEastAsia" w:hAnsiTheme="minorEastAsia" w:eastAsiaTheme="minorEastAsia"/>
          <w:sz w:val="24"/>
          <w:szCs w:val="24"/>
          <w:lang w:val="en-US" w:eastAsia="zh-CN"/>
        </w:rPr>
      </w:pPr>
      <w:r>
        <w:rPr>
          <w:rFonts w:hint="eastAsia" w:asciiTheme="minorEastAsia" w:hAnsiTheme="minorEastAsia" w:eastAsiaTheme="minorEastAsia"/>
          <w:sz w:val="24"/>
          <w:szCs w:val="24"/>
          <w:lang w:val="en-US" w:eastAsia="zh-CN"/>
        </w:rPr>
        <w:t>本研究重点突破三项关键技术：</w:t>
      </w:r>
    </w:p>
    <w:p>
      <w:pPr>
        <w:snapToGrid w:val="0"/>
        <w:spacing w:line="440" w:lineRule="exact"/>
        <w:ind w:firstLine="470" w:firstLineChars="196"/>
        <w:rPr>
          <w:rFonts w:hint="eastAsia" w:asciiTheme="minorEastAsia" w:hAnsiTheme="minorEastAsia" w:eastAsiaTheme="minorEastAsia"/>
          <w:sz w:val="24"/>
          <w:szCs w:val="24"/>
          <w:lang w:val="en-US" w:eastAsia="zh-CN"/>
        </w:rPr>
      </w:pPr>
      <w:r>
        <w:rPr>
          <w:rFonts w:hint="eastAsia" w:asciiTheme="minorEastAsia" w:hAnsiTheme="minorEastAsia" w:eastAsiaTheme="minorEastAsia"/>
          <w:sz w:val="24"/>
          <w:szCs w:val="24"/>
          <w:lang w:val="en-US" w:eastAsia="zh-CN"/>
        </w:rPr>
        <w:t>第一项是</w:t>
      </w:r>
      <w:r>
        <w:rPr>
          <w:rFonts w:hint="eastAsia" w:asciiTheme="minorEastAsia" w:hAnsiTheme="minorEastAsia" w:eastAsiaTheme="minorEastAsia"/>
          <w:b/>
          <w:bCs/>
          <w:sz w:val="24"/>
          <w:szCs w:val="24"/>
          <w:lang w:val="en-US" w:eastAsia="zh-CN"/>
        </w:rPr>
        <w:t>面向罕见病的实体对齐增强方法。</w:t>
      </w:r>
      <w:r>
        <w:rPr>
          <w:rFonts w:hint="eastAsia" w:asciiTheme="minorEastAsia" w:hAnsiTheme="minorEastAsia" w:eastAsiaTheme="minorEastAsia"/>
          <w:sz w:val="24"/>
          <w:szCs w:val="24"/>
          <w:lang w:val="en-US" w:eastAsia="zh-CN"/>
        </w:rPr>
        <w:t>具体而言，通过构建领域特定的同义词库和上下文理解模型，提升系统对非标准药品描述的识别能力。特别地，我们将收集和标注罕见病领域的真实用药记录，用于模型的持续优化。</w:t>
      </w:r>
    </w:p>
    <w:p>
      <w:pPr>
        <w:snapToGrid w:val="0"/>
        <w:spacing w:line="440" w:lineRule="exact"/>
        <w:ind w:firstLine="470" w:firstLineChars="196"/>
        <w:rPr>
          <w:rFonts w:hint="eastAsia" w:asciiTheme="minorEastAsia" w:hAnsiTheme="minorEastAsia" w:eastAsiaTheme="minorEastAsia"/>
          <w:sz w:val="24"/>
          <w:szCs w:val="24"/>
          <w:lang w:val="en-US" w:eastAsia="zh-CN"/>
        </w:rPr>
      </w:pPr>
      <w:r>
        <w:rPr>
          <w:rFonts w:hint="eastAsia" w:asciiTheme="minorEastAsia" w:hAnsiTheme="minorEastAsia" w:eastAsiaTheme="minorEastAsia"/>
          <w:sz w:val="24"/>
          <w:szCs w:val="24"/>
          <w:lang w:val="en-US" w:eastAsia="zh-CN"/>
        </w:rPr>
        <w:t>第二项关键技术是</w:t>
      </w:r>
      <w:r>
        <w:rPr>
          <w:rFonts w:hint="eastAsia" w:asciiTheme="minorEastAsia" w:hAnsiTheme="minorEastAsia" w:eastAsiaTheme="minorEastAsia"/>
          <w:b/>
          <w:bCs/>
          <w:sz w:val="24"/>
          <w:szCs w:val="24"/>
          <w:lang w:val="en-US" w:eastAsia="zh-CN"/>
        </w:rPr>
        <w:t>基于证据级别的混合推理机制</w:t>
      </w:r>
      <w:r>
        <w:rPr>
          <w:rFonts w:hint="eastAsia" w:asciiTheme="minorEastAsia" w:hAnsiTheme="minorEastAsia" w:eastAsiaTheme="minorEastAsia"/>
          <w:sz w:val="24"/>
          <w:szCs w:val="24"/>
          <w:lang w:val="en-US" w:eastAsia="zh-CN"/>
        </w:rPr>
        <w:t>。该机制创新性地将检索增强生成(RAG)与符号推理相结合，系统在进行超适应症判断时，也将同时考虑多个维度的证据：药品说明书的标准适应症、临床指南推荐、真实世界研究数据、专家共识等。通过设计层次化的证据权重体系，确保推理过程的科学性。</w:t>
      </w:r>
    </w:p>
    <w:p>
      <w:pPr>
        <w:snapToGrid w:val="0"/>
        <w:spacing w:line="440" w:lineRule="exact"/>
        <w:ind w:firstLine="470" w:firstLineChars="196"/>
        <w:rPr>
          <w:rFonts w:hint="eastAsia" w:asciiTheme="minorEastAsia" w:hAnsiTheme="minorEastAsia" w:eastAsiaTheme="minorEastAsia"/>
          <w:sz w:val="24"/>
          <w:szCs w:val="24"/>
          <w:lang w:val="en-US" w:eastAsia="zh-CN"/>
        </w:rPr>
      </w:pPr>
      <w:r>
        <w:rPr>
          <w:rFonts w:hint="eastAsia" w:asciiTheme="minorEastAsia" w:hAnsiTheme="minorEastAsia" w:eastAsiaTheme="minorEastAsia"/>
          <w:sz w:val="24"/>
          <w:szCs w:val="24"/>
          <w:lang w:val="en-US" w:eastAsia="zh-CN"/>
        </w:rPr>
        <w:t>第三项是</w:t>
      </w:r>
      <w:r>
        <w:rPr>
          <w:rFonts w:hint="eastAsia" w:asciiTheme="minorEastAsia" w:hAnsiTheme="minorEastAsia" w:eastAsiaTheme="minorEastAsia"/>
          <w:b/>
          <w:bCs/>
          <w:sz w:val="24"/>
          <w:szCs w:val="24"/>
          <w:lang w:val="en-US" w:eastAsia="zh-CN"/>
        </w:rPr>
        <w:t>可追溯的判断链路生成技术。</w:t>
      </w:r>
      <w:r>
        <w:rPr>
          <w:rFonts w:hint="eastAsia" w:asciiTheme="minorEastAsia" w:hAnsiTheme="minorEastAsia" w:eastAsiaTheme="minorEastAsia"/>
          <w:b w:val="0"/>
          <w:bCs w:val="0"/>
          <w:sz w:val="24"/>
          <w:szCs w:val="24"/>
          <w:lang w:val="en-US" w:eastAsia="zh-CN"/>
        </w:rPr>
        <w:t>针对每个超适应症判断，系统都会生成完整的决策路径，包括：触发判断的关键特征、采信的支持证据、排除的干扰因素等。这种透明的判断机制，有助于临床医生理解和验证系统的决策过程。</w:t>
      </w:r>
    </w:p>
    <w:p>
      <w:pPr>
        <w:numPr>
          <w:ilvl w:val="0"/>
          <w:numId w:val="1"/>
        </w:numPr>
        <w:snapToGrid w:val="0"/>
        <w:spacing w:line="440" w:lineRule="exact"/>
        <w:ind w:left="0" w:leftChars="0" w:firstLine="549" w:firstLineChars="196"/>
        <w:rPr>
          <w:rFonts w:hint="eastAsia" w:ascii="楷体" w:hAnsi="楷体" w:eastAsia="楷体" w:cs="楷体_GB2312"/>
          <w:b/>
          <w:bCs/>
          <w:color w:val="0070C0"/>
          <w:sz w:val="28"/>
          <w:szCs w:val="28"/>
        </w:rPr>
      </w:pPr>
      <w:r>
        <w:rPr>
          <w:rFonts w:hint="eastAsia" w:ascii="楷体" w:hAnsi="楷体" w:eastAsia="楷体" w:cs="楷体_GB2312"/>
          <w:b/>
          <w:bCs/>
          <w:color w:val="0070C0"/>
          <w:sz w:val="28"/>
          <w:szCs w:val="28"/>
        </w:rPr>
        <w:t>本项目的特色与创新之处；</w:t>
      </w:r>
    </w:p>
    <w:p>
      <w:pPr>
        <w:snapToGrid w:val="0"/>
        <w:spacing w:line="440" w:lineRule="exact"/>
        <w:ind w:firstLine="470" w:firstLineChars="196"/>
        <w:rPr>
          <w:rFonts w:hint="eastAsia" w:asciiTheme="minorEastAsia" w:hAnsiTheme="minorEastAsia" w:eastAsiaTheme="minorEastAsia"/>
          <w:sz w:val="24"/>
          <w:szCs w:val="24"/>
          <w:lang w:val="en-US" w:eastAsia="zh-CN"/>
        </w:rPr>
      </w:pPr>
      <w:r>
        <w:rPr>
          <w:rFonts w:hint="eastAsia" w:asciiTheme="minorEastAsia" w:hAnsiTheme="minorEastAsia" w:eastAsiaTheme="minorEastAsia"/>
          <w:sz w:val="24"/>
          <w:szCs w:val="24"/>
          <w:lang w:val="en-US" w:eastAsia="zh-CN"/>
        </w:rPr>
        <w:t>本项目在罕见病超适应症用药判断这一特定领域具有以下特色和创新:</w:t>
      </w:r>
    </w:p>
    <w:p>
      <w:pPr>
        <w:snapToGrid w:val="0"/>
        <w:spacing w:line="440" w:lineRule="exact"/>
        <w:ind w:firstLine="471" w:firstLineChars="196"/>
        <w:rPr>
          <w:rFonts w:hint="eastAsia" w:asciiTheme="minorEastAsia" w:hAnsiTheme="minorEastAsia" w:eastAsiaTheme="minorEastAsia"/>
          <w:b/>
          <w:bCs/>
          <w:sz w:val="24"/>
          <w:szCs w:val="24"/>
          <w:lang w:val="en-US" w:eastAsia="zh-CN"/>
        </w:rPr>
      </w:pPr>
      <w:r>
        <w:rPr>
          <w:rFonts w:hint="eastAsia" w:asciiTheme="minorEastAsia" w:hAnsiTheme="minorEastAsia" w:eastAsiaTheme="minorEastAsia"/>
          <w:b/>
          <w:bCs/>
          <w:sz w:val="24"/>
          <w:szCs w:val="24"/>
          <w:lang w:val="en-US" w:eastAsia="zh-CN"/>
        </w:rPr>
        <w:t>（1）提出了面向罕见病的"双模态对齐"技术范式</w:t>
      </w:r>
    </w:p>
    <w:p>
      <w:pPr>
        <w:snapToGrid w:val="0"/>
        <w:spacing w:line="440" w:lineRule="exact"/>
        <w:ind w:firstLine="470" w:firstLineChars="196"/>
        <w:rPr>
          <w:rFonts w:hint="eastAsia" w:asciiTheme="minorEastAsia" w:hAnsiTheme="minorEastAsia" w:eastAsiaTheme="minorEastAsia"/>
          <w:sz w:val="24"/>
          <w:szCs w:val="24"/>
          <w:lang w:val="en-US" w:eastAsia="zh-CN"/>
        </w:rPr>
      </w:pPr>
      <w:r>
        <w:rPr>
          <w:rFonts w:hint="eastAsia" w:asciiTheme="minorEastAsia" w:hAnsiTheme="minorEastAsia" w:eastAsiaTheme="minorEastAsia"/>
          <w:sz w:val="24"/>
          <w:szCs w:val="24"/>
          <w:lang w:val="en-US" w:eastAsia="zh-CN"/>
        </w:rPr>
        <w:t>将大语言模型的语义理解能力与结构化知识图谱相结合，开发了专门针对罕见病用药场景的实体对齐方法。与传统方法相比，将药品实体对齐问题分解为“语义理解</w:t>
      </w:r>
      <w:r>
        <w:rPr>
          <w:rFonts w:hint="default" w:asciiTheme="minorEastAsia" w:hAnsiTheme="minorEastAsia" w:eastAsiaTheme="minorEastAsia"/>
          <w:sz w:val="24"/>
          <w:szCs w:val="24"/>
          <w:lang w:val="en-US" w:eastAsia="zh-CN"/>
        </w:rPr>
        <w:t>”</w:t>
      </w:r>
      <w:r>
        <w:rPr>
          <w:rFonts w:hint="eastAsia" w:asciiTheme="minorEastAsia" w:hAnsiTheme="minorEastAsia" w:eastAsiaTheme="minorEastAsia"/>
          <w:sz w:val="24"/>
          <w:szCs w:val="24"/>
          <w:lang w:val="en-US" w:eastAsia="zh-CN"/>
        </w:rPr>
        <w:t>和“专业验证</w:t>
      </w:r>
      <w:r>
        <w:rPr>
          <w:rFonts w:hint="default" w:asciiTheme="minorEastAsia" w:hAnsiTheme="minorEastAsia" w:eastAsiaTheme="minorEastAsia"/>
          <w:sz w:val="24"/>
          <w:szCs w:val="24"/>
          <w:lang w:val="en-US" w:eastAsia="zh-CN"/>
        </w:rPr>
        <w:t>”</w:t>
      </w:r>
      <w:r>
        <w:rPr>
          <w:rFonts w:hint="eastAsia" w:asciiTheme="minorEastAsia" w:hAnsiTheme="minorEastAsia" w:eastAsiaTheme="minorEastAsia"/>
          <w:sz w:val="24"/>
          <w:szCs w:val="24"/>
          <w:lang w:val="en-US" w:eastAsia="zh-CN"/>
        </w:rPr>
        <w:t>两个子任务，通过大语言模型处理非标准表达的灵活性，以及知识图谱保证专业准确性的严谨性，有效解决了罕见病用药记录中存在的格式不一致、术语不规范等问题。</w:t>
      </w:r>
    </w:p>
    <w:p>
      <w:pPr>
        <w:snapToGrid w:val="0"/>
        <w:spacing w:line="440" w:lineRule="exact"/>
        <w:ind w:firstLine="471" w:firstLineChars="196"/>
        <w:rPr>
          <w:rFonts w:hint="eastAsia" w:asciiTheme="minorEastAsia" w:hAnsiTheme="minorEastAsia" w:eastAsiaTheme="minorEastAsia"/>
          <w:b/>
          <w:bCs/>
          <w:sz w:val="24"/>
          <w:szCs w:val="24"/>
          <w:lang w:val="en-US" w:eastAsia="zh-CN"/>
        </w:rPr>
      </w:pPr>
      <w:r>
        <w:rPr>
          <w:rFonts w:hint="eastAsia" w:asciiTheme="minorEastAsia" w:hAnsiTheme="minorEastAsia" w:eastAsiaTheme="minorEastAsia"/>
          <w:b/>
          <w:bCs/>
          <w:sz w:val="24"/>
          <w:szCs w:val="24"/>
          <w:lang w:val="en-US" w:eastAsia="zh-CN"/>
        </w:rPr>
        <w:t>（2）设计了基于证据级别的分层推理框架</w:t>
      </w:r>
    </w:p>
    <w:p>
      <w:pPr>
        <w:snapToGrid w:val="0"/>
        <w:spacing w:line="440" w:lineRule="exact"/>
        <w:ind w:firstLine="470" w:firstLineChars="196"/>
        <w:rPr>
          <w:rFonts w:hint="eastAsia" w:ascii="楷体" w:hAnsi="楷体" w:eastAsia="楷体" w:cs="楷体_GB2312"/>
          <w:b/>
          <w:bCs/>
          <w:color w:val="0070C0"/>
          <w:sz w:val="28"/>
          <w:szCs w:val="28"/>
        </w:rPr>
      </w:pPr>
      <w:r>
        <w:rPr>
          <w:rFonts w:hint="eastAsia" w:asciiTheme="minorEastAsia" w:hAnsiTheme="minorEastAsia" w:eastAsiaTheme="minorEastAsia"/>
          <w:sz w:val="24"/>
          <w:szCs w:val="24"/>
          <w:lang w:val="en-US" w:eastAsia="zh-CN"/>
        </w:rPr>
        <w:t>针对罕见病用药决策的特殊性，首次提出将循证医学证据分级体系引入超适应症判断过程。具体创新表现在：构建了一个包含药品说明书、临床指南、专家共识、真实世界研究等多层次证据的知识库，并基于证据级别设计了差异化的推理策略。这种分层推理框架不仅提升了判断的科学性，还为临床决策提供了清晰的依据支持。</w:t>
      </w:r>
    </w:p>
    <w:p>
      <w:pPr>
        <w:snapToGrid w:val="0"/>
        <w:spacing w:line="440" w:lineRule="exact"/>
        <w:ind w:firstLine="471" w:firstLineChars="196"/>
        <w:rPr>
          <w:rFonts w:hint="eastAsia" w:asciiTheme="minorEastAsia" w:hAnsiTheme="minorEastAsia" w:eastAsiaTheme="minorEastAsia"/>
          <w:b/>
          <w:bCs/>
          <w:sz w:val="24"/>
          <w:szCs w:val="24"/>
          <w:lang w:val="en-US" w:eastAsia="zh-CN"/>
        </w:rPr>
      </w:pPr>
      <w:r>
        <w:rPr>
          <w:rFonts w:hint="eastAsia" w:asciiTheme="minorEastAsia" w:hAnsiTheme="minorEastAsia" w:eastAsiaTheme="minorEastAsia"/>
          <w:b/>
          <w:bCs/>
          <w:sz w:val="24"/>
          <w:szCs w:val="24"/>
          <w:lang w:val="en-US" w:eastAsia="zh-CN"/>
        </w:rPr>
        <w:t>（3）开发了可溯源的风险评估机制</w:t>
      </w:r>
    </w:p>
    <w:p>
      <w:pPr>
        <w:snapToGrid w:val="0"/>
        <w:spacing w:line="440" w:lineRule="exact"/>
        <w:ind w:firstLine="470" w:firstLineChars="196"/>
        <w:rPr>
          <w:rFonts w:hint="eastAsia" w:asciiTheme="minorEastAsia" w:hAnsiTheme="minorEastAsia" w:eastAsiaTheme="minorEastAsia"/>
          <w:sz w:val="24"/>
          <w:szCs w:val="24"/>
          <w:lang w:val="en-US" w:eastAsia="zh-CN"/>
        </w:rPr>
      </w:pPr>
      <w:r>
        <w:rPr>
          <w:rFonts w:hint="eastAsia" w:asciiTheme="minorEastAsia" w:hAnsiTheme="minorEastAsia" w:eastAsiaTheme="minorEastAsia"/>
          <w:sz w:val="24"/>
          <w:szCs w:val="24"/>
          <w:lang w:val="en-US" w:eastAsia="zh-CN"/>
        </w:rPr>
        <w:t>将风险评估纳入超适应症判断系统，设计了风险分析和追踪机制，使得系统不仅能够识别潜在的用药风险，还能够追踪风险来源，并基于患者具体情况提供个性化的风险控制建议。这一机制贴合罕见病用药的特点，为临床医生在面对非常规用药时提供了有力的决策支持。</w:t>
      </w:r>
    </w:p>
    <w:p>
      <w:pPr>
        <w:snapToGrid w:val="0"/>
        <w:spacing w:line="440" w:lineRule="exact"/>
        <w:ind w:firstLine="554" w:firstLineChars="198"/>
        <w:rPr>
          <w:rFonts w:asciiTheme="minorEastAsia" w:hAnsiTheme="minorEastAsia" w:eastAsiaTheme="minorEastAsia"/>
          <w:sz w:val="24"/>
          <w:szCs w:val="24"/>
        </w:rPr>
      </w:pPr>
      <w:r>
        <w:rPr>
          <w:rFonts w:ascii="楷体" w:hAnsi="楷体" w:eastAsia="楷体"/>
          <w:color w:val="0070C0"/>
          <w:sz w:val="28"/>
          <w:szCs w:val="28"/>
        </w:rPr>
        <w:t>5</w:t>
      </w:r>
      <w:r>
        <w:rPr>
          <w:rFonts w:hint="eastAsia" w:ascii="楷体" w:hAnsi="楷体" w:eastAsia="楷体" w:cs="楷体_GB2312"/>
          <w:color w:val="0070C0"/>
          <w:sz w:val="28"/>
          <w:szCs w:val="28"/>
        </w:rPr>
        <w:t>．</w:t>
      </w:r>
      <w:r>
        <w:rPr>
          <w:rFonts w:hint="eastAsia" w:ascii="楷体" w:hAnsi="楷体" w:eastAsia="楷体" w:cs="楷体_GB2312"/>
          <w:b/>
          <w:bCs/>
          <w:color w:val="0070C0"/>
          <w:sz w:val="28"/>
          <w:szCs w:val="28"/>
        </w:rPr>
        <w:t>年度研究计划及预期研究结果</w:t>
      </w:r>
      <w:r>
        <w:rPr>
          <w:rFonts w:hint="eastAsia" w:ascii="楷体" w:hAnsi="楷体" w:eastAsia="楷体" w:cs="楷体_GB2312"/>
          <w:color w:val="0070C0"/>
          <w:sz w:val="28"/>
          <w:szCs w:val="28"/>
        </w:rPr>
        <w:t>（包括拟组织的重要学术交流活动、国际合作与交流计划等）。</w:t>
      </w:r>
    </w:p>
    <w:p>
      <w:pPr>
        <w:snapToGrid w:val="0"/>
        <w:spacing w:before="120" w:line="440" w:lineRule="exact"/>
        <w:ind w:firstLine="561" w:firstLineChars="200"/>
        <w:outlineLvl w:val="0"/>
        <w:rPr>
          <w:rFonts w:ascii="楷体" w:hAnsi="楷体" w:eastAsia="楷体"/>
          <w:color w:val="0070C0"/>
          <w:sz w:val="28"/>
          <w:szCs w:val="28"/>
        </w:rPr>
      </w:pPr>
      <w:r>
        <w:rPr>
          <w:rFonts w:hint="eastAsia" w:ascii="楷体" w:hAnsi="楷体" w:eastAsia="楷体" w:cs="楷体_GB2312"/>
          <w:b/>
          <w:bCs/>
          <w:color w:val="0070C0"/>
          <w:sz w:val="28"/>
          <w:szCs w:val="28"/>
        </w:rPr>
        <w:t>（二）研究基础与工作条件</w:t>
      </w:r>
    </w:p>
    <w:p>
      <w:pPr>
        <w:snapToGrid w:val="0"/>
        <w:spacing w:line="440" w:lineRule="exact"/>
        <w:ind w:firstLine="560" w:firstLineChars="200"/>
        <w:rPr>
          <w:rFonts w:asciiTheme="minorEastAsia" w:hAnsiTheme="minorEastAsia" w:eastAsiaTheme="minorEastAsia"/>
          <w:sz w:val="24"/>
          <w:szCs w:val="24"/>
        </w:rPr>
      </w:pPr>
      <w:r>
        <w:rPr>
          <w:rFonts w:ascii="楷体" w:hAnsi="楷体" w:eastAsia="楷体"/>
          <w:color w:val="0070C0"/>
          <w:sz w:val="28"/>
          <w:szCs w:val="28"/>
        </w:rPr>
        <w:t>1</w:t>
      </w:r>
      <w:r>
        <w:rPr>
          <w:rFonts w:hint="eastAsia" w:ascii="楷体" w:hAnsi="楷体" w:eastAsia="楷体" w:cs="楷体_GB2312"/>
          <w:color w:val="0070C0"/>
          <w:sz w:val="28"/>
          <w:szCs w:val="28"/>
        </w:rPr>
        <w:t>．</w:t>
      </w:r>
      <w:r>
        <w:rPr>
          <w:rFonts w:hint="eastAsia" w:ascii="楷体" w:hAnsi="楷体" w:eastAsia="楷体" w:cs="楷体_GB2312"/>
          <w:b/>
          <w:bCs/>
          <w:color w:val="0070C0"/>
          <w:sz w:val="28"/>
          <w:szCs w:val="28"/>
        </w:rPr>
        <w:t>研究基础</w:t>
      </w:r>
      <w:r>
        <w:rPr>
          <w:rFonts w:hint="eastAsia" w:ascii="楷体" w:hAnsi="楷体" w:eastAsia="楷体" w:cs="楷体_GB2312"/>
          <w:color w:val="0070C0"/>
          <w:sz w:val="28"/>
          <w:szCs w:val="28"/>
        </w:rPr>
        <w:t>（与本项目相关的研究工作积累和已取得的研究工作成绩）；</w:t>
      </w:r>
    </w:p>
    <w:p>
      <w:pPr>
        <w:snapToGrid w:val="0"/>
        <w:spacing w:line="440" w:lineRule="exact"/>
        <w:ind w:firstLine="570"/>
        <w:rPr>
          <w:rFonts w:asciiTheme="minorEastAsia" w:hAnsiTheme="minorEastAsia" w:eastAsiaTheme="minorEastAsia"/>
          <w:sz w:val="24"/>
          <w:szCs w:val="24"/>
        </w:rPr>
      </w:pPr>
      <w:r>
        <w:rPr>
          <w:rFonts w:ascii="楷体" w:hAnsi="楷体" w:eastAsia="楷体"/>
          <w:color w:val="0070C0"/>
          <w:sz w:val="28"/>
          <w:szCs w:val="28"/>
        </w:rPr>
        <w:t>2</w:t>
      </w:r>
      <w:r>
        <w:rPr>
          <w:rFonts w:hint="eastAsia" w:ascii="楷体" w:hAnsi="楷体" w:eastAsia="楷体" w:cs="楷体_GB2312"/>
          <w:color w:val="0070C0"/>
          <w:sz w:val="28"/>
          <w:szCs w:val="28"/>
        </w:rPr>
        <w:t>．</w:t>
      </w:r>
      <w:r>
        <w:rPr>
          <w:rFonts w:hint="eastAsia" w:ascii="楷体" w:hAnsi="楷体" w:eastAsia="楷体" w:cs="楷体_GB2312"/>
          <w:b/>
          <w:bCs/>
          <w:color w:val="0070C0"/>
          <w:sz w:val="28"/>
          <w:szCs w:val="28"/>
        </w:rPr>
        <w:t>工作条件</w:t>
      </w:r>
      <w:r>
        <w:rPr>
          <w:rFonts w:hint="eastAsia" w:ascii="楷体" w:hAnsi="楷体" w:eastAsia="楷体" w:cs="楷体_GB2312"/>
          <w:color w:val="0070C0"/>
          <w:sz w:val="28"/>
          <w:szCs w:val="28"/>
        </w:rPr>
        <w:t>（包括已具备的实验条件，尚缺少的实验条件和拟解决的途径，包括利用国家实验室、国家重点实验室和部门重点实验室等研究基地的计划与落实情况）；</w:t>
      </w:r>
    </w:p>
    <w:p>
      <w:pPr>
        <w:snapToGrid w:val="0"/>
        <w:spacing w:line="440" w:lineRule="exact"/>
        <w:ind w:firstLine="570"/>
        <w:rPr>
          <w:rFonts w:ascii="楷体" w:hAnsi="楷体" w:eastAsia="楷体" w:cs="楷体_GB2312"/>
          <w:color w:val="0070C0"/>
          <w:sz w:val="28"/>
          <w:szCs w:val="28"/>
        </w:rPr>
      </w:pPr>
      <w:r>
        <w:rPr>
          <w:rFonts w:ascii="楷体" w:hAnsi="楷体" w:eastAsia="楷体"/>
          <w:color w:val="0070C0"/>
          <w:sz w:val="28"/>
          <w:szCs w:val="28"/>
        </w:rPr>
        <w:t>3</w:t>
      </w:r>
      <w:r>
        <w:rPr>
          <w:rFonts w:hint="eastAsia" w:ascii="楷体" w:hAnsi="楷体" w:eastAsia="楷体" w:cs="楷体_GB2312"/>
          <w:color w:val="0070C0"/>
          <w:sz w:val="28"/>
          <w:szCs w:val="28"/>
        </w:rPr>
        <w:t>．</w:t>
      </w:r>
      <w:r>
        <w:rPr>
          <w:rFonts w:hint="eastAsia" w:ascii="楷体" w:hAnsi="楷体" w:eastAsia="楷体" w:cs="楷体_GB2312"/>
          <w:b/>
          <w:bCs/>
          <w:color w:val="0070C0"/>
          <w:sz w:val="28"/>
          <w:szCs w:val="28"/>
        </w:rPr>
        <w:t>正在承担的与本项目相关的科研项目情况</w:t>
      </w:r>
      <w:r>
        <w:rPr>
          <w:rFonts w:hint="eastAsia" w:ascii="楷体" w:hAnsi="楷体" w:eastAsia="楷体" w:cs="楷体_GB2312"/>
          <w:color w:val="0070C0"/>
          <w:sz w:val="28"/>
          <w:szCs w:val="28"/>
        </w:rPr>
        <w:t>（申请人和主要参与者正在承担的与本项目相关的科研项目情况，包括国家自然科学基金的项目和国家其他科技计划项目，要注明项目的资助机构、项目类别、批准号、项目名称、获资助金额、起止年月、与本项目的关系及负责的内容等）；</w:t>
      </w:r>
    </w:p>
    <w:p>
      <w:pPr>
        <w:snapToGrid w:val="0"/>
        <w:spacing w:line="440" w:lineRule="exact"/>
        <w:ind w:firstLine="470" w:firstLineChars="196"/>
        <w:rPr>
          <w:rFonts w:asciiTheme="minorEastAsia" w:hAnsiTheme="minorEastAsia" w:eastAsiaTheme="minorEastAsia"/>
          <w:sz w:val="24"/>
          <w:szCs w:val="24"/>
        </w:rPr>
      </w:pPr>
      <w:r>
        <w:rPr>
          <w:rFonts w:hint="eastAsia" w:asciiTheme="minorEastAsia" w:hAnsiTheme="minorEastAsia" w:eastAsiaTheme="minorEastAsia"/>
          <w:sz w:val="24"/>
          <w:szCs w:val="24"/>
        </w:rPr>
        <w:t>无。</w:t>
      </w:r>
    </w:p>
    <w:p>
      <w:pPr>
        <w:snapToGrid w:val="0"/>
        <w:spacing w:after="156" w:afterLines="50" w:line="440" w:lineRule="exact"/>
        <w:ind w:firstLine="573"/>
        <w:rPr>
          <w:rFonts w:ascii="楷体" w:hAnsi="楷体" w:eastAsia="楷体" w:cs="楷体_GB2312"/>
          <w:color w:val="0070C0"/>
          <w:sz w:val="28"/>
          <w:szCs w:val="28"/>
        </w:rPr>
      </w:pPr>
      <w:r>
        <w:rPr>
          <w:rFonts w:ascii="楷体" w:hAnsi="楷体" w:eastAsia="楷体"/>
          <w:color w:val="0070C0"/>
          <w:sz w:val="28"/>
          <w:szCs w:val="28"/>
        </w:rPr>
        <w:t>4</w:t>
      </w:r>
      <w:r>
        <w:rPr>
          <w:rFonts w:hint="eastAsia" w:ascii="楷体" w:hAnsi="楷体" w:eastAsia="楷体" w:cs="楷体_GB2312"/>
          <w:color w:val="0070C0"/>
          <w:sz w:val="28"/>
          <w:szCs w:val="28"/>
        </w:rPr>
        <w:t>．</w:t>
      </w:r>
      <w:r>
        <w:rPr>
          <w:rFonts w:hint="eastAsia" w:ascii="楷体" w:hAnsi="楷体" w:eastAsia="楷体" w:cs="楷体_GB2312"/>
          <w:b/>
          <w:bCs/>
          <w:color w:val="0070C0"/>
          <w:sz w:val="28"/>
          <w:szCs w:val="28"/>
        </w:rPr>
        <w:t>完成国家自然科学基金项目情况</w:t>
      </w:r>
      <w:r>
        <w:rPr>
          <w:rFonts w:hint="eastAsia" w:ascii="楷体" w:hAnsi="楷体" w:eastAsia="楷体" w:cs="楷体_GB2312"/>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ascii="楷体" w:hAnsi="楷体" w:eastAsia="楷体"/>
          <w:color w:val="0070C0"/>
          <w:sz w:val="28"/>
          <w:szCs w:val="28"/>
        </w:rPr>
        <w:t>500</w:t>
      </w:r>
      <w:r>
        <w:rPr>
          <w:rFonts w:hint="eastAsia" w:ascii="楷体" w:hAnsi="楷体" w:eastAsia="楷体" w:cs="楷体_GB2312"/>
          <w:color w:val="0070C0"/>
          <w:sz w:val="28"/>
          <w:szCs w:val="28"/>
        </w:rPr>
        <w:t>字）和相关成果详细目录）。</w:t>
      </w:r>
    </w:p>
    <w:p>
      <w:pPr>
        <w:snapToGrid w:val="0"/>
        <w:spacing w:before="120" w:line="440" w:lineRule="exact"/>
        <w:ind w:firstLine="561" w:firstLineChars="200"/>
        <w:outlineLvl w:val="0"/>
        <w:rPr>
          <w:rFonts w:ascii="楷体" w:hAnsi="楷体" w:eastAsia="楷体" w:cs="楷体_GB2312"/>
          <w:b/>
          <w:bCs/>
          <w:color w:val="0070C0"/>
          <w:sz w:val="28"/>
          <w:szCs w:val="28"/>
        </w:rPr>
      </w:pPr>
      <w:r>
        <w:rPr>
          <w:rFonts w:hint="eastAsia" w:ascii="楷体" w:hAnsi="楷体" w:eastAsia="楷体" w:cs="楷体_GB2312"/>
          <w:b/>
          <w:bCs/>
          <w:color w:val="0070C0"/>
          <w:sz w:val="28"/>
          <w:szCs w:val="28"/>
        </w:rPr>
        <w:t>（三）其他需要说明的情况</w:t>
      </w:r>
    </w:p>
    <w:p>
      <w:pPr>
        <w:snapToGrid w:val="0"/>
        <w:spacing w:after="156" w:afterLines="50" w:line="440" w:lineRule="exact"/>
        <w:ind w:firstLine="573"/>
        <w:rPr>
          <w:rFonts w:ascii="楷体" w:hAnsi="楷体" w:eastAsia="楷体"/>
          <w:bCs/>
          <w:color w:val="0070C0"/>
          <w:sz w:val="28"/>
          <w:szCs w:val="28"/>
        </w:rPr>
      </w:pPr>
      <w:r>
        <w:rPr>
          <w:rFonts w:ascii="楷体" w:hAnsi="楷体" w:eastAsia="楷体"/>
          <w:bCs/>
          <w:color w:val="0070C0"/>
          <w:sz w:val="28"/>
          <w:szCs w:val="28"/>
        </w:rPr>
        <w:t xml:space="preserve">1. </w:t>
      </w:r>
      <w:r>
        <w:rPr>
          <w:rFonts w:hint="eastAsia" w:ascii="楷体" w:hAnsi="楷体" w:eastAsia="楷体"/>
          <w:bCs/>
          <w:color w:val="0070C0"/>
          <w:sz w:val="28"/>
          <w:szCs w:val="28"/>
        </w:rPr>
        <w:t>申请人同年申请不同类型的国家自然科学基金项目情况（列明同年申请的其他项目的项目类型、项目名称信息，并说明与本项目之间的区别与联系）。</w:t>
      </w:r>
    </w:p>
    <w:p>
      <w:pPr>
        <w:snapToGrid w:val="0"/>
        <w:spacing w:after="156" w:afterLines="50" w:line="440" w:lineRule="exact"/>
        <w:ind w:firstLine="573"/>
        <w:rPr>
          <w:rFonts w:ascii="楷体" w:hAnsi="楷体" w:eastAsia="楷体"/>
          <w:bCs/>
          <w:color w:val="0070C0"/>
          <w:sz w:val="28"/>
          <w:szCs w:val="28"/>
        </w:rPr>
      </w:pPr>
      <w:r>
        <w:rPr>
          <w:rFonts w:ascii="楷体" w:hAnsi="楷体" w:eastAsia="楷体"/>
          <w:bCs/>
          <w:color w:val="0070C0"/>
          <w:sz w:val="28"/>
          <w:szCs w:val="28"/>
        </w:rPr>
        <w:t xml:space="preserve">2. </w:t>
      </w:r>
      <w:r>
        <w:rPr>
          <w:rFonts w:hint="eastAsia" w:ascii="楷体" w:hAnsi="楷体" w:eastAsia="楷体"/>
          <w:bCs/>
          <w:color w:val="0070C0"/>
          <w:sz w:val="28"/>
          <w:szCs w:val="28"/>
        </w:rPr>
        <w:t>具有高级专业技术职务（职称）的申请人或者主要参与者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pPr>
        <w:snapToGrid w:val="0"/>
        <w:spacing w:after="156" w:afterLines="50" w:line="440" w:lineRule="exact"/>
        <w:ind w:firstLine="573"/>
        <w:rPr>
          <w:rFonts w:ascii="楷体" w:hAnsi="楷体" w:eastAsia="楷体"/>
          <w:bCs/>
          <w:color w:val="0070C0"/>
          <w:sz w:val="28"/>
          <w:szCs w:val="28"/>
        </w:rPr>
      </w:pPr>
      <w:r>
        <w:rPr>
          <w:rFonts w:ascii="楷体" w:hAnsi="楷体" w:eastAsia="楷体"/>
          <w:bCs/>
          <w:color w:val="0070C0"/>
          <w:sz w:val="28"/>
          <w:szCs w:val="28"/>
        </w:rPr>
        <w:t xml:space="preserve">3. </w:t>
      </w:r>
      <w:r>
        <w:rPr>
          <w:rFonts w:hint="eastAsia" w:ascii="楷体" w:hAnsi="楷体" w:eastAsia="楷体"/>
          <w:bCs/>
          <w:color w:val="0070C0"/>
          <w:sz w:val="28"/>
          <w:szCs w:val="28"/>
        </w:rPr>
        <w:t>具有高级专业技术职务（职称）的申请人或者主要参与者是否存在与正在承担的国家自然科学基金项目的单位不一致的情况；如存在上述情况，列明所涉及人员的姓名，正在承担项目的批准号、项目类型、项目名称、单位名称、起止年月，并说明单位不一致原因。</w:t>
      </w:r>
    </w:p>
    <w:p>
      <w:pPr>
        <w:numPr>
          <w:ilvl w:val="0"/>
          <w:numId w:val="4"/>
        </w:numPr>
        <w:snapToGrid w:val="0"/>
        <w:spacing w:after="156" w:afterLines="50" w:line="440" w:lineRule="exact"/>
        <w:ind w:firstLine="573"/>
        <w:rPr>
          <w:rFonts w:hint="eastAsia" w:ascii="楷体" w:hAnsi="楷体" w:eastAsia="楷体"/>
          <w:bCs/>
          <w:color w:val="0070C0"/>
          <w:sz w:val="28"/>
          <w:szCs w:val="28"/>
        </w:rPr>
      </w:pPr>
      <w:r>
        <w:rPr>
          <w:rFonts w:hint="eastAsia" w:ascii="楷体" w:hAnsi="楷体" w:eastAsia="楷体"/>
          <w:bCs/>
          <w:color w:val="0070C0"/>
          <w:sz w:val="28"/>
          <w:szCs w:val="28"/>
        </w:rPr>
        <w:t>其他。</w:t>
      </w:r>
    </w:p>
    <w:p>
      <w:pPr>
        <w:snapToGrid w:val="0"/>
        <w:spacing w:before="120" w:line="440" w:lineRule="exact"/>
      </w:pPr>
    </w:p>
    <w:sectPr>
      <w:pgSz w:w="11906" w:h="16838"/>
      <w:pgMar w:top="1418" w:right="1701" w:bottom="1418"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86"/>
    <w:family w:val="modern"/>
    <w:pitch w:val="default"/>
    <w:sig w:usb0="00000000" w:usb1="00000000" w:usb2="00000016"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楷体_GB2312">
    <w:altName w:val="汉仪楷体简"/>
    <w:panose1 w:val="02010609030101010101"/>
    <w:charset w:val="86"/>
    <w:family w:val="modern"/>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EB57E8"/>
    <w:multiLevelType w:val="singleLevel"/>
    <w:tmpl w:val="ABEB57E8"/>
    <w:lvl w:ilvl="0" w:tentative="0">
      <w:start w:val="1"/>
      <w:numFmt w:val="decimal"/>
      <w:suff w:val="nothing"/>
      <w:lvlText w:val="（%1）"/>
      <w:lvlJc w:val="left"/>
    </w:lvl>
  </w:abstractNum>
  <w:abstractNum w:abstractNumId="1">
    <w:nsid w:val="EF6F3EF0"/>
    <w:multiLevelType w:val="singleLevel"/>
    <w:tmpl w:val="EF6F3EF0"/>
    <w:lvl w:ilvl="0" w:tentative="0">
      <w:start w:val="3"/>
      <w:numFmt w:val="decimal"/>
      <w:suff w:val="nothing"/>
      <w:lvlText w:val="（%1）"/>
      <w:lvlJc w:val="left"/>
    </w:lvl>
  </w:abstractNum>
  <w:abstractNum w:abstractNumId="2">
    <w:nsid w:val="3190BBD1"/>
    <w:multiLevelType w:val="singleLevel"/>
    <w:tmpl w:val="3190BBD1"/>
    <w:lvl w:ilvl="0" w:tentative="0">
      <w:start w:val="4"/>
      <w:numFmt w:val="decimal"/>
      <w:suff w:val="space"/>
      <w:lvlText w:val="%1."/>
      <w:lvlJc w:val="left"/>
    </w:lvl>
  </w:abstractNum>
  <w:abstractNum w:abstractNumId="3">
    <w:nsid w:val="77D733DD"/>
    <w:multiLevelType w:val="singleLevel"/>
    <w:tmpl w:val="77D733DD"/>
    <w:lvl w:ilvl="0" w:tentative="0">
      <w:start w:val="2"/>
      <w:numFmt w:val="decimal"/>
      <w:suff w:val="nothing"/>
      <w:lvlText w:val="%1．"/>
      <w:lvlJc w:val="left"/>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embedSystemFonts/>
  <w:bordersDoNotSurroundHeader w:val="0"/>
  <w:bordersDoNotSurroundFooter w:val="0"/>
  <w:documentProtection w:enforcement="0"/>
  <w:defaultTabStop w:val="420"/>
  <w:doNotHyphenateCaps/>
  <w:drawingGridVerticalSpacing w:val="156"/>
  <w:displayHorizontalDrawingGridEvery w:val="1"/>
  <w:displayVerticalDrawingGridEvery w:val="1"/>
  <w:noPunctuationKerning w:val="1"/>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rsids>
    <w:rsidRoot w:val="00A47567"/>
    <w:rsid w:val="00003EFC"/>
    <w:rsid w:val="00027D92"/>
    <w:rsid w:val="00035EA8"/>
    <w:rsid w:val="00043B1E"/>
    <w:rsid w:val="00045EB2"/>
    <w:rsid w:val="000548C2"/>
    <w:rsid w:val="00072965"/>
    <w:rsid w:val="000729AD"/>
    <w:rsid w:val="00081FFC"/>
    <w:rsid w:val="00084A3E"/>
    <w:rsid w:val="000918BB"/>
    <w:rsid w:val="000A7511"/>
    <w:rsid w:val="000C3B73"/>
    <w:rsid w:val="000E1317"/>
    <w:rsid w:val="000E4C3F"/>
    <w:rsid w:val="000E6C39"/>
    <w:rsid w:val="000E7FB5"/>
    <w:rsid w:val="000F6FE1"/>
    <w:rsid w:val="001153E9"/>
    <w:rsid w:val="0011637C"/>
    <w:rsid w:val="00132A50"/>
    <w:rsid w:val="001349C0"/>
    <w:rsid w:val="0016245F"/>
    <w:rsid w:val="00173DB9"/>
    <w:rsid w:val="0018239D"/>
    <w:rsid w:val="00183D97"/>
    <w:rsid w:val="0018412B"/>
    <w:rsid w:val="001925F7"/>
    <w:rsid w:val="00193D03"/>
    <w:rsid w:val="001B178A"/>
    <w:rsid w:val="001B21E2"/>
    <w:rsid w:val="001B2A7B"/>
    <w:rsid w:val="001C76FD"/>
    <w:rsid w:val="001D00BA"/>
    <w:rsid w:val="001D4606"/>
    <w:rsid w:val="001D5F6A"/>
    <w:rsid w:val="001E0A46"/>
    <w:rsid w:val="001E0F62"/>
    <w:rsid w:val="001E51A9"/>
    <w:rsid w:val="001E6892"/>
    <w:rsid w:val="002113AA"/>
    <w:rsid w:val="0021307B"/>
    <w:rsid w:val="002137BE"/>
    <w:rsid w:val="00213C1C"/>
    <w:rsid w:val="0021529A"/>
    <w:rsid w:val="0022224D"/>
    <w:rsid w:val="002343A9"/>
    <w:rsid w:val="00236A13"/>
    <w:rsid w:val="00237297"/>
    <w:rsid w:val="00237A6B"/>
    <w:rsid w:val="00246D35"/>
    <w:rsid w:val="00247B12"/>
    <w:rsid w:val="00255727"/>
    <w:rsid w:val="00260E05"/>
    <w:rsid w:val="00264E6A"/>
    <w:rsid w:val="00266C0C"/>
    <w:rsid w:val="00275BD1"/>
    <w:rsid w:val="00291082"/>
    <w:rsid w:val="00292BBB"/>
    <w:rsid w:val="00293443"/>
    <w:rsid w:val="002962D8"/>
    <w:rsid w:val="002A55F3"/>
    <w:rsid w:val="002A7D40"/>
    <w:rsid w:val="002B0857"/>
    <w:rsid w:val="002B6945"/>
    <w:rsid w:val="002C0E99"/>
    <w:rsid w:val="002D2E34"/>
    <w:rsid w:val="002D3281"/>
    <w:rsid w:val="002D331F"/>
    <w:rsid w:val="002D4603"/>
    <w:rsid w:val="002E083D"/>
    <w:rsid w:val="002F021B"/>
    <w:rsid w:val="002F1E44"/>
    <w:rsid w:val="00305463"/>
    <w:rsid w:val="003119FA"/>
    <w:rsid w:val="00313845"/>
    <w:rsid w:val="0031481A"/>
    <w:rsid w:val="00323B75"/>
    <w:rsid w:val="003242D7"/>
    <w:rsid w:val="0033411D"/>
    <w:rsid w:val="00334174"/>
    <w:rsid w:val="00337150"/>
    <w:rsid w:val="003457C8"/>
    <w:rsid w:val="0034736C"/>
    <w:rsid w:val="003559E1"/>
    <w:rsid w:val="003633B6"/>
    <w:rsid w:val="00366230"/>
    <w:rsid w:val="0036710C"/>
    <w:rsid w:val="00371D6C"/>
    <w:rsid w:val="00375FE9"/>
    <w:rsid w:val="003801B9"/>
    <w:rsid w:val="00392222"/>
    <w:rsid w:val="003A20AE"/>
    <w:rsid w:val="003B35CE"/>
    <w:rsid w:val="003C3005"/>
    <w:rsid w:val="003D50CC"/>
    <w:rsid w:val="003E68F1"/>
    <w:rsid w:val="003F47B2"/>
    <w:rsid w:val="003F6626"/>
    <w:rsid w:val="004002C6"/>
    <w:rsid w:val="0040567C"/>
    <w:rsid w:val="00406B5B"/>
    <w:rsid w:val="004179E4"/>
    <w:rsid w:val="004238C3"/>
    <w:rsid w:val="00434FF2"/>
    <w:rsid w:val="0044246A"/>
    <w:rsid w:val="004436FE"/>
    <w:rsid w:val="004617FE"/>
    <w:rsid w:val="004704C7"/>
    <w:rsid w:val="00476F50"/>
    <w:rsid w:val="00477998"/>
    <w:rsid w:val="00480183"/>
    <w:rsid w:val="00492FC4"/>
    <w:rsid w:val="00494706"/>
    <w:rsid w:val="004A2736"/>
    <w:rsid w:val="004D082B"/>
    <w:rsid w:val="004D6898"/>
    <w:rsid w:val="004D79A4"/>
    <w:rsid w:val="004E1846"/>
    <w:rsid w:val="004E2E30"/>
    <w:rsid w:val="004E4C08"/>
    <w:rsid w:val="004E6A2F"/>
    <w:rsid w:val="004E6D93"/>
    <w:rsid w:val="005029AE"/>
    <w:rsid w:val="00520789"/>
    <w:rsid w:val="00523DE0"/>
    <w:rsid w:val="00527108"/>
    <w:rsid w:val="005509D8"/>
    <w:rsid w:val="005548A8"/>
    <w:rsid w:val="0055530F"/>
    <w:rsid w:val="00562857"/>
    <w:rsid w:val="00567F61"/>
    <w:rsid w:val="005703E0"/>
    <w:rsid w:val="005766AB"/>
    <w:rsid w:val="00593F0D"/>
    <w:rsid w:val="005957AD"/>
    <w:rsid w:val="005A0593"/>
    <w:rsid w:val="005C041F"/>
    <w:rsid w:val="005C210E"/>
    <w:rsid w:val="005C7CE5"/>
    <w:rsid w:val="005D2F68"/>
    <w:rsid w:val="005D5BF6"/>
    <w:rsid w:val="005E18F4"/>
    <w:rsid w:val="00607DDE"/>
    <w:rsid w:val="00617EDE"/>
    <w:rsid w:val="0062192C"/>
    <w:rsid w:val="00630D64"/>
    <w:rsid w:val="00631568"/>
    <w:rsid w:val="0063309D"/>
    <w:rsid w:val="00633572"/>
    <w:rsid w:val="006431EC"/>
    <w:rsid w:val="0065252C"/>
    <w:rsid w:val="00653F8C"/>
    <w:rsid w:val="00684E1E"/>
    <w:rsid w:val="006858AA"/>
    <w:rsid w:val="00690025"/>
    <w:rsid w:val="00694AB7"/>
    <w:rsid w:val="006A24D5"/>
    <w:rsid w:val="006A70B9"/>
    <w:rsid w:val="006B3F58"/>
    <w:rsid w:val="006C29EC"/>
    <w:rsid w:val="006C536F"/>
    <w:rsid w:val="006C5B15"/>
    <w:rsid w:val="006C6DA0"/>
    <w:rsid w:val="006D0837"/>
    <w:rsid w:val="006D10DC"/>
    <w:rsid w:val="006E0792"/>
    <w:rsid w:val="006E39A2"/>
    <w:rsid w:val="006E47D1"/>
    <w:rsid w:val="006E6991"/>
    <w:rsid w:val="006F16AB"/>
    <w:rsid w:val="006F298C"/>
    <w:rsid w:val="006F4122"/>
    <w:rsid w:val="006F5914"/>
    <w:rsid w:val="006F7454"/>
    <w:rsid w:val="007003C5"/>
    <w:rsid w:val="007023FF"/>
    <w:rsid w:val="00713B24"/>
    <w:rsid w:val="007153CA"/>
    <w:rsid w:val="00730EC4"/>
    <w:rsid w:val="007408BA"/>
    <w:rsid w:val="00740994"/>
    <w:rsid w:val="00745D74"/>
    <w:rsid w:val="00747883"/>
    <w:rsid w:val="00756A91"/>
    <w:rsid w:val="00767909"/>
    <w:rsid w:val="00780E88"/>
    <w:rsid w:val="00795B94"/>
    <w:rsid w:val="0079610B"/>
    <w:rsid w:val="007A58CB"/>
    <w:rsid w:val="007C7B7A"/>
    <w:rsid w:val="007E722F"/>
    <w:rsid w:val="007F2D65"/>
    <w:rsid w:val="007F5EBD"/>
    <w:rsid w:val="00802A21"/>
    <w:rsid w:val="0080374F"/>
    <w:rsid w:val="00811C8E"/>
    <w:rsid w:val="00820214"/>
    <w:rsid w:val="00825AA5"/>
    <w:rsid w:val="00831C95"/>
    <w:rsid w:val="008414AB"/>
    <w:rsid w:val="008423AA"/>
    <w:rsid w:val="008447F9"/>
    <w:rsid w:val="00845ACE"/>
    <w:rsid w:val="00851F2E"/>
    <w:rsid w:val="008550E2"/>
    <w:rsid w:val="0085528D"/>
    <w:rsid w:val="0086715D"/>
    <w:rsid w:val="00870850"/>
    <w:rsid w:val="00877B44"/>
    <w:rsid w:val="00885D8F"/>
    <w:rsid w:val="00897562"/>
    <w:rsid w:val="008A30C3"/>
    <w:rsid w:val="008A6B42"/>
    <w:rsid w:val="008B00E9"/>
    <w:rsid w:val="008B1374"/>
    <w:rsid w:val="008C090F"/>
    <w:rsid w:val="008C0A59"/>
    <w:rsid w:val="008C4F38"/>
    <w:rsid w:val="008C75DB"/>
    <w:rsid w:val="008D1004"/>
    <w:rsid w:val="008D1B55"/>
    <w:rsid w:val="008D43E8"/>
    <w:rsid w:val="008E18BD"/>
    <w:rsid w:val="008E5349"/>
    <w:rsid w:val="008E6C70"/>
    <w:rsid w:val="008F542C"/>
    <w:rsid w:val="00901532"/>
    <w:rsid w:val="00901DB1"/>
    <w:rsid w:val="00924781"/>
    <w:rsid w:val="00924D4C"/>
    <w:rsid w:val="00933065"/>
    <w:rsid w:val="00942D44"/>
    <w:rsid w:val="009447DF"/>
    <w:rsid w:val="0095084C"/>
    <w:rsid w:val="009572C9"/>
    <w:rsid w:val="009579F6"/>
    <w:rsid w:val="00973820"/>
    <w:rsid w:val="00973F8F"/>
    <w:rsid w:val="00981A57"/>
    <w:rsid w:val="00984051"/>
    <w:rsid w:val="00993AAD"/>
    <w:rsid w:val="00993CED"/>
    <w:rsid w:val="00994099"/>
    <w:rsid w:val="009A232D"/>
    <w:rsid w:val="009A33E4"/>
    <w:rsid w:val="009A3C24"/>
    <w:rsid w:val="009A7204"/>
    <w:rsid w:val="009B0B5D"/>
    <w:rsid w:val="009B21C4"/>
    <w:rsid w:val="009B78D3"/>
    <w:rsid w:val="009C74DC"/>
    <w:rsid w:val="009E248B"/>
    <w:rsid w:val="00A04908"/>
    <w:rsid w:val="00A1060E"/>
    <w:rsid w:val="00A113EE"/>
    <w:rsid w:val="00A117EA"/>
    <w:rsid w:val="00A17F30"/>
    <w:rsid w:val="00A2201B"/>
    <w:rsid w:val="00A24E00"/>
    <w:rsid w:val="00A3134D"/>
    <w:rsid w:val="00A36ABC"/>
    <w:rsid w:val="00A37370"/>
    <w:rsid w:val="00A37C3F"/>
    <w:rsid w:val="00A405E1"/>
    <w:rsid w:val="00A448E2"/>
    <w:rsid w:val="00A47567"/>
    <w:rsid w:val="00A5318F"/>
    <w:rsid w:val="00A54A12"/>
    <w:rsid w:val="00A601CB"/>
    <w:rsid w:val="00A70682"/>
    <w:rsid w:val="00A71047"/>
    <w:rsid w:val="00A77B81"/>
    <w:rsid w:val="00A8276D"/>
    <w:rsid w:val="00A84860"/>
    <w:rsid w:val="00A906B3"/>
    <w:rsid w:val="00A95F44"/>
    <w:rsid w:val="00AA1E15"/>
    <w:rsid w:val="00AA7B1A"/>
    <w:rsid w:val="00AB05DF"/>
    <w:rsid w:val="00AB2E82"/>
    <w:rsid w:val="00AB2F6E"/>
    <w:rsid w:val="00AB4B51"/>
    <w:rsid w:val="00AB7DC0"/>
    <w:rsid w:val="00AC15B9"/>
    <w:rsid w:val="00AD3618"/>
    <w:rsid w:val="00AE0BD9"/>
    <w:rsid w:val="00AE7A4E"/>
    <w:rsid w:val="00AF2D9A"/>
    <w:rsid w:val="00B178D6"/>
    <w:rsid w:val="00B2063C"/>
    <w:rsid w:val="00B23DEB"/>
    <w:rsid w:val="00B36270"/>
    <w:rsid w:val="00B41522"/>
    <w:rsid w:val="00B42281"/>
    <w:rsid w:val="00B55150"/>
    <w:rsid w:val="00B60D88"/>
    <w:rsid w:val="00B66111"/>
    <w:rsid w:val="00B66227"/>
    <w:rsid w:val="00B902E7"/>
    <w:rsid w:val="00B9165D"/>
    <w:rsid w:val="00B94800"/>
    <w:rsid w:val="00B970F2"/>
    <w:rsid w:val="00B97112"/>
    <w:rsid w:val="00B971BA"/>
    <w:rsid w:val="00B97CD5"/>
    <w:rsid w:val="00B97FAA"/>
    <w:rsid w:val="00BA0601"/>
    <w:rsid w:val="00BA1673"/>
    <w:rsid w:val="00BB29AB"/>
    <w:rsid w:val="00BC38B8"/>
    <w:rsid w:val="00BD0FA7"/>
    <w:rsid w:val="00BD1F70"/>
    <w:rsid w:val="00BE1FAB"/>
    <w:rsid w:val="00BF786F"/>
    <w:rsid w:val="00C05E39"/>
    <w:rsid w:val="00C05FF2"/>
    <w:rsid w:val="00C07566"/>
    <w:rsid w:val="00C14474"/>
    <w:rsid w:val="00C34ABD"/>
    <w:rsid w:val="00C447CA"/>
    <w:rsid w:val="00C45D03"/>
    <w:rsid w:val="00C525EC"/>
    <w:rsid w:val="00C64E27"/>
    <w:rsid w:val="00C650A1"/>
    <w:rsid w:val="00C7000F"/>
    <w:rsid w:val="00C75509"/>
    <w:rsid w:val="00C84402"/>
    <w:rsid w:val="00C84DBE"/>
    <w:rsid w:val="00C90C49"/>
    <w:rsid w:val="00C91A7F"/>
    <w:rsid w:val="00C92802"/>
    <w:rsid w:val="00C94E79"/>
    <w:rsid w:val="00C97A51"/>
    <w:rsid w:val="00CA3F93"/>
    <w:rsid w:val="00CB0F72"/>
    <w:rsid w:val="00CB1921"/>
    <w:rsid w:val="00CC5CBA"/>
    <w:rsid w:val="00CD4028"/>
    <w:rsid w:val="00CE2489"/>
    <w:rsid w:val="00CF29BF"/>
    <w:rsid w:val="00D00AE0"/>
    <w:rsid w:val="00D22336"/>
    <w:rsid w:val="00D230BF"/>
    <w:rsid w:val="00D2795D"/>
    <w:rsid w:val="00D27BA4"/>
    <w:rsid w:val="00D45053"/>
    <w:rsid w:val="00D46940"/>
    <w:rsid w:val="00D62B0F"/>
    <w:rsid w:val="00D67496"/>
    <w:rsid w:val="00D90D9C"/>
    <w:rsid w:val="00D91C2B"/>
    <w:rsid w:val="00D91D9C"/>
    <w:rsid w:val="00D962A5"/>
    <w:rsid w:val="00DA1763"/>
    <w:rsid w:val="00DA213C"/>
    <w:rsid w:val="00DB0E98"/>
    <w:rsid w:val="00DB67DB"/>
    <w:rsid w:val="00DC230D"/>
    <w:rsid w:val="00DE1200"/>
    <w:rsid w:val="00DE6BDB"/>
    <w:rsid w:val="00DF7F80"/>
    <w:rsid w:val="00E00BAA"/>
    <w:rsid w:val="00E03198"/>
    <w:rsid w:val="00E06F80"/>
    <w:rsid w:val="00E07380"/>
    <w:rsid w:val="00E12C6E"/>
    <w:rsid w:val="00E22D95"/>
    <w:rsid w:val="00E267F7"/>
    <w:rsid w:val="00E323B4"/>
    <w:rsid w:val="00E3567D"/>
    <w:rsid w:val="00E44578"/>
    <w:rsid w:val="00E565DE"/>
    <w:rsid w:val="00E567FC"/>
    <w:rsid w:val="00E60FCD"/>
    <w:rsid w:val="00E7659B"/>
    <w:rsid w:val="00E96F99"/>
    <w:rsid w:val="00EA24B4"/>
    <w:rsid w:val="00EB0722"/>
    <w:rsid w:val="00EB6B46"/>
    <w:rsid w:val="00EB71E6"/>
    <w:rsid w:val="00EE09A0"/>
    <w:rsid w:val="00EE416B"/>
    <w:rsid w:val="00EF4DE6"/>
    <w:rsid w:val="00F0050E"/>
    <w:rsid w:val="00F05D0D"/>
    <w:rsid w:val="00F128F7"/>
    <w:rsid w:val="00F15DAF"/>
    <w:rsid w:val="00F17965"/>
    <w:rsid w:val="00F225E8"/>
    <w:rsid w:val="00F22871"/>
    <w:rsid w:val="00F33CB1"/>
    <w:rsid w:val="00F43673"/>
    <w:rsid w:val="00F44F90"/>
    <w:rsid w:val="00F51B49"/>
    <w:rsid w:val="00F71A0D"/>
    <w:rsid w:val="00F75CFC"/>
    <w:rsid w:val="00F93484"/>
    <w:rsid w:val="00F96161"/>
    <w:rsid w:val="00FA1EA3"/>
    <w:rsid w:val="00FB7D13"/>
    <w:rsid w:val="00FC544E"/>
    <w:rsid w:val="00FD3396"/>
    <w:rsid w:val="00FE00F8"/>
    <w:rsid w:val="00FE6600"/>
    <w:rsid w:val="00FF0431"/>
    <w:rsid w:val="05441916"/>
    <w:rsid w:val="07ED3326"/>
    <w:rsid w:val="0A2E3526"/>
    <w:rsid w:val="0D101CE8"/>
    <w:rsid w:val="0F757D18"/>
    <w:rsid w:val="0F7FD5F2"/>
    <w:rsid w:val="12CE623B"/>
    <w:rsid w:val="17E532B9"/>
    <w:rsid w:val="17FB5D40"/>
    <w:rsid w:val="17FCD038"/>
    <w:rsid w:val="1BCC4386"/>
    <w:rsid w:val="1BFE404B"/>
    <w:rsid w:val="1DE749D4"/>
    <w:rsid w:val="22D857D0"/>
    <w:rsid w:val="279B2385"/>
    <w:rsid w:val="28750E72"/>
    <w:rsid w:val="2BBF539C"/>
    <w:rsid w:val="2FBFE9FE"/>
    <w:rsid w:val="2FFF94F8"/>
    <w:rsid w:val="33DE202C"/>
    <w:rsid w:val="33DF220F"/>
    <w:rsid w:val="34DE0F86"/>
    <w:rsid w:val="37637287"/>
    <w:rsid w:val="376F3971"/>
    <w:rsid w:val="37FD3D67"/>
    <w:rsid w:val="3978315A"/>
    <w:rsid w:val="39ED447C"/>
    <w:rsid w:val="39F7BAAB"/>
    <w:rsid w:val="3B5784F2"/>
    <w:rsid w:val="3D67C0DE"/>
    <w:rsid w:val="3DFF3D11"/>
    <w:rsid w:val="3EA96281"/>
    <w:rsid w:val="3ED5C864"/>
    <w:rsid w:val="3F13B0AC"/>
    <w:rsid w:val="3F4D3F2B"/>
    <w:rsid w:val="3FB5403F"/>
    <w:rsid w:val="3FD7109B"/>
    <w:rsid w:val="3FEDE010"/>
    <w:rsid w:val="3FF2C3C3"/>
    <w:rsid w:val="3FFFF0FC"/>
    <w:rsid w:val="41EB77CF"/>
    <w:rsid w:val="452F1280"/>
    <w:rsid w:val="475D61AA"/>
    <w:rsid w:val="48190138"/>
    <w:rsid w:val="4BE77A7E"/>
    <w:rsid w:val="4BFD2CB4"/>
    <w:rsid w:val="4CD10930"/>
    <w:rsid w:val="4E5BE636"/>
    <w:rsid w:val="4EDFE9A1"/>
    <w:rsid w:val="4EFB042D"/>
    <w:rsid w:val="4FDD32E7"/>
    <w:rsid w:val="4FEE6CBA"/>
    <w:rsid w:val="52EDDCB6"/>
    <w:rsid w:val="579FB1B9"/>
    <w:rsid w:val="57B318C5"/>
    <w:rsid w:val="57EFBC7B"/>
    <w:rsid w:val="597F4B01"/>
    <w:rsid w:val="5AFB2629"/>
    <w:rsid w:val="5BD74F51"/>
    <w:rsid w:val="5D376154"/>
    <w:rsid w:val="5D5F38F5"/>
    <w:rsid w:val="5D7DEF53"/>
    <w:rsid w:val="5D84A899"/>
    <w:rsid w:val="5DDE40E0"/>
    <w:rsid w:val="5DEE3AA9"/>
    <w:rsid w:val="5DEFE2CE"/>
    <w:rsid w:val="5DF16397"/>
    <w:rsid w:val="5DFB42ED"/>
    <w:rsid w:val="5E668317"/>
    <w:rsid w:val="5EAFAA57"/>
    <w:rsid w:val="5F9F06A9"/>
    <w:rsid w:val="5FA377A6"/>
    <w:rsid w:val="5FDF3DB8"/>
    <w:rsid w:val="5FDFEB54"/>
    <w:rsid w:val="5FF41481"/>
    <w:rsid w:val="5FF773DB"/>
    <w:rsid w:val="5FFE954D"/>
    <w:rsid w:val="619E216F"/>
    <w:rsid w:val="62E247E3"/>
    <w:rsid w:val="63EF7DEB"/>
    <w:rsid w:val="63FBA69F"/>
    <w:rsid w:val="64004D98"/>
    <w:rsid w:val="64C3BEA4"/>
    <w:rsid w:val="64C411EE"/>
    <w:rsid w:val="66975D22"/>
    <w:rsid w:val="66AFC3D1"/>
    <w:rsid w:val="67291800"/>
    <w:rsid w:val="69DF70D2"/>
    <w:rsid w:val="69FFAF62"/>
    <w:rsid w:val="6A332DE3"/>
    <w:rsid w:val="6AF77411"/>
    <w:rsid w:val="6B65D07B"/>
    <w:rsid w:val="6BBF97BA"/>
    <w:rsid w:val="6BEF3004"/>
    <w:rsid w:val="6DF7A3D6"/>
    <w:rsid w:val="6EAF2691"/>
    <w:rsid w:val="6F5F6A5A"/>
    <w:rsid w:val="6F7AD621"/>
    <w:rsid w:val="6FB75875"/>
    <w:rsid w:val="6FCF667E"/>
    <w:rsid w:val="6FEC86C9"/>
    <w:rsid w:val="6FFF2FC9"/>
    <w:rsid w:val="6FFFDA60"/>
    <w:rsid w:val="717ADDA8"/>
    <w:rsid w:val="72FF33AA"/>
    <w:rsid w:val="737F0E43"/>
    <w:rsid w:val="73F38272"/>
    <w:rsid w:val="75BEC34D"/>
    <w:rsid w:val="75F97242"/>
    <w:rsid w:val="766F46C9"/>
    <w:rsid w:val="76EEDBA4"/>
    <w:rsid w:val="7767CC0C"/>
    <w:rsid w:val="776FBC70"/>
    <w:rsid w:val="777F0062"/>
    <w:rsid w:val="77B6A645"/>
    <w:rsid w:val="77DF1396"/>
    <w:rsid w:val="77F47946"/>
    <w:rsid w:val="77F7380F"/>
    <w:rsid w:val="77F9C393"/>
    <w:rsid w:val="784F4D5D"/>
    <w:rsid w:val="78BF769A"/>
    <w:rsid w:val="78EA1CC6"/>
    <w:rsid w:val="794E622D"/>
    <w:rsid w:val="79BD9066"/>
    <w:rsid w:val="79ED9448"/>
    <w:rsid w:val="79EE7C2C"/>
    <w:rsid w:val="79FE7AD9"/>
    <w:rsid w:val="79FF4992"/>
    <w:rsid w:val="7AFD9E20"/>
    <w:rsid w:val="7BF2B80B"/>
    <w:rsid w:val="7BFF701F"/>
    <w:rsid w:val="7D1725D7"/>
    <w:rsid w:val="7D9F2FAB"/>
    <w:rsid w:val="7DBDED6B"/>
    <w:rsid w:val="7DCB91E3"/>
    <w:rsid w:val="7DFD1307"/>
    <w:rsid w:val="7E1F410F"/>
    <w:rsid w:val="7E7F49DF"/>
    <w:rsid w:val="7EB2B837"/>
    <w:rsid w:val="7F43AAA6"/>
    <w:rsid w:val="7F6B813A"/>
    <w:rsid w:val="7F6BC83A"/>
    <w:rsid w:val="7F77E046"/>
    <w:rsid w:val="7F7FE71E"/>
    <w:rsid w:val="7F9C001B"/>
    <w:rsid w:val="7FAD163E"/>
    <w:rsid w:val="7FBF077C"/>
    <w:rsid w:val="7FBF2F25"/>
    <w:rsid w:val="7FCB0C1A"/>
    <w:rsid w:val="7FCFA91C"/>
    <w:rsid w:val="7FD67703"/>
    <w:rsid w:val="7FDBFCE8"/>
    <w:rsid w:val="7FDC0249"/>
    <w:rsid w:val="7FDDDFCC"/>
    <w:rsid w:val="7FDFAF4E"/>
    <w:rsid w:val="7FE48965"/>
    <w:rsid w:val="7FF382E8"/>
    <w:rsid w:val="7FF3E1DC"/>
    <w:rsid w:val="7FFB799A"/>
    <w:rsid w:val="7FFFC880"/>
    <w:rsid w:val="8EFA4B7F"/>
    <w:rsid w:val="8F5D9798"/>
    <w:rsid w:val="973B3D41"/>
    <w:rsid w:val="97E782ED"/>
    <w:rsid w:val="9AFED3B3"/>
    <w:rsid w:val="9E668EDE"/>
    <w:rsid w:val="9EB5CA78"/>
    <w:rsid w:val="9FBDC7D9"/>
    <w:rsid w:val="9FE65CC9"/>
    <w:rsid w:val="A62EC18B"/>
    <w:rsid w:val="A757AB88"/>
    <w:rsid w:val="A76DE6DC"/>
    <w:rsid w:val="A76F0289"/>
    <w:rsid w:val="A9F79DDF"/>
    <w:rsid w:val="ABAA33FB"/>
    <w:rsid w:val="ABB7B72C"/>
    <w:rsid w:val="ACDE3644"/>
    <w:rsid w:val="AF4F819A"/>
    <w:rsid w:val="AFBFAA74"/>
    <w:rsid w:val="AFDD4789"/>
    <w:rsid w:val="AFFFA5BB"/>
    <w:rsid w:val="B477ABA0"/>
    <w:rsid w:val="B737CB37"/>
    <w:rsid w:val="B7DF3ACD"/>
    <w:rsid w:val="B7DFCC29"/>
    <w:rsid w:val="B7F7D359"/>
    <w:rsid w:val="B7FF34C2"/>
    <w:rsid w:val="BBFF0926"/>
    <w:rsid w:val="BDF25A88"/>
    <w:rsid w:val="BDFD6A5F"/>
    <w:rsid w:val="BE7F78D0"/>
    <w:rsid w:val="BEBF5ECC"/>
    <w:rsid w:val="BF4ED5FC"/>
    <w:rsid w:val="BF6ED245"/>
    <w:rsid w:val="BF7F4E4D"/>
    <w:rsid w:val="BFBF9917"/>
    <w:rsid w:val="BFDB070C"/>
    <w:rsid w:val="BFDFC85A"/>
    <w:rsid w:val="BFDFE002"/>
    <w:rsid w:val="BFE7C58D"/>
    <w:rsid w:val="BFFF94D3"/>
    <w:rsid w:val="C3BAEB81"/>
    <w:rsid w:val="C59C4AE4"/>
    <w:rsid w:val="C5FF3E1B"/>
    <w:rsid w:val="C6FD35F2"/>
    <w:rsid w:val="CC3B693F"/>
    <w:rsid w:val="CCCF0A80"/>
    <w:rsid w:val="CDFFB0F5"/>
    <w:rsid w:val="CF7FAF76"/>
    <w:rsid w:val="CFDDFA8B"/>
    <w:rsid w:val="D2EF2ADF"/>
    <w:rsid w:val="D3ED5572"/>
    <w:rsid w:val="D5DF61DC"/>
    <w:rsid w:val="D79950C1"/>
    <w:rsid w:val="D7FF6596"/>
    <w:rsid w:val="D8EF350F"/>
    <w:rsid w:val="DBE83121"/>
    <w:rsid w:val="DCF3AF95"/>
    <w:rsid w:val="DCFFB052"/>
    <w:rsid w:val="DD7BF883"/>
    <w:rsid w:val="DDF2C6E4"/>
    <w:rsid w:val="DEFFA5CF"/>
    <w:rsid w:val="DF3EFAD1"/>
    <w:rsid w:val="DFB7370F"/>
    <w:rsid w:val="DFE403F1"/>
    <w:rsid w:val="DFE77619"/>
    <w:rsid w:val="DFEAFC7E"/>
    <w:rsid w:val="DFF57DF5"/>
    <w:rsid w:val="DFFB2371"/>
    <w:rsid w:val="DFFDCDB3"/>
    <w:rsid w:val="DFFF63F6"/>
    <w:rsid w:val="DFFFBF1C"/>
    <w:rsid w:val="DFFFEA6E"/>
    <w:rsid w:val="E695E480"/>
    <w:rsid w:val="E7AF17E1"/>
    <w:rsid w:val="E85FD5CE"/>
    <w:rsid w:val="EB7F7733"/>
    <w:rsid w:val="EB7F83EB"/>
    <w:rsid w:val="EBFEC041"/>
    <w:rsid w:val="ECF3E1C3"/>
    <w:rsid w:val="EDDD79B2"/>
    <w:rsid w:val="EDF79675"/>
    <w:rsid w:val="EEB6FF58"/>
    <w:rsid w:val="EEF70753"/>
    <w:rsid w:val="EEFEBACD"/>
    <w:rsid w:val="EF4DF6A0"/>
    <w:rsid w:val="EF7F3BCE"/>
    <w:rsid w:val="EFEBD8ED"/>
    <w:rsid w:val="EFFE024F"/>
    <w:rsid w:val="EFFE7DEE"/>
    <w:rsid w:val="EFFF86C8"/>
    <w:rsid w:val="EFFFBB2E"/>
    <w:rsid w:val="F1F45C15"/>
    <w:rsid w:val="F2B7FB55"/>
    <w:rsid w:val="F2DC2B1E"/>
    <w:rsid w:val="F2FB46F9"/>
    <w:rsid w:val="F357108C"/>
    <w:rsid w:val="F3B7B049"/>
    <w:rsid w:val="F3BF5D69"/>
    <w:rsid w:val="F5AD53D1"/>
    <w:rsid w:val="F5BEF832"/>
    <w:rsid w:val="F73B2C24"/>
    <w:rsid w:val="F7774859"/>
    <w:rsid w:val="F77EB80D"/>
    <w:rsid w:val="F7EFF020"/>
    <w:rsid w:val="F7F382C2"/>
    <w:rsid w:val="F7FFD6B6"/>
    <w:rsid w:val="F8E5840E"/>
    <w:rsid w:val="F9BF3EA8"/>
    <w:rsid w:val="F9EF04A8"/>
    <w:rsid w:val="F9F4BE67"/>
    <w:rsid w:val="FAD99864"/>
    <w:rsid w:val="FAFA4570"/>
    <w:rsid w:val="FAFF190D"/>
    <w:rsid w:val="FB162ACB"/>
    <w:rsid w:val="FB56D2FF"/>
    <w:rsid w:val="FB5D433B"/>
    <w:rsid w:val="FB77D172"/>
    <w:rsid w:val="FB7F18C7"/>
    <w:rsid w:val="FB7FC575"/>
    <w:rsid w:val="FBEE9A13"/>
    <w:rsid w:val="FBFA6429"/>
    <w:rsid w:val="FBFDA324"/>
    <w:rsid w:val="FBFF3BDA"/>
    <w:rsid w:val="FC6D53B4"/>
    <w:rsid w:val="FD5720A2"/>
    <w:rsid w:val="FD77131B"/>
    <w:rsid w:val="FDBEDC65"/>
    <w:rsid w:val="FDD7DF57"/>
    <w:rsid w:val="FDF9A366"/>
    <w:rsid w:val="FDFC1584"/>
    <w:rsid w:val="FDFD7639"/>
    <w:rsid w:val="FDFD8B4B"/>
    <w:rsid w:val="FE52D5CA"/>
    <w:rsid w:val="FE5D302F"/>
    <w:rsid w:val="FE955382"/>
    <w:rsid w:val="FE99CA6D"/>
    <w:rsid w:val="FEBD11F4"/>
    <w:rsid w:val="FEFBAE7C"/>
    <w:rsid w:val="FEFC130E"/>
    <w:rsid w:val="FEFD0411"/>
    <w:rsid w:val="FEFF0287"/>
    <w:rsid w:val="FF4F25B9"/>
    <w:rsid w:val="FF78993A"/>
    <w:rsid w:val="FF7FD47E"/>
    <w:rsid w:val="FF9D52D7"/>
    <w:rsid w:val="FF9FFDE5"/>
    <w:rsid w:val="FFAECCF4"/>
    <w:rsid w:val="FFB45AE1"/>
    <w:rsid w:val="FFBF0F4E"/>
    <w:rsid w:val="FFCEE8D0"/>
    <w:rsid w:val="FFDF2DFF"/>
    <w:rsid w:val="FFDFB59B"/>
    <w:rsid w:val="FFDFC3BA"/>
    <w:rsid w:val="FFF0B6F2"/>
    <w:rsid w:val="FFFD62D1"/>
    <w:rsid w:val="FFFDBADB"/>
    <w:rsid w:val="FFFE6B50"/>
    <w:rsid w:val="FFFF0A27"/>
    <w:rsid w:val="FFFF222A"/>
    <w:rsid w:val="FFFF6695"/>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unhideWhenUsed="0" w:uiPriority="99" w:semiHidden="0" w:name="header"/>
    <w:lsdException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Document Map"/>
    <w:basedOn w:val="1"/>
    <w:link w:val="17"/>
    <w:semiHidden/>
    <w:unhideWhenUsed/>
    <w:uiPriority w:val="99"/>
    <w:rPr>
      <w:rFonts w:ascii="宋体"/>
      <w:sz w:val="18"/>
      <w:szCs w:val="18"/>
    </w:rPr>
  </w:style>
  <w:style w:type="paragraph" w:styleId="3">
    <w:name w:val="annotation text"/>
    <w:basedOn w:val="1"/>
    <w:link w:val="19"/>
    <w:semiHidden/>
    <w:unhideWhenUsed/>
    <w:uiPriority w:val="99"/>
    <w:pPr>
      <w:jc w:val="left"/>
    </w:pPr>
  </w:style>
  <w:style w:type="paragraph" w:styleId="4">
    <w:name w:val="Balloon Text"/>
    <w:basedOn w:val="1"/>
    <w:link w:val="16"/>
    <w:semiHidden/>
    <w:unhideWhenUsed/>
    <w:qFormat/>
    <w:uiPriority w:val="99"/>
    <w:rPr>
      <w:sz w:val="18"/>
      <w:szCs w:val="18"/>
    </w:rPr>
  </w:style>
  <w:style w:type="paragraph" w:styleId="5">
    <w:name w:val="footer"/>
    <w:basedOn w:val="1"/>
    <w:link w:val="14"/>
    <w:uiPriority w:val="99"/>
    <w:pPr>
      <w:tabs>
        <w:tab w:val="center" w:pos="4153"/>
        <w:tab w:val="right" w:pos="8306"/>
      </w:tabs>
      <w:snapToGrid w:val="0"/>
      <w:jc w:val="left"/>
    </w:pPr>
    <w:rPr>
      <w:sz w:val="18"/>
      <w:szCs w:val="18"/>
    </w:rPr>
  </w:style>
  <w:style w:type="paragraph" w:styleId="6">
    <w:name w:val="header"/>
    <w:basedOn w:val="1"/>
    <w:link w:val="13"/>
    <w:uiPriority w:val="99"/>
    <w:pPr>
      <w:pBdr>
        <w:bottom w:val="single" w:color="auto" w:sz="6" w:space="1"/>
      </w:pBdr>
      <w:tabs>
        <w:tab w:val="center" w:pos="4153"/>
        <w:tab w:val="right" w:pos="8306"/>
      </w:tabs>
      <w:snapToGrid w:val="0"/>
      <w:jc w:val="center"/>
    </w:pPr>
    <w:rPr>
      <w:sz w:val="18"/>
      <w:szCs w:val="18"/>
    </w:rPr>
  </w:style>
  <w:style w:type="paragraph" w:styleId="7">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annotation subject"/>
    <w:basedOn w:val="3"/>
    <w:next w:val="3"/>
    <w:link w:val="20"/>
    <w:semiHidden/>
    <w:unhideWhenUsed/>
    <w:uiPriority w:val="99"/>
    <w:rPr>
      <w:b/>
      <w:bCs/>
    </w:rPr>
  </w:style>
  <w:style w:type="character" w:styleId="11">
    <w:name w:val="Hyperlink"/>
    <w:basedOn w:val="10"/>
    <w:qFormat/>
    <w:uiPriority w:val="99"/>
    <w:rPr>
      <w:color w:val="0000FF"/>
      <w:u w:val="single"/>
    </w:rPr>
  </w:style>
  <w:style w:type="character" w:styleId="12">
    <w:name w:val="annotation reference"/>
    <w:basedOn w:val="10"/>
    <w:semiHidden/>
    <w:unhideWhenUsed/>
    <w:uiPriority w:val="99"/>
    <w:rPr>
      <w:sz w:val="21"/>
      <w:szCs w:val="21"/>
    </w:rPr>
  </w:style>
  <w:style w:type="character" w:customStyle="1" w:styleId="13">
    <w:name w:val="页眉 字符"/>
    <w:basedOn w:val="10"/>
    <w:link w:val="6"/>
    <w:locked/>
    <w:uiPriority w:val="99"/>
    <w:rPr>
      <w:kern w:val="2"/>
      <w:sz w:val="18"/>
      <w:szCs w:val="18"/>
    </w:rPr>
  </w:style>
  <w:style w:type="character" w:customStyle="1" w:styleId="14">
    <w:name w:val="页脚 字符"/>
    <w:basedOn w:val="10"/>
    <w:link w:val="5"/>
    <w:locked/>
    <w:uiPriority w:val="99"/>
    <w:rPr>
      <w:kern w:val="2"/>
      <w:sz w:val="18"/>
      <w:szCs w:val="18"/>
    </w:rPr>
  </w:style>
  <w:style w:type="paragraph" w:styleId="15">
    <w:name w:val="List Paragraph"/>
    <w:basedOn w:val="1"/>
    <w:qFormat/>
    <w:uiPriority w:val="99"/>
    <w:pPr>
      <w:ind w:firstLine="420" w:firstLineChars="200"/>
    </w:pPr>
  </w:style>
  <w:style w:type="character" w:customStyle="1" w:styleId="16">
    <w:name w:val="批注框文本 字符"/>
    <w:basedOn w:val="10"/>
    <w:link w:val="4"/>
    <w:semiHidden/>
    <w:qFormat/>
    <w:uiPriority w:val="99"/>
    <w:rPr>
      <w:kern w:val="2"/>
      <w:sz w:val="18"/>
      <w:szCs w:val="18"/>
    </w:rPr>
  </w:style>
  <w:style w:type="character" w:customStyle="1" w:styleId="17">
    <w:name w:val="文档结构图 字符"/>
    <w:basedOn w:val="10"/>
    <w:link w:val="2"/>
    <w:semiHidden/>
    <w:uiPriority w:val="99"/>
    <w:rPr>
      <w:rFonts w:ascii="宋体"/>
      <w:kern w:val="2"/>
      <w:sz w:val="18"/>
      <w:szCs w:val="18"/>
    </w:rPr>
  </w:style>
  <w:style w:type="paragraph" w:customStyle="1" w:styleId="18">
    <w:name w:val="_Style 13"/>
    <w:basedOn w:val="1"/>
    <w:next w:val="15"/>
    <w:qFormat/>
    <w:uiPriority w:val="34"/>
    <w:pPr>
      <w:widowControl/>
      <w:spacing w:line="560" w:lineRule="exact"/>
      <w:ind w:firstLine="420" w:firstLineChars="200"/>
    </w:pPr>
    <w:rPr>
      <w:rFonts w:eastAsia="仿宋"/>
      <w:sz w:val="32"/>
      <w:szCs w:val="22"/>
    </w:rPr>
  </w:style>
  <w:style w:type="character" w:customStyle="1" w:styleId="19">
    <w:name w:val="批注文字 字符"/>
    <w:basedOn w:val="10"/>
    <w:link w:val="3"/>
    <w:semiHidden/>
    <w:uiPriority w:val="99"/>
    <w:rPr>
      <w:kern w:val="2"/>
      <w:sz w:val="21"/>
      <w:szCs w:val="21"/>
    </w:rPr>
  </w:style>
  <w:style w:type="character" w:customStyle="1" w:styleId="20">
    <w:name w:val="批注主题 字符"/>
    <w:basedOn w:val="19"/>
    <w:link w:val="8"/>
    <w:semiHidden/>
    <w:uiPriority w:val="99"/>
    <w:rPr>
      <w:b/>
      <w:bCs/>
      <w:kern w:val="2"/>
      <w:sz w:val="21"/>
      <w:szCs w:val="21"/>
    </w:rPr>
  </w:style>
  <w:style w:type="paragraph" w:customStyle="1" w:styleId="21">
    <w:name w:val="Revision"/>
    <w:hidden/>
    <w:semiHidden/>
    <w:uiPriority w:val="99"/>
    <w:rPr>
      <w:rFonts w:ascii="Times New Roman" w:hAnsi="Times New Roman" w:eastAsia="宋体"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nsfc</Company>
  <Pages>5</Pages>
  <Words>1371</Words>
  <Characters>1448</Characters>
  <Lines>7</Lines>
  <Paragraphs>2</Paragraphs>
  <TotalTime>8</TotalTime>
  <ScaleCrop>false</ScaleCrop>
  <LinksUpToDate>false</LinksUpToDate>
  <CharactersWithSpaces>1453</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2022-12-27T17:49:00Z</dcterms:created>
  <dc:creator>刘容光</dc:creator>
  <cp:lastModifiedBy>金建栋</cp:lastModifiedBy>
  <cp:lastPrinted>2022-01-11T00:24:00Z</cp:lastPrinted>
  <dcterms:modified xsi:type="dcterms:W3CDTF">2025-02-08T08:22:51Z</dcterms:modified>
  <dc:title>面上项目申请书撰写提纲</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FAF79B2E8E122F0F486169674F09F3DB_42</vt:lpwstr>
  </property>
</Properties>
</file>