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pPr>
      <w:r>
        <w:rPr>
          <w:rFonts w:ascii="Calibri" w:hAnsi="Calibri" w:eastAsia="Microsoft YaHei"/>
          <w:b/>
          <w:i w:val="0"/>
          <w:color w:val="7A5A00"/>
          <w:sz w:val="20"/>
        </w:rPr>
        <w:t>研究阶段汇报 / Research Progress Brief</w:t>
      </w:r>
    </w:p>
    <w:p>
      <w:pPr>
        <w:spacing w:after="80" w:line="264" w:lineRule="auto"/>
      </w:pPr>
      <w:r>
        <w:rPr>
          <w:rFonts w:ascii="Calibri" w:hAnsi="Calibri" w:eastAsia="Microsoft YaHei"/>
          <w:b/>
          <w:i w:val="0"/>
          <w:color w:val="17365D"/>
          <w:sz w:val="48"/>
        </w:rPr>
        <w:t>SHFE公告—现实事件—市场波动研究</w:t>
      </w:r>
    </w:p>
    <w:p>
      <w:pPr>
        <w:spacing w:after="300" w:line="264" w:lineRule="auto"/>
      </w:pPr>
      <w:r>
        <w:rPr>
          <w:rFonts w:ascii="Calibri" w:hAnsi="Calibri" w:eastAsia="Microsoft YaHei"/>
          <w:b w:val="0"/>
          <w:i w:val="0"/>
          <w:color w:val="4A5968"/>
          <w:sz w:val="28"/>
        </w:rPr>
        <w:t>Word—CSV证据逐项对应、因子复核与中英双语结果</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17365D"/>
            <w:vAlign w:val="top"/>
            <w:tcMar>
              <w:top w:w="80" w:type="dxa"/>
              <w:start w:w="120" w:type="dxa"/>
              <w:bottom w:w="80" w:type="dxa"/>
              <w:end w:w="120" w:type="dxa"/>
            </w:tcMar>
          </w:tcPr>
          <w:p>
            <w:pPr>
              <w:spacing w:after="0"/>
            </w:pPr>
            <w:r>
              <w:rPr>
                <w:rFonts w:ascii="Calibri" w:hAnsi="Calibri" w:eastAsia="Microsoft YaHei"/>
                <w:b/>
                <w:i w:val="0"/>
                <w:color w:val="FFFFFF"/>
                <w:sz w:val="18"/>
              </w:rPr>
              <w:t>项目</w:t>
            </w:r>
          </w:p>
        </w:tc>
        <w:tc>
          <w:tcPr>
            <w:tcW w:type="dxa" w:w="7560"/>
            <w:shd w:fill="17365D"/>
            <w:vAlign w:val="top"/>
            <w:tcMar>
              <w:top w:w="80" w:type="dxa"/>
              <w:start w:w="120" w:type="dxa"/>
              <w:bottom w:w="80" w:type="dxa"/>
              <w:end w:w="120" w:type="dxa"/>
            </w:tcMar>
          </w:tcPr>
          <w:p>
            <w:pPr>
              <w:spacing w:after="0"/>
            </w:pPr>
            <w:r>
              <w:rPr>
                <w:rFonts w:ascii="Calibri" w:hAnsi="Calibri" w:eastAsia="Microsoft YaHei"/>
                <w:b/>
                <w:i w:val="0"/>
                <w:color w:val="FFFFFF"/>
                <w:sz w:val="18"/>
              </w:rPr>
              <w:t>内容</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汇报对象</w:t>
            </w:r>
          </w:p>
        </w:tc>
        <w:tc>
          <w:tcPr>
            <w:tcW w:type="dxa" w:w="75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学校导师与合作团队</w:t>
            </w:r>
          </w:p>
        </w:tc>
      </w:tr>
      <w:tr>
        <w:trPr>
          <w:cantSplit/>
        </w:trPr>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核对范围</w:t>
            </w:r>
          </w:p>
        </w:tc>
        <w:tc>
          <w:tcPr>
            <w:tcW w:type="dxa" w:w="75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8月工作内容汇报 Word；成果文件夹内82个CSV（68个唯一内容）</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核心样本</w:t>
            </w:r>
          </w:p>
        </w:tc>
        <w:tc>
          <w:tcPr>
            <w:tcW w:type="dxa" w:w="75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EC/SN主力连续交易日3,445；现实事件59；核验参数事件41；政策簇37</w:t>
            </w:r>
          </w:p>
        </w:tc>
      </w:tr>
      <w:tr>
        <w:trPr>
          <w:cantSplit/>
        </w:trPr>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交付物</w:t>
            </w:r>
          </w:p>
        </w:tc>
        <w:tc>
          <w:tcPr>
            <w:tcW w:type="dxa" w:w="75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修订版Word + 完整Excel证据底稿；原Word不覆盖</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报告原则</w:t>
            </w:r>
          </w:p>
        </w:tc>
        <w:tc>
          <w:tcPr>
            <w:tcW w:type="dxa" w:w="75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保留不显著结果；区分关联、时序、稳健性与预测；避免过度因果推断</w:t>
            </w:r>
          </w:p>
        </w:tc>
      </w:tr>
    </w:tbl>
    <w:p>
      <w:pPr>
        <w:pStyle w:val="Heading1"/>
      </w:pPr>
      <w:r>
        <w:t>一、汇报结论先行</w:t>
      </w:r>
    </w:p>
    <w:tbl>
      <w:tblPr>
        <w:tblStyle w:val="TableGrid"/>
        <w:tblW w:type="dxa" w:w="9360"/>
        <w:jc w:val="left"/>
        <w:tblLayout w:type="fixed"/>
        <w:tblLook w:firstColumn="1" w:firstRow="1" w:lastColumn="0" w:lastRow="0" w:noHBand="0" w:noVBand="1" w:val="04A0"/>
        <w:tblInd w:w="120" w:type="dxa"/>
      </w:tblPr>
      <w:tblGrid>
        <w:gridCol w:w="1400"/>
        <w:gridCol w:w="5100"/>
        <w:gridCol w:w="2860"/>
      </w:tblGrid>
      <w:tr>
        <w:trPr>
          <w:tblHeader w:val="true"/>
          <w:cantSplit/>
        </w:trPr>
        <w:tc>
          <w:tcPr>
            <w:tcW w:type="dxa" w:w="14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证据等级</w:t>
            </w:r>
          </w:p>
        </w:tc>
        <w:tc>
          <w:tcPr>
            <w:tcW w:type="dxa" w:w="51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结论</w:t>
            </w:r>
          </w:p>
        </w:tc>
        <w:tc>
          <w:tcPr>
            <w:tcW w:type="dxa" w:w="286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汇报边界</w:t>
            </w:r>
          </w:p>
        </w:tc>
      </w:tr>
      <w:tr>
        <w:trPr>
          <w:cantSplit/>
        </w:trPr>
        <w:tc>
          <w:tcPr>
            <w:tcW w:type="dxa" w:w="14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较可靠</w:t>
            </w:r>
          </w:p>
        </w:tc>
        <w:tc>
          <w:tcPr>
            <w:tcW w:type="dxa" w:w="51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SN事件后5日方向一致收益均值约0.51%（n=36），全局BH校正后的t检验q=0.0397、Wilcoxon q=0.0351。</w:t>
            </w:r>
          </w:p>
        </w:tc>
        <w:tc>
          <w:tcPr>
            <w:tcW w:type="dxa" w:w="286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属于事件关联；不能解释为随机冲击的净因果效应。</w:t>
            </w:r>
          </w:p>
        </w:tc>
      </w:tr>
      <w:tr>
        <w:trPr>
          <w:cantSplit/>
        </w:trPr>
        <w:tc>
          <w:tcPr>
            <w:tcW w:type="dxa" w:w="14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有条件支持</w:t>
            </w:r>
          </w:p>
        </w:tc>
        <w:tc>
          <w:tcPr>
            <w:tcW w:type="dxa" w:w="51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SN非例行收紧后20日log成交量变化-0.232（n=14），约下降20.7%；精确wild p=0.0044，品种内q=0.0483，但36项全局q=0.1450。</w:t>
            </w:r>
          </w:p>
        </w:tc>
        <w:tc>
          <w:tcPr>
            <w:tcW w:type="dxa" w:w="28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政策前-9至-7日已有下降，不能写成政策净效应。</w:t>
            </w:r>
          </w:p>
        </w:tc>
      </w:tr>
      <w:tr>
        <w:trPr>
          <w:cantSplit/>
        </w:trPr>
        <w:tc>
          <w:tcPr>
            <w:tcW w:type="dxa" w:w="14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候选因子</w:t>
            </w:r>
          </w:p>
        </w:tc>
        <w:tc>
          <w:tcPr>
            <w:tcW w:type="dxa" w:w="51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SN日收益与美元变化呈显著负相关；事件严重度预编码与未来20日政策调整存在候选关联。</w:t>
            </w:r>
          </w:p>
        </w:tc>
        <w:tc>
          <w:tcPr>
            <w:tcW w:type="dxa" w:w="28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美元因子仍受同期信息限制；严重度编码需第二位复核者确认。</w:t>
            </w:r>
          </w:p>
        </w:tc>
      </w:tr>
      <w:tr>
        <w:trPr>
          <w:cantSplit/>
        </w:trPr>
        <w:tc>
          <w:tcPr>
            <w:tcW w:type="dxa" w:w="14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边界监测</w:t>
            </w:r>
          </w:p>
        </w:tc>
        <w:tc>
          <w:tcPr>
            <w:tcW w:type="dxa" w:w="51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过去10日绝对收益、日内区间、异常天数和综合异常的原始p&lt;0.05，但BH q约0.055—0.058。</w:t>
            </w:r>
          </w:p>
        </w:tc>
        <w:tc>
          <w:tcPr>
            <w:tcW w:type="dxa" w:w="28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可列入监测候选，不能称为已验证预警指标。</w:t>
            </w:r>
          </w:p>
        </w:tc>
      </w:tr>
      <w:tr>
        <w:trPr>
          <w:cantSplit/>
        </w:trPr>
        <w:tc>
          <w:tcPr>
            <w:tcW w:type="dxa" w:w="1400"/>
            <w:shd w:fill="FCE4D6"/>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未建立</w:t>
            </w:r>
          </w:p>
        </w:tc>
        <w:tc>
          <w:tcPr>
            <w:tcW w:type="dxa" w:w="5100"/>
            <w:shd w:fill="FCE4D6"/>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正向预测AUC约0.588—0.608且Brier劣于空模型；反向AUC约0.696但置换p=0.065。</w:t>
            </w:r>
          </w:p>
        </w:tc>
        <w:tc>
          <w:tcPr>
            <w:tcW w:type="dxa" w:w="2860"/>
            <w:shd w:fill="FCE4D6"/>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不具备风控部署或确定性反推条件。</w:t>
            </w:r>
          </w:p>
        </w:tc>
      </w:tr>
    </w:tbl>
    <w:p>
      <w:pPr>
        <w:pStyle w:val="Heading1"/>
      </w:pPr>
      <w:r>
        <w:t>二、数据与证据核对范围</w:t>
      </w:r>
    </w:p>
    <w:p>
      <w:pPr>
        <w:spacing w:after="120" w:line="264" w:lineRule="auto"/>
      </w:pPr>
      <w:r>
        <w:rPr>
          <w:rFonts w:ascii="Calibri" w:hAnsi="Calibri" w:eastAsia="Microsoft YaHei"/>
          <w:b w:val="0"/>
          <w:i w:val="0"/>
          <w:color w:val="222222"/>
          <w:sz w:val="21"/>
        </w:rPr>
        <w:t>本轮不是重新包装既有结论，而是把Word中的每个样本数、系数、显著性、预测指标和方法描述逐一链接到原始CSV的筛选条件、字段与统计方法。完整25条映射见配套Excel“Word-CSV证据对应”工作表。</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tblHeader w:val="true"/>
          <w:cantSplit/>
        </w:trPr>
        <w:tc>
          <w:tcPr>
            <w:tcW w:type="dxa" w:w="2200"/>
            <w:shd w:fill="17365D"/>
            <w:vAlign w:val="top"/>
            <w:tcMar>
              <w:top w:w="80" w:type="dxa"/>
              <w:start w:w="120" w:type="dxa"/>
              <w:bottom w:w="80" w:type="dxa"/>
              <w:end w:w="120" w:type="dxa"/>
            </w:tcMar>
          </w:tcPr>
          <w:p>
            <w:pPr>
              <w:spacing w:after="0"/>
            </w:pPr>
            <w:r>
              <w:rPr>
                <w:rFonts w:ascii="Calibri" w:hAnsi="Calibri" w:eastAsia="Microsoft YaHei"/>
                <w:b/>
                <w:i w:val="0"/>
                <w:color w:val="FFFFFF"/>
                <w:sz w:val="18"/>
              </w:rPr>
              <w:t>核对对象</w:t>
            </w:r>
          </w:p>
        </w:tc>
        <w:tc>
          <w:tcPr>
            <w:tcW w:type="dxa" w:w="1800"/>
            <w:shd w:fill="17365D"/>
            <w:vAlign w:val="top"/>
            <w:tcMar>
              <w:top w:w="80" w:type="dxa"/>
              <w:start w:w="120" w:type="dxa"/>
              <w:bottom w:w="80" w:type="dxa"/>
              <w:end w:w="120" w:type="dxa"/>
            </w:tcMar>
          </w:tcPr>
          <w:p>
            <w:pPr>
              <w:spacing w:after="0"/>
            </w:pPr>
            <w:r>
              <w:rPr>
                <w:rFonts w:ascii="Calibri" w:hAnsi="Calibri" w:eastAsia="Microsoft YaHei"/>
                <w:b/>
                <w:i w:val="0"/>
                <w:color w:val="FFFFFF"/>
                <w:sz w:val="18"/>
              </w:rPr>
              <w:t>规模</w:t>
            </w:r>
          </w:p>
        </w:tc>
        <w:tc>
          <w:tcPr>
            <w:tcW w:type="dxa" w:w="5360"/>
            <w:shd w:fill="17365D"/>
            <w:vAlign w:val="top"/>
            <w:tcMar>
              <w:top w:w="80" w:type="dxa"/>
              <w:start w:w="120" w:type="dxa"/>
              <w:bottom w:w="80" w:type="dxa"/>
              <w:end w:w="120" w:type="dxa"/>
            </w:tcMar>
          </w:tcPr>
          <w:p>
            <w:pPr>
              <w:spacing w:after="0"/>
            </w:pPr>
            <w:r>
              <w:rPr>
                <w:rFonts w:ascii="Calibri" w:hAnsi="Calibri" w:eastAsia="Microsoft YaHei"/>
                <w:b/>
                <w:i w:val="0"/>
                <w:color w:val="FFFFFF"/>
                <w:sz w:val="18"/>
              </w:rPr>
              <w:t>结果</w:t>
            </w:r>
          </w:p>
        </w:tc>
      </w:tr>
      <w:tr>
        <w:trPr>
          <w:cantSplit/>
        </w:trPr>
        <w:tc>
          <w:tcPr>
            <w:tcW w:type="dxa" w:w="22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Word数值/方法结论</w:t>
            </w:r>
          </w:p>
        </w:tc>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25条</w:t>
            </w:r>
          </w:p>
        </w:tc>
        <w:tc>
          <w:tcPr>
            <w:tcW w:type="dxa" w:w="53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均已对应到数据文件、筛选条件、字段和解释边界</w:t>
            </w:r>
          </w:p>
        </w:tc>
      </w:tr>
      <w:tr>
        <w:trPr>
          <w:cantSplit/>
        </w:trPr>
        <w:tc>
          <w:tcPr>
            <w:tcW w:type="dxa" w:w="22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CSV文件</w:t>
            </w:r>
          </w:p>
        </w:tc>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82个文件；68个唯一内容</w:t>
            </w:r>
          </w:p>
        </w:tc>
        <w:tc>
          <w:tcPr>
            <w:tcW w:type="dxa" w:w="53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14个重复载荷已识别，未把重复文件当作独立证据</w:t>
            </w:r>
          </w:p>
        </w:tc>
      </w:tr>
      <w:tr>
        <w:trPr>
          <w:cantSplit/>
        </w:trPr>
        <w:tc>
          <w:tcPr>
            <w:tcW w:type="dxa" w:w="22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现实事件</w:t>
            </w:r>
          </w:p>
        </w:tc>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59条（EC 20、SN 39）</w:t>
            </w:r>
          </w:p>
        </w:tc>
        <w:tc>
          <w:tcPr>
            <w:tcW w:type="dxa" w:w="53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已加入具体事件名、简述、日期、背景与官方/一手来源</w:t>
            </w:r>
          </w:p>
        </w:tc>
      </w:tr>
      <w:tr>
        <w:trPr>
          <w:cantSplit/>
        </w:trPr>
        <w:tc>
          <w:tcPr>
            <w:tcW w:type="dxa" w:w="22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政策簇</w:t>
            </w:r>
          </w:p>
        </w:tc>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37个（EC 12、SN 25）</w:t>
            </w:r>
          </w:p>
        </w:tc>
        <w:tc>
          <w:tcPr>
            <w:tcW w:type="dxa" w:w="53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已加入公告标题、方向、类型、参数值、前期异常和候选事件</w:t>
            </w:r>
          </w:p>
        </w:tc>
      </w:tr>
      <w:tr>
        <w:trPr>
          <w:cantSplit/>
        </w:trPr>
        <w:tc>
          <w:tcPr>
            <w:tcW w:type="dxa" w:w="22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AO/BU公告工作簿</w:t>
            </w:r>
          </w:p>
        </w:tc>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AO 124条公告、170参数事件行；BU 216条公告、292参数事件行</w:t>
            </w:r>
          </w:p>
        </w:tc>
        <w:tc>
          <w:tcPr>
            <w:tcW w:type="dxa" w:w="53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8"/>
              </w:rPr>
              <w:t>已核对“发送说明”页A5:H7；该项来源为xlsx而非CSV</w:t>
            </w:r>
          </w:p>
        </w:tc>
      </w:tr>
    </w:tbl>
    <w:p>
      <w:pPr>
        <w:pStyle w:val="Heading1"/>
      </w:pPr>
      <w:r>
        <w:t>三、分析方法必须分开汇报</w:t>
      </w:r>
    </w:p>
    <w:tbl>
      <w:tblPr>
        <w:tblStyle w:val="TableGrid"/>
        <w:tblW w:type="dxa" w:w="9360"/>
        <w:jc w:val="left"/>
        <w:tblLayout w:type="fixed"/>
        <w:tblLook w:firstColumn="1" w:firstRow="1" w:lastColumn="0" w:lastRow="0" w:noHBand="0" w:noVBand="1" w:val="04A0"/>
        <w:tblInd w:w="120" w:type="dxa"/>
      </w:tblPr>
      <w:tblGrid>
        <w:gridCol w:w="1800"/>
        <w:gridCol w:w="2100"/>
        <w:gridCol w:w="2700"/>
        <w:gridCol w:w="2760"/>
      </w:tblGrid>
      <w:tr>
        <w:trPr>
          <w:tblHeader w:val="true"/>
          <w:cantSplit/>
        </w:trPr>
        <w:tc>
          <w:tcPr>
            <w:tcW w:type="dxa" w:w="18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方法 / Method</w:t>
            </w:r>
          </w:p>
        </w:tc>
        <w:tc>
          <w:tcPr>
            <w:tcW w:type="dxa" w:w="21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回答的问题</w:t>
            </w:r>
          </w:p>
        </w:tc>
        <w:tc>
          <w:tcPr>
            <w:tcW w:type="dxa" w:w="27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本研究实现</w:t>
            </w:r>
          </w:p>
        </w:tc>
        <w:tc>
          <w:tcPr>
            <w:tcW w:type="dxa" w:w="276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能说什么 / 不能说什么</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描述性统计 / Descriptive statistics</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样本有多大、事件与异常多常见？</w:t>
            </w:r>
          </w:p>
        </w:tc>
        <w:tc>
          <w:tcPr>
            <w:tcW w:type="dxa" w:w="2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计数、占比、日期覆盖、分类。</w:t>
            </w:r>
          </w:p>
        </w:tc>
        <w:tc>
          <w:tcPr>
            <w:tcW w:type="dxa" w:w="2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能描述事实；不能因频率高就推断因果。</w:t>
            </w:r>
          </w:p>
        </w:tc>
      </w:tr>
      <w:tr>
        <w:trPr>
          <w:cantSplit/>
        </w:trPr>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事件研究 / Event study</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事件前后市场指标如何变化？</w:t>
            </w:r>
          </w:p>
        </w:tc>
        <w:tc>
          <w:tcPr>
            <w:tcW w:type="dxa" w:w="2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前10日与后5/10/20日均值、方向一致收益。</w:t>
            </w:r>
          </w:p>
        </w:tc>
        <w:tc>
          <w:tcPr>
            <w:tcW w:type="dxa" w:w="2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能报告窗口关联；事件非随机，不能直接解释净效应。</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动态回归 / Dynamic regression</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反应何时开始，是否存在前趋势？</w:t>
            </w:r>
          </w:p>
        </w:tc>
        <w:tc>
          <w:tcPr>
            <w:tcW w:type="dxa" w:w="2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相对日虚拟变量、固定效应、事件簇或双向聚类误差。</w:t>
            </w:r>
          </w:p>
        </w:tc>
        <w:tc>
          <w:tcPr>
            <w:tcW w:type="dxa" w:w="2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若政策前已变化，提示政策时点内生，削弱因果解释。</w:t>
            </w:r>
          </w:p>
        </w:tc>
      </w:tr>
      <w:tr>
        <w:trPr>
          <w:cantSplit/>
        </w:trPr>
        <w:tc>
          <w:tcPr>
            <w:tcW w:type="dxa" w:w="18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稳健推断 / Robust inference</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少数政策簇、相关误差和多重检验下是否稳健？</w:t>
            </w:r>
          </w:p>
        </w:tc>
        <w:tc>
          <w:tcPr>
            <w:tcW w:type="dxa" w:w="2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聚类稳健SE、exact/Monte Carlo wild bootstrap、安慰剂、BH q值。</w:t>
            </w:r>
          </w:p>
        </w:tc>
        <w:tc>
          <w:tcPr>
            <w:tcW w:type="dxa" w:w="2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同时报告原始p、校正q和失败诊断；不挑选性删除不显著项。</w:t>
            </w:r>
          </w:p>
        </w:tc>
      </w:tr>
      <w:tr>
        <w:trPr>
          <w:cantSplit/>
        </w:trPr>
        <w:tc>
          <w:tcPr>
            <w:tcW w:type="dxa" w:w="18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预测分析 / Prediction</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模型对未见组别是否有用？</w:t>
            </w:r>
          </w:p>
        </w:tc>
        <w:tc>
          <w:tcPr>
            <w:tcW w:type="dxa" w:w="2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分组样本外AUC、Brier、bootstrap区间和置换检验。</w:t>
            </w:r>
          </w:p>
        </w:tc>
        <w:tc>
          <w:tcPr>
            <w:tcW w:type="dxa" w:w="2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当前只能做探索性排序，不足以部署。</w:t>
            </w:r>
          </w:p>
        </w:tc>
      </w:tr>
    </w:tbl>
    <w:p>
      <w:pPr>
        <w:pStyle w:val="Heading1"/>
      </w:pPr>
      <w:r>
        <w:t>四、因子复核：保留全部结果，不做显著性删选</w:t>
      </w:r>
    </w:p>
    <w:p>
      <w:pPr>
        <w:spacing w:after="120" w:line="264" w:lineRule="auto"/>
      </w:pPr>
      <w:r>
        <w:rPr>
          <w:rFonts w:ascii="Calibri" w:hAnsi="Calibri" w:eastAsia="Microsoft YaHei"/>
          <w:b w:val="0"/>
          <w:i w:val="0"/>
          <w:color w:val="222222"/>
          <w:sz w:val="21"/>
        </w:rPr>
        <w:t>本轮按检验族做BH校正。显著性只作为证据强度之一；理论相关但不显著的变量仍留在底稿，并报告样本、估计量、p值、q值、共线性或稀疏性限制。</w:t>
      </w:r>
    </w:p>
    <w:tbl>
      <w:tblPr>
        <w:tblStyle w:val="TableGrid"/>
        <w:tblW w:type="dxa" w:w="9360"/>
        <w:jc w:val="left"/>
        <w:tblLayout w:type="fixed"/>
        <w:tblLook w:firstColumn="1" w:firstRow="1" w:lastColumn="0" w:lastRow="0" w:noHBand="0" w:noVBand="1" w:val="04A0"/>
        <w:tblInd w:w="120" w:type="dxa"/>
      </w:tblPr>
      <w:tblGrid>
        <w:gridCol w:w="1600"/>
        <w:gridCol w:w="1900"/>
        <w:gridCol w:w="3000"/>
        <w:gridCol w:w="2860"/>
      </w:tblGrid>
      <w:tr>
        <w:trPr>
          <w:tblHeader w:val="true"/>
          <w:cantSplit/>
        </w:trPr>
        <w:tc>
          <w:tcPr>
            <w:tcW w:type="dxa" w:w="16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分类</w:t>
            </w:r>
          </w:p>
        </w:tc>
        <w:tc>
          <w:tcPr>
            <w:tcW w:type="dxa" w:w="19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因子</w:t>
            </w:r>
          </w:p>
        </w:tc>
        <w:tc>
          <w:tcPr>
            <w:tcW w:type="dxa" w:w="300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结果</w:t>
            </w:r>
          </w:p>
        </w:tc>
        <w:tc>
          <w:tcPr>
            <w:tcW w:type="dxa" w:w="2860"/>
            <w:shd w:fill="17365D"/>
            <w:vAlign w:val="top"/>
            <w:tcMar>
              <w:top w:w="80" w:type="dxa"/>
              <w:start w:w="120" w:type="dxa"/>
              <w:bottom w:w="80" w:type="dxa"/>
              <w:end w:w="120" w:type="dxa"/>
            </w:tcMar>
          </w:tcPr>
          <w:p>
            <w:pPr>
              <w:spacing w:after="0"/>
            </w:pPr>
            <w:r>
              <w:rPr>
                <w:rFonts w:ascii="Calibri" w:hAnsi="Calibri" w:eastAsia="Microsoft YaHei"/>
                <w:b/>
                <w:i w:val="0"/>
                <w:color w:val="FFFFFF"/>
                <w:sz w:val="16"/>
              </w:rPr>
              <w:t>处理方式</w:t>
            </w:r>
          </w:p>
        </w:tc>
      </w:tr>
      <w:tr>
        <w:trPr>
          <w:cantSplit/>
        </w:trPr>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市场共同因子</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SN—美元变化</w:t>
            </w:r>
          </w:p>
        </w:tc>
        <w:tc>
          <w:tcPr>
            <w:tcW w:type="dxa" w:w="3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HC3 β约-0.361，p=0.00027，BH q=0.0011。</w:t>
            </w:r>
          </w:p>
        </w:tc>
        <w:tc>
          <w:tcPr>
            <w:tcW w:type="dxa" w:w="28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保留为候选解释因子；不解释为美元变化造成SN收益变化。</w:t>
            </w:r>
          </w:p>
        </w:tc>
      </w:tr>
      <w:tr>
        <w:trPr>
          <w:cantSplit/>
        </w:trPr>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市场共同因子</w:t>
            </w:r>
          </w:p>
        </w:tc>
        <w:tc>
          <w:tcPr>
            <w:tcW w:type="dxa" w:w="1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EC—美元、EC/SN—Brent</w:t>
            </w:r>
          </w:p>
        </w:tc>
        <w:tc>
          <w:tcPr>
            <w:tcW w:type="dxa" w:w="30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均未通过BH校正。</w:t>
            </w:r>
          </w:p>
        </w:tc>
        <w:tc>
          <w:tcPr>
            <w:tcW w:type="dxa" w:w="28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如实报告；作为控制与可复核的无显著结果保留。</w:t>
            </w:r>
          </w:p>
        </w:tc>
      </w:tr>
      <w:tr>
        <w:trPr>
          <w:cantSplit/>
        </w:trPr>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事件属性</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严重度预编码→未来20日政策</w:t>
            </w:r>
          </w:p>
        </w:tc>
        <w:tc>
          <w:tcPr>
            <w:tcW w:type="dxa" w:w="3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OR约3.39，p=0.0130，BH q=0.0391。</w:t>
            </w:r>
          </w:p>
        </w:tc>
        <w:tc>
          <w:tcPr>
            <w:tcW w:type="dxa" w:w="28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列为候选；先做双人复核与编码一致性检验。</w:t>
            </w:r>
          </w:p>
        </w:tc>
      </w:tr>
      <w:tr>
        <w:trPr>
          <w:cantSplit/>
        </w:trPr>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事件属性</w:t>
            </w:r>
          </w:p>
        </w:tc>
        <w:tc>
          <w:tcPr>
            <w:tcW w:type="dxa" w:w="1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品种/来源层级</w:t>
            </w:r>
          </w:p>
        </w:tc>
        <w:tc>
          <w:tcPr>
            <w:tcW w:type="dxa" w:w="30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未来10日异常的Fisher检验看似显著，但品种与来源层级完全混杂。</w:t>
            </w:r>
          </w:p>
        </w:tc>
        <w:tc>
          <w:tcPr>
            <w:tcW w:type="dxa" w:w="28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不作为可行动触发器，不声称来源层级独立显著。</w:t>
            </w:r>
          </w:p>
        </w:tc>
      </w:tr>
      <w:tr>
        <w:trPr>
          <w:cantSplit/>
        </w:trPr>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事件分类</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事件类别、预期方向</w:t>
            </w:r>
          </w:p>
        </w:tc>
        <w:tc>
          <w:tcPr>
            <w:tcW w:type="dxa" w:w="3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类别稀疏，超过20%期望频数&lt;5。</w:t>
            </w:r>
          </w:p>
        </w:tc>
        <w:tc>
          <w:tcPr>
            <w:tcW w:type="dxa" w:w="28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仅给分组描述，不报告不可靠的多分类Wald显著性。</w:t>
            </w:r>
          </w:p>
        </w:tc>
      </w:tr>
      <w:tr>
        <w:trPr>
          <w:cantSplit/>
        </w:trPr>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政策前状态</w:t>
            </w:r>
          </w:p>
        </w:tc>
        <w:tc>
          <w:tcPr>
            <w:tcW w:type="dxa" w:w="1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收益、区间、成交量、持仓量</w:t>
            </w:r>
          </w:p>
        </w:tc>
        <w:tc>
          <w:tcPr>
            <w:tcW w:type="dxa" w:w="30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BH后均不显著；持仓量仅原始p接近0.07。</w:t>
            </w:r>
          </w:p>
        </w:tc>
        <w:tc>
          <w:tcPr>
            <w:tcW w:type="dxa" w:w="28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全部保留，作为后续扩样与外部检验基线。</w:t>
            </w:r>
          </w:p>
        </w:tc>
      </w:tr>
      <w:tr>
        <w:trPr>
          <w:cantSplit/>
        </w:trPr>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前瞻日频监测</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10日绝对收益、区间、异常天数、综合异常</w:t>
            </w:r>
          </w:p>
        </w:tc>
        <w:tc>
          <w:tcPr>
            <w:tcW w:type="dxa" w:w="3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原始p&lt;0.05，BH q约0.055—0.058。</w:t>
            </w:r>
          </w:p>
        </w:tc>
        <w:tc>
          <w:tcPr>
            <w:tcW w:type="dxa" w:w="28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6"/>
              </w:rPr>
              <w:t>边界候选；先验证非重叠窗口、更多品种与时间外样本。</w:t>
            </w:r>
          </w:p>
        </w:tc>
      </w:tr>
    </w:tbl>
    <w:p>
      <w:pPr>
        <w:pStyle w:val="Heading1"/>
      </w:pPr>
      <w:r>
        <w:t>五、双向研究链条与可落地边界</w:t>
      </w:r>
    </w:p>
    <w:p>
      <w:pPr>
        <w:spacing w:after="120" w:line="264" w:lineRule="auto"/>
      </w:pPr>
      <w:r>
        <w:rPr>
          <w:rFonts w:ascii="Calibri" w:hAnsi="Calibri" w:eastAsia="Microsoft YaHei"/>
          <w:b w:val="0"/>
          <w:i w:val="0"/>
          <w:color w:val="222222"/>
          <w:sz w:val="21"/>
        </w:rPr>
        <w:t>目标不是承诺“看到一个事件就必然预测公告”，而是形成可审计的两条研究链：</w:t>
      </w:r>
    </w:p>
    <w:p>
      <w:pPr>
        <w:pStyle w:val="ListBullet"/>
        <w:spacing w:after="160" w:line="280" w:lineRule="auto"/>
      </w:pPr>
      <w:r>
        <w:rPr>
          <w:rFonts w:ascii="Calibri" w:hAnsi="Calibri" w:eastAsia="Microsoft YaHei"/>
          <w:b w:val="0"/>
          <w:i w:val="0"/>
          <w:color w:val="222222"/>
          <w:sz w:val="21"/>
        </w:rPr>
        <w:t>正向：现实事件 → 价格/收益率/波动率/成交量/持仓量异常 → 交易所风险识别 → 保证金、涨跌停板、手续费、限仓等调整 → 调整后的波动与交易行为。</w:t>
      </w:r>
    </w:p>
    <w:p>
      <w:pPr>
        <w:pStyle w:val="ListBullet"/>
        <w:spacing w:after="160" w:line="280" w:lineRule="auto"/>
      </w:pPr>
      <w:r>
        <w:rPr>
          <w:rFonts w:ascii="Calibri" w:hAnsi="Calibri" w:eastAsia="Microsoft YaHei"/>
          <w:b w:val="0"/>
          <w:i w:val="0"/>
          <w:color w:val="222222"/>
          <w:sz w:val="21"/>
        </w:rPr>
        <w:t>反向：公告参数调整 → 前期市场异常 → 候选现实事件与背景 → 事后市场变化；结论只能是候选解释，不是确定性识别。</w:t>
      </w:r>
    </w:p>
    <w:p>
      <w:pPr>
        <w:spacing w:after="120" w:line="264" w:lineRule="auto"/>
      </w:pPr>
      <w:r>
        <w:rPr>
          <w:rFonts w:ascii="Calibri" w:hAnsi="Calibri" w:eastAsia="Microsoft YaHei"/>
          <w:b/>
          <w:i w:val="0"/>
          <w:color w:val="17365D"/>
          <w:sz w:val="21"/>
        </w:rPr>
        <w:t>可实施的研究型风控流程：事件进入后先按预注册窗口计算候选指标，再结合历史基准、BH校正、政策簇稳健推断和人工事件复核，输出“低/中/高关注”而不是“必然调整”的判断。</w:t>
      </w:r>
    </w:p>
    <w:p>
      <w:pPr>
        <w:pStyle w:val="Heading1"/>
      </w:pPr>
      <w:r>
        <w:t>六、代表性“事件→异常→公告调整”对应</w:t>
      </w:r>
    </w:p>
    <w:tbl>
      <w:tblPr>
        <w:tblStyle w:val="TableGrid"/>
        <w:tblW w:type="dxa" w:w="9360"/>
        <w:jc w:val="left"/>
        <w:tblLayout w:type="fixed"/>
        <w:tblLook w:firstColumn="1" w:firstRow="1" w:lastColumn="0" w:lastRow="0" w:noHBand="0" w:noVBand="1" w:val="04A0"/>
        <w:tblInd w:w="120" w:type="dxa"/>
      </w:tblPr>
      <w:tblGrid>
        <w:gridCol w:w="1150"/>
        <w:gridCol w:w="2300"/>
        <w:gridCol w:w="2300"/>
        <w:gridCol w:w="1550"/>
        <w:gridCol w:w="2060"/>
      </w:tblGrid>
      <w:tr>
        <w:trPr>
          <w:tblHeader w:val="true"/>
          <w:cantSplit/>
        </w:trPr>
        <w:tc>
          <w:tcPr>
            <w:tcW w:type="dxa" w:w="115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品种/日期</w:t>
            </w:r>
          </w:p>
        </w:tc>
        <w:tc>
          <w:tcPr>
            <w:tcW w:type="dxa" w:w="230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具体事件（中文）</w:t>
            </w:r>
          </w:p>
        </w:tc>
        <w:tc>
          <w:tcPr>
            <w:tcW w:type="dxa" w:w="230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Specific event (English)</w:t>
            </w:r>
          </w:p>
        </w:tc>
        <w:tc>
          <w:tcPr>
            <w:tcW w:type="dxa" w:w="155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异常/政策</w:t>
            </w:r>
          </w:p>
        </w:tc>
        <w:tc>
          <w:tcPr>
            <w:tcW w:type="dxa" w:w="206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公告参数调整</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2023-12-19</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Maersk确认此前暂停船舶将绕行好望角且后续服务继续接受安全评估</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Announcement of charges in relation to Red Sea / Gulf of Aden situation</w:t>
            </w:r>
          </w:p>
        </w:tc>
        <w:tc>
          <w:tcPr>
            <w:tcW w:type="dxa" w:w="15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10；后20日政策簇 5</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EC2404/06/08/10/12日内平今2‱→4‱ || EC2404/06保证金12%→14%；涨跌停板10%→12%</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2023-12-15</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Maersk宣布因红海南部和亚丁湾安全局势暂停所有拟通过曼德海峡的船舶航行</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 Operations through Red Sea / Gulf of Aden</w:t>
            </w:r>
          </w:p>
        </w:tc>
        <w:tc>
          <w:tcPr>
            <w:tcW w:type="dxa" w:w="15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9；后20日政策簇 5</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EC2404/06/08/10/12日内平今2‱→4‱ || EC2404/06保证金12%→14%；涨跌停板10%→12%</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2023-12-24</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Maersk宣布在多国安全行动部署后准备恢复红海和苏伊士运河通行</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 Operations through Red Sea / Gulf of Aden</w:t>
            </w:r>
          </w:p>
        </w:tc>
        <w:tc>
          <w:tcPr>
            <w:tcW w:type="dxa" w:w="15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8；后20日政策簇 4</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EC2404上限500→200手；EC2406/08/10/12上限1000→500手 || EC2404/06/08/10/12交易手续费2‱→6‱；日内平今4‱→12‱</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w:t>
              <w:br/>
              <w:t>2021-09-27</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中国多地限电使焊料、锡化工及下游企业大面积停产或限产</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Tin consumption restricted by China power limits</w:t>
            </w:r>
          </w:p>
        </w:tc>
        <w:tc>
          <w:tcPr>
            <w:tcW w:type="dxa" w:w="15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3；后20日政策簇 3</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SN2111日内平今3→24元/手</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2026-03-01</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中东安全局势恶化，ME11和MECL暂停苏伊士航行并重新绕行好望角</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ME11 &amp; MECL rerouted via Cape of Good Hope</w:t>
            </w:r>
          </w:p>
        </w:tc>
        <w:tc>
          <w:tcPr>
            <w:tcW w:type="dxa" w:w="15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8；后20日政策簇 1</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EC已上市合约日内开仓上限100→50手</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2023-12-31</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 Hangzhou遇袭后集团再次暂停所有红海和亚丁湾通行至至少2024年1月2日</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 Operations through Red Sea / Gulf of Aden</w:t>
            </w:r>
          </w:p>
        </w:tc>
        <w:tc>
          <w:tcPr>
            <w:tcW w:type="dxa" w:w="15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5；后20日政策簇 1</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EC2408/10/12上限100→50手</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w:t>
              <w:br/>
              <w:t>2022-03-01</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邦康疫情封控且孟连口岸停止货车通行，扰乱中国冶炼厂锡精矿供应</w:t>
            </w:r>
          </w:p>
        </w:tc>
        <w:tc>
          <w:tcPr>
            <w:tcW w:type="dxa" w:w="2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COVID outbreak disrupts Chinese smelters' tin supply</w:t>
            </w:r>
          </w:p>
        </w:tc>
        <w:tc>
          <w:tcPr>
            <w:tcW w:type="dxa" w:w="15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4；后20日政策簇 1</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SN2204/05/06/07日内平今由通用3元基准调至60元/手</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w:t>
              <w:br/>
              <w:t>2023-04-17</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国际锡业协会披露佤邦计划自2023年8月1日起暂停全部采矿活动</w:t>
            </w:r>
          </w:p>
        </w:tc>
        <w:tc>
          <w:tcPr>
            <w:tcW w:type="dxa" w:w="2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Myanmar’s Wa State announces tin mining suspension from August</w:t>
            </w:r>
          </w:p>
        </w:tc>
        <w:tc>
          <w:tcPr>
            <w:tcW w:type="dxa" w:w="15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异常日 2；后20日政策簇 1</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SN2306/07日内平今由通用3元基准调至21元/手</w:t>
            </w:r>
          </w:p>
        </w:tc>
      </w:tr>
    </w:tbl>
    <w:p>
      <w:pPr>
        <w:spacing w:before="80" w:after="80"/>
      </w:pPr>
      <w:r>
        <w:rPr>
          <w:rFonts w:ascii="Calibri" w:hAnsi="Calibri" w:eastAsia="Microsoft YaHei"/>
          <w:b w:val="0"/>
          <w:i/>
          <w:color w:val="666666"/>
          <w:sz w:val="17"/>
        </w:rPr>
        <w:t>说明：完整59条事件及现实背景、方向、严重度、公告链接见配套Excel“事件到政策_双语”。</w:t>
      </w:r>
    </w:p>
    <w:p>
      <w:pPr>
        <w:pStyle w:val="Heading1"/>
      </w:pPr>
      <w:r>
        <w:t>七、代表性“公告调整→前期异常→候选事件”对应</w:t>
      </w:r>
    </w:p>
    <w:tbl>
      <w:tblPr>
        <w:tblStyle w:val="TableGrid"/>
        <w:tblW w:type="dxa" w:w="9360"/>
        <w:jc w:val="left"/>
        <w:tblLayout w:type="fixed"/>
        <w:tblLook w:firstColumn="1" w:firstRow="1" w:lastColumn="0" w:lastRow="0" w:noHBand="0" w:noVBand="1" w:val="04A0"/>
        <w:tblInd w:w="120" w:type="dxa"/>
      </w:tblPr>
      <w:tblGrid>
        <w:gridCol w:w="1150"/>
        <w:gridCol w:w="2450"/>
        <w:gridCol w:w="2100"/>
        <w:gridCol w:w="1600"/>
        <w:gridCol w:w="2060"/>
      </w:tblGrid>
      <w:tr>
        <w:trPr>
          <w:tblHeader w:val="true"/>
          <w:cantSplit/>
        </w:trPr>
        <w:tc>
          <w:tcPr>
            <w:tcW w:type="dxa" w:w="115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品种/日期</w:t>
            </w:r>
          </w:p>
        </w:tc>
        <w:tc>
          <w:tcPr>
            <w:tcW w:type="dxa" w:w="245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公告标题（中文）</w:t>
            </w:r>
          </w:p>
        </w:tc>
        <w:tc>
          <w:tcPr>
            <w:tcW w:type="dxa" w:w="210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Policy summary (English)</w:t>
            </w:r>
          </w:p>
        </w:tc>
        <w:tc>
          <w:tcPr>
            <w:tcW w:type="dxa" w:w="160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前期状态</w:t>
            </w:r>
          </w:p>
        </w:tc>
        <w:tc>
          <w:tcPr>
            <w:tcW w:type="dxa" w:w="2060"/>
            <w:shd w:fill="17365D"/>
            <w:vAlign w:val="top"/>
            <w:tcMar>
              <w:top w:w="80" w:type="dxa"/>
              <w:start w:w="120" w:type="dxa"/>
              <w:bottom w:w="80" w:type="dxa"/>
              <w:end w:w="120" w:type="dxa"/>
            </w:tcMar>
          </w:tcPr>
          <w:p>
            <w:pPr>
              <w:spacing w:after="0"/>
            </w:pPr>
            <w:r>
              <w:rPr>
                <w:rFonts w:ascii="Calibri" w:hAnsi="Calibri" w:eastAsia="Microsoft YaHei"/>
                <w:b/>
                <w:i w:val="0"/>
                <w:color w:val="FFFFFF"/>
                <w:sz w:val="15"/>
              </w:rPr>
              <w:t>候选现实事件（中文）</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2024-01-04</w:t>
            </w:r>
          </w:p>
        </w:tc>
        <w:tc>
          <w:tcPr>
            <w:tcW w:type="dxa" w:w="2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上海国际能源交易中心发布关于调整集运指数（欧线）期货相关...</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intraday opening-position limit.</w:t>
            </w:r>
          </w:p>
        </w:tc>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2；候选事件 4</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 Hangzhou遇袭后集团再次暂停所有红海和亚丁湾通行至至少2024年1月2日 || Maersk宣布在多国安全行动部署后准备恢复红海和苏伊士运河通行 || Maersk确认此前暂停船…</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2023-12-25</w:t>
            </w:r>
          </w:p>
        </w:tc>
        <w:tc>
          <w:tcPr>
            <w:tcW w:type="dxa" w:w="2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上海国际能源交易中心发布关于调整集运指数（欧线）期货相关... | 上海国际能源交易中心发布关于调整集运指数（欧线）期货相关...</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trading fee | intraday opening-position limit.</w:t>
            </w:r>
          </w:p>
        </w:tc>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2；候选事件 3</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Maersk宣布在多国安全行动部署后准备恢复红海和苏伊士运河通行 || Maersk确认此前暂停船舶将绕行好望角且后续服务继续接受安全评估 || Maersk宣布因红海南部和亚丁湾安全局势暂停所有拟…</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2023-12-26</w:t>
            </w:r>
          </w:p>
        </w:tc>
        <w:tc>
          <w:tcPr>
            <w:tcW w:type="dxa" w:w="2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上海国际能源交易中心发布关于调整集运指数（欧线）期货相关...</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intraday opening-position limit.</w:t>
            </w:r>
          </w:p>
        </w:tc>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2；候选事件 3</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Maersk宣布在多国安全行动部署后准备恢复红海和苏伊士运河通行 || Maersk确认此前暂停船舶将绕行好望角且后续服务继续接受安全评估 || Maersk宣布因红海南部和亚丁湾安全局势暂停所有拟…</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2023-12-28</w:t>
            </w:r>
          </w:p>
        </w:tc>
        <w:tc>
          <w:tcPr>
            <w:tcW w:type="dxa" w:w="2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上海国际能源交易中心发布关于调整集运指数（欧线）期货相关...</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intraday opening-position limit.</w:t>
            </w:r>
          </w:p>
        </w:tc>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2；候选事件 3</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Maersk宣布在多国安全行动部署后准备恢复红海和苏伊士运河通行 || Maersk确认此前暂停船舶将绕行好望角且后续服务继续接受安全评估 || Maersk宣布因红海南部和亚丁湾安全局势暂停所有拟…</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2023-12-22</w:t>
            </w:r>
          </w:p>
        </w:tc>
        <w:tc>
          <w:tcPr>
            <w:tcW w:type="dxa" w:w="2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上海国际能源交易中心发布关于调整集运指数（欧线）期货相关... | 上海国际能源交易中心发布关于调整集运指数（欧线）期货部分...</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trading fee | margin and price limit.</w:t>
            </w:r>
          </w:p>
        </w:tc>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2；候选事件 2</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Maersk确认此前暂停船舶将绕行好望角且后续服务继续接受安全评估 || Maersk宣布因红海南部和亚丁湾安全局势暂停所有拟通过曼德海峡的船舶航行</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EC</w:t>
              <w:br/>
              <w:t>2026-03-04</w:t>
            </w:r>
          </w:p>
        </w:tc>
        <w:tc>
          <w:tcPr>
            <w:tcW w:type="dxa" w:w="2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上海国际能源交易中心发布关于调整原油等期货相关合约交易限...</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intraday opening-position limit.</w:t>
            </w:r>
          </w:p>
        </w:tc>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3；候选事件 1</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中东安全局势恶化，ME11和MECL暂停苏伊士航行并重新绕行好望角</w:t>
            </w:r>
          </w:p>
        </w:tc>
      </w:tr>
      <w:tr>
        <w:trPr>
          <w:cantSplit/>
        </w:trPr>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w:t>
              <w:br/>
              <w:t>2021-10-29</w:t>
            </w:r>
          </w:p>
        </w:tc>
        <w:tc>
          <w:tcPr>
            <w:tcW w:type="dxa" w:w="2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关于调整不锈钢期货等品种相关合约交易手续费的通知</w:t>
            </w:r>
          </w:p>
        </w:tc>
        <w:tc>
          <w:tcPr>
            <w:tcW w:type="dxa" w:w="2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trading fee.</w:t>
            </w:r>
          </w:p>
        </w:tc>
        <w:tc>
          <w:tcPr>
            <w:tcW w:type="dxa" w:w="1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3；候选事件 1</w:t>
            </w:r>
          </w:p>
        </w:tc>
        <w:tc>
          <w:tcPr>
            <w:tcW w:type="dxa" w:w="2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中国多地限电使焊料、锡化工及下游企业大面积停产或限产</w:t>
            </w:r>
          </w:p>
        </w:tc>
      </w:tr>
      <w:tr>
        <w:trPr>
          <w:cantSplit/>
        </w:trPr>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SN</w:t>
              <w:br/>
              <w:t>2022-03-10</w:t>
            </w:r>
          </w:p>
        </w:tc>
        <w:tc>
          <w:tcPr>
            <w:tcW w:type="dxa" w:w="2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关于调整镍期货等品种相关合约交易手续费的通知</w:t>
            </w:r>
          </w:p>
        </w:tc>
        <w:tc>
          <w:tcPr>
            <w:tcW w:type="dxa" w:w="2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Tightening adjustment to trading fee.</w:t>
            </w:r>
          </w:p>
        </w:tc>
        <w:tc>
          <w:tcPr>
            <w:tcW w:type="dxa" w:w="1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最大异常计数 3；候选事件 1</w:t>
            </w:r>
          </w:p>
        </w:tc>
        <w:tc>
          <w:tcPr>
            <w:tcW w:type="dxa" w:w="2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5"/>
              </w:rPr>
              <w:t>邦康疫情封控且孟连口岸停止货车通行，扰乱中国冶炼厂锡精矿供应</w:t>
            </w:r>
          </w:p>
        </w:tc>
      </w:tr>
    </w:tbl>
    <w:p>
      <w:pPr>
        <w:spacing w:before="80" w:after="80"/>
      </w:pPr>
      <w:r>
        <w:rPr>
          <w:rFonts w:ascii="Calibri" w:hAnsi="Calibri" w:eastAsia="Microsoft YaHei"/>
          <w:b w:val="0"/>
          <w:i/>
          <w:color w:val="666666"/>
          <w:sz w:val="17"/>
        </w:rPr>
        <w:t>说明：完整37个政策簇及参数原值/新值、前10日异常、后20日市场变化、官方链接见配套Excel“政策到事件_双语”。</w:t>
      </w:r>
    </w:p>
    <w:p>
      <w:pPr>
        <w:pStyle w:val="Heading1"/>
      </w:pPr>
      <w:r>
        <w:t>八、预测结果与当前不可部署原因</w:t>
      </w:r>
    </w:p>
    <w:tbl>
      <w:tblPr>
        <w:tblStyle w:val="TableGrid"/>
        <w:tblW w:type="dxa" w:w="9360"/>
        <w:jc w:val="left"/>
        <w:tblLayout w:type="fixed"/>
        <w:tblLook w:firstColumn="1" w:firstRow="1" w:lastColumn="0" w:lastRow="0" w:noHBand="0" w:noVBand="1" w:val="04A0"/>
        <w:tblInd w:w="120" w:type="dxa"/>
      </w:tblPr>
      <w:tblGrid>
        <w:gridCol w:w="2600"/>
        <w:gridCol w:w="1500"/>
        <w:gridCol w:w="1000"/>
        <w:gridCol w:w="1900"/>
        <w:gridCol w:w="2360"/>
      </w:tblGrid>
      <w:tr>
        <w:trPr>
          <w:tblHeader w:val="true"/>
          <w:cantSplit/>
        </w:trPr>
        <w:tc>
          <w:tcPr>
            <w:tcW w:type="dxa" w:w="26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模型</w:t>
            </w:r>
          </w:p>
        </w:tc>
        <w:tc>
          <w:tcPr>
            <w:tcW w:type="dxa" w:w="15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样本/正例</w:t>
            </w:r>
          </w:p>
        </w:tc>
        <w:tc>
          <w:tcPr>
            <w:tcW w:type="dxa" w:w="10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AUC</w:t>
            </w:r>
          </w:p>
        </w:tc>
        <w:tc>
          <w:tcPr>
            <w:tcW w:type="dxa" w:w="19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Brier对比</w:t>
            </w:r>
          </w:p>
        </w:tc>
        <w:tc>
          <w:tcPr>
            <w:tcW w:type="dxa" w:w="236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结论</w:t>
            </w:r>
          </w:p>
        </w:tc>
      </w:tr>
      <w:tr>
        <w:trPr>
          <w:cantSplit/>
        </w:trPr>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事件→未来10日异常</w:t>
            </w:r>
          </w:p>
        </w:tc>
        <w:tc>
          <w:tcPr>
            <w:tcW w:type="dxa" w:w="1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59 / 44</w:t>
            </w:r>
          </w:p>
        </w:tc>
        <w:tc>
          <w:tcPr>
            <w:tcW w:type="dxa" w:w="1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0.608</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模型Brier劣于空模型</w:t>
            </w:r>
          </w:p>
        </w:tc>
        <w:tc>
          <w:tcPr>
            <w:tcW w:type="dxa" w:w="23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区分度弱，未建立样本外能力</w:t>
            </w:r>
          </w:p>
        </w:tc>
      </w:tr>
      <w:tr>
        <w:trPr>
          <w:cantSplit/>
        </w:trPr>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事件→未来20日政策</w:t>
            </w:r>
          </w:p>
        </w:tc>
        <w:tc>
          <w:tcPr>
            <w:tcW w:type="dxa" w:w="1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59 / 11</w:t>
            </w:r>
          </w:p>
        </w:tc>
        <w:tc>
          <w:tcPr>
            <w:tcW w:type="dxa" w:w="10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0.588</w:t>
            </w:r>
          </w:p>
        </w:tc>
        <w:tc>
          <w:tcPr>
            <w:tcW w:type="dxa" w:w="1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模型Brier劣于空模型</w:t>
            </w:r>
          </w:p>
        </w:tc>
        <w:tc>
          <w:tcPr>
            <w:tcW w:type="dxa" w:w="23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正例少，不具备部署条件</w:t>
            </w:r>
          </w:p>
        </w:tc>
      </w:tr>
      <w:tr>
        <w:trPr>
          <w:cantSplit/>
        </w:trPr>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政策→此前20日现实事件</w:t>
            </w:r>
          </w:p>
        </w:tc>
        <w:tc>
          <w:tcPr>
            <w:tcW w:type="dxa" w:w="1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37 / 约有候选事件者</w:t>
            </w:r>
          </w:p>
        </w:tc>
        <w:tc>
          <w:tcPr>
            <w:tcW w:type="dxa" w:w="10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0.696</w:t>
            </w:r>
          </w:p>
        </w:tc>
        <w:tc>
          <w:tcPr>
            <w:tcW w:type="dxa" w:w="1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区间宽；置换p=0.065</w:t>
            </w:r>
          </w:p>
        </w:tc>
        <w:tc>
          <w:tcPr>
            <w:tcW w:type="dxa" w:w="23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仅提示性反查，不能确定具体事件</w:t>
            </w:r>
          </w:p>
        </w:tc>
      </w:tr>
    </w:tbl>
    <w:p>
      <w:pPr>
        <w:pStyle w:val="Heading1"/>
      </w:pPr>
      <w:r>
        <w:t>九、下一阶段建议</w:t>
      </w:r>
    </w:p>
    <w:p>
      <w:pPr>
        <w:pStyle w:val="ListBullet"/>
        <w:spacing w:after="160" w:line="280" w:lineRule="auto"/>
      </w:pPr>
      <w:r>
        <w:rPr>
          <w:rFonts w:ascii="Calibri" w:hAnsi="Calibri" w:eastAsia="Microsoft YaHei"/>
          <w:b w:val="0"/>
          <w:i w:val="0"/>
          <w:color w:val="222222"/>
          <w:sz w:val="21"/>
        </w:rPr>
        <w:t>完成现实事件和严重度编码的双人独立复核，报告一致率或Cohen's kappa。</w:t>
      </w:r>
    </w:p>
    <w:p>
      <w:pPr>
        <w:pStyle w:val="ListBullet"/>
        <w:spacing w:after="160" w:line="280" w:lineRule="auto"/>
      </w:pPr>
      <w:r>
        <w:rPr>
          <w:rFonts w:ascii="Calibri" w:hAnsi="Calibri" w:eastAsia="Microsoft YaHei"/>
          <w:b w:val="0"/>
          <w:i w:val="0"/>
          <w:color w:val="222222"/>
          <w:sz w:val="21"/>
        </w:rPr>
        <w:t>预注册因子、窗口、主要/次要结局和多重检验族，避免结果导向筛选。</w:t>
      </w:r>
    </w:p>
    <w:p>
      <w:pPr>
        <w:pStyle w:val="ListBullet"/>
        <w:spacing w:after="160" w:line="280" w:lineRule="auto"/>
      </w:pPr>
      <w:r>
        <w:rPr>
          <w:rFonts w:ascii="Calibri" w:hAnsi="Calibri" w:eastAsia="Microsoft YaHei"/>
          <w:b w:val="0"/>
          <w:i w:val="0"/>
          <w:color w:val="222222"/>
          <w:sz w:val="21"/>
        </w:rPr>
        <w:t>扩充AO、BU及更多品种，增加政策簇数量并做时间外、跨品种验证。</w:t>
      </w:r>
    </w:p>
    <w:p>
      <w:pPr>
        <w:pStyle w:val="ListBullet"/>
        <w:spacing w:after="160" w:line="280" w:lineRule="auto"/>
      </w:pPr>
      <w:r>
        <w:rPr>
          <w:rFonts w:ascii="Calibri" w:hAnsi="Calibri" w:eastAsia="Microsoft YaHei"/>
          <w:b w:val="0"/>
          <w:i w:val="0"/>
          <w:color w:val="222222"/>
          <w:sz w:val="21"/>
        </w:rPr>
        <w:t>将边界日频指标做非重叠窗口、稀有事件校准、概率校准曲线和决策曲线验证。</w:t>
      </w:r>
    </w:p>
    <w:p>
      <w:pPr>
        <w:pStyle w:val="ListBullet"/>
        <w:spacing w:after="160" w:line="280" w:lineRule="auto"/>
      </w:pPr>
      <w:r>
        <w:rPr>
          <w:rFonts w:ascii="Calibri" w:hAnsi="Calibri" w:eastAsia="Microsoft YaHei"/>
          <w:b w:val="0"/>
          <w:i w:val="0"/>
          <w:color w:val="222222"/>
          <w:sz w:val="21"/>
        </w:rPr>
        <w:t>只有当样本外AUC、Brier和校准同时优于基准，且置信区间稳定，才讨论业务预警阈值。</w:t>
      </w:r>
    </w:p>
    <w:p>
      <w:r>
        <w:br w:type="page"/>
      </w:r>
    </w:p>
    <w:p>
      <w:pPr>
        <w:pStyle w:val="Heading1"/>
      </w:pPr>
      <w:r>
        <w:t>附录A：Word结论—CSV证据逐项对应（25条）</w:t>
      </w:r>
    </w:p>
    <w:p>
      <w:pPr>
        <w:spacing w:after="120" w:line="264" w:lineRule="auto"/>
      </w:pPr>
      <w:r>
        <w:rPr>
          <w:rFonts w:ascii="Calibri" w:hAnsi="Calibri" w:eastAsia="Microsoft YaHei"/>
          <w:b w:val="0"/>
          <w:i w:val="0"/>
          <w:color w:val="222222"/>
          <w:sz w:val="21"/>
        </w:rPr>
        <w:t>本表用于汇报现场追问时快速定位；完整字段级内容和筛选条件保存在配套Excel。</w:t>
      </w:r>
    </w:p>
    <w:tbl>
      <w:tblPr>
        <w:tblStyle w:val="TableGrid"/>
        <w:tblW w:type="dxa" w:w="9360"/>
        <w:jc w:val="left"/>
        <w:tblLayout w:type="fixed"/>
        <w:tblLook w:firstColumn="1" w:firstRow="1" w:lastColumn="0" w:lastRow="0" w:noHBand="0" w:noVBand="1" w:val="04A0"/>
        <w:tblInd w:w="120" w:type="dxa"/>
      </w:tblPr>
      <w:tblGrid>
        <w:gridCol w:w="600"/>
        <w:gridCol w:w="1100"/>
        <w:gridCol w:w="2600"/>
        <w:gridCol w:w="2500"/>
        <w:gridCol w:w="1100"/>
        <w:gridCol w:w="1460"/>
      </w:tblGrid>
      <w:tr>
        <w:trPr>
          <w:tblHeader w:val="true"/>
          <w:cantSplit/>
        </w:trPr>
        <w:tc>
          <w:tcPr>
            <w:tcW w:type="dxa" w:w="60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ID</w:t>
            </w:r>
          </w:p>
        </w:tc>
        <w:tc>
          <w:tcPr>
            <w:tcW w:type="dxa" w:w="110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Word位置</w:t>
            </w:r>
          </w:p>
        </w:tc>
        <w:tc>
          <w:tcPr>
            <w:tcW w:type="dxa" w:w="260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结论</w:t>
            </w:r>
          </w:p>
        </w:tc>
        <w:tc>
          <w:tcPr>
            <w:tcW w:type="dxa" w:w="250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来源文件</w:t>
            </w:r>
          </w:p>
        </w:tc>
        <w:tc>
          <w:tcPr>
            <w:tcW w:type="dxa" w:w="110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核对状态</w:t>
            </w:r>
          </w:p>
        </w:tc>
        <w:tc>
          <w:tcPr>
            <w:tcW w:type="dxa" w:w="1460"/>
            <w:shd w:fill="17365D"/>
            <w:vAlign w:val="top"/>
            <w:tcMar>
              <w:top w:w="80" w:type="dxa"/>
              <w:start w:w="120" w:type="dxa"/>
              <w:bottom w:w="80" w:type="dxa"/>
              <w:end w:w="120" w:type="dxa"/>
            </w:tcMar>
          </w:tcPr>
          <w:p>
            <w:pPr>
              <w:spacing w:after="0"/>
            </w:pPr>
            <w:r>
              <w:rPr>
                <w:rFonts w:ascii="Calibri" w:hAnsi="Calibri" w:eastAsia="Microsoft YaHei"/>
                <w:b/>
                <w:i w:val="0"/>
                <w:color w:val="FFFFFF"/>
                <w:sz w:val="14"/>
              </w:rPr>
              <w:t>解释边界</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M01</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核心判断/P8、表1</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市场、现实事件、公告参数和窗口结果可追溯</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05_复现材料/analysis_manifest_v1.0.csv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可追溯不等于因果识别</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M02</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核心判断/P9、表6</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SN样本长于EC且政策簇更多</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03_论文主表_7张/Table1_sample_coverage.csv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样本长度差异会影响检验功效</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M03</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核心判断/P10、表10-R3</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SN事件后5日方向一致收益均值约0.51%，n=36</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03_论文主表_7张/Table4_primary_and_robustness_findings.csv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事件并非随机分配；报告关联与方向一致性</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M04</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表10-R4</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SN因子调整后5日方向收益均值0.00530，n=25</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03_论文主表_7张/Table4_primary_and_robustness_findings.csv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该组p值未做全局BH校正；同日信息时点仍有限制</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M05</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核心判断/P11、表11-R2</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SN非例行收紧后20日log成交量变化-0.232，n=14，约下降20.7%</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03_论文主表_7张/Table7_policy_cluster_wild_bootstrap.csv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显著前趋势存在，不解释为政策净因果</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M06</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表11-R3</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同一成交量结果经全部36规格BH校正后q=0.145</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03_论文主表_7张/Table7_policy_cluster_wild_bootstrap.csv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全局多重比较下不再显著</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M07</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表11-R4</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SN绝对收益、日内区间和持仓量多呈降温方向，但校正后较弱</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03_论文主表_7张/Table7_policy_cluster_wild_bootstrap.csv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属于辅助结果，不作为主结论</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M08</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表11-R5</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SN真实政策日的降温在同品种—年份伪日期中较少见</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02_EC_SN专题研究库/06_初步实证结果/notice_placebo_policy_date_tests_v0.1.csv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安慰剂不能消除政策内生性</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M09</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表9、表11-R6</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SN成交量在政策日前-9至-7日已下降</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02_EC_SN专题研究库/06_初步实证结果/notice_dynamic_regression_two_way_clustered_v0.1.csv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证明前趋势与内生时点，不证明交易所观察到相同信号</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M10</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核心判断/P12、表12-R2</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事件到未来10日异常AUC=0.608，Brier劣于空模型</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03_论文主表_7张/Table5_bidirectional_prediction_benchmarks.csv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未建立样本外预测能力</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M11</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核心判断/P12、表12-R3</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事件到未来20日政策AUC=0.588，Brier劣于空模型</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03_论文主表_7张/Table5_bidirectional_prediction_benchmarks.csv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正例仅11个；不具备风控部署条件</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M12</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核心判断/P12、表12-R4</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政策反推此前20日事件AUC=0.696，但置换p=0.065且区间宽</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03_论文主表_7张/Table5_bidirectional_prediction_benchmarks.csv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仅提示性，不可宣称能识别具体事件</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M13</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表2、表6</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EC/SN共3445个主力连续交易日</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03_论文主表_7张/Table1_sample_coverage.csv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主力连续序列存在合约切换问题</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M14</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表2、表6</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共59个现实事件：EC20、SN39</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03_论文主表_7张/Table1_sample_coverage.csv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第二位独立复核尚未完成</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M15</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表2、表6</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共37个核验政策簇：EC12、SN25</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03_论文主表_7张/Table1_sample_coverage.csv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政策簇数量有限</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M16</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P44、表2、表6</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37个政策簇中32个在前10日出现至少一种异常</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03_论文主表_7张/Table1_sample_coverage.csv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时序支持但不证明异常必然触发政策</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M17</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表10-R2</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59个事件中44个在后10日出现至少一种异常</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03_论文主表_7张/Table6_hypothesis_evidence_status.csv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高基础发生率不等于可预测</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M18</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P30</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52条优先公告中形成41条核验参数事件并合并为37个政策簇</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02_EC_SN专题研究库/01_数据/notice_episode_priority_source_verified_v0.1.csv | 02_EC_SN专题研究库/05_实…</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11条排除由52-41推得，应在最终人工复核表中明确排除理由</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M19</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表8-R5</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正式动态回归逐日估计相对事件日效应</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02_EC_SN专题研究库/06_初步实证结果/dynamic_event_regression_clustered_v0.1.csv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EC独立事件簇仅7个，功效较低</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M20</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表8-R6</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公告动态回归采用政策簇和日历日双向聚类</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02_EC_SN专题研究库/06_初步实证结果/notice_dynamic_regression_two_way_clustered_v0.1.csv</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重叠窗口和内生政策时点仍存在</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M21</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表8-R7</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安慰剂检验使用同品种—年份伪日期</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02_EC_SN专题研究库/06_初步实证结果/placebo_event_date_tests_v0.1.csv | notice_placebo_policy_date_te…</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EC公告安慰剂因历史过短未能生成有效重复</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M22</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表8-R8</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匹配DID因共同支持不足，不报告因果值</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02_EC_SN专题研究库/06_初步实证结果/notice_sn_state_match_balance_v0.1.csv | notice_sn_state_matched_…</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verified_with_caveat</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属于失败但需要保留的识别诊断</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M23</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表5-H1至H4、表13</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H1描述性支持、H2时序支持、H3部分支持、H4未建立</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03_论文主表_7张/Table6_hypothesis_evidence_status.csv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不得把时序证据改写为因果结论</w:t>
            </w:r>
          </w:p>
        </w:tc>
      </w:tr>
      <w:tr>
        <w:trPr>
          <w:cantSplit/>
        </w:trPr>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M24</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表7</w:t>
            </w:r>
          </w:p>
        </w:tc>
        <w:tc>
          <w:tcPr>
            <w:tcW w:type="dxa" w:w="2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AO/BU公告数量来自导师版工作簿而非CSV</w:t>
            </w:r>
          </w:p>
        </w:tc>
        <w:tc>
          <w:tcPr>
            <w:tcW w:type="dxa" w:w="25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06_AO_BU公告工作簿/AO_BU公告信息_发导师版_20260827.xlsx</w:t>
            </w:r>
          </w:p>
        </w:tc>
        <w:tc>
          <w:tcPr>
            <w:tcW w:type="dxa" w:w="11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verified_non_csv_source</w:t>
            </w:r>
          </w:p>
        </w:tc>
        <w:tc>
          <w:tcPr>
            <w:tcW w:type="dxa" w:w="14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AO核心62、关联62、参数事件行170；BU核心128、关联88、参数事件行292</w:t>
            </w:r>
          </w:p>
        </w:tc>
      </w:tr>
      <w:tr>
        <w:trPr>
          <w:cantSplit/>
        </w:trPr>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M25</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本轮新增因子复核</w:t>
            </w:r>
          </w:p>
        </w:tc>
        <w:tc>
          <w:tcPr>
            <w:tcW w:type="dxa" w:w="2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不显著因子不删除；同时报告p值、BH q值、样本与限制</w:t>
            </w:r>
          </w:p>
        </w:tc>
        <w:tc>
          <w:tcPr>
            <w:tcW w:type="dxa" w:w="25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08_证据核对与双语汇报/factor_significance_audit.csv</w:t>
            </w:r>
          </w:p>
        </w:tc>
        <w:tc>
          <w:tcPr>
            <w:tcW w:type="dxa" w:w="11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new_verified_analysis</w:t>
            </w:r>
          </w:p>
        </w:tc>
        <w:tc>
          <w:tcPr>
            <w:tcW w:type="dxa" w:w="14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4"/>
              </w:rPr>
              <w:t>探索性筛选不能替代外部验证</w:t>
            </w:r>
          </w:p>
        </w:tc>
      </w:tr>
    </w:tbl>
    <w:p>
      <w:r>
        <w:br w:type="page"/>
      </w:r>
    </w:p>
    <w:p>
      <w:pPr>
        <w:pStyle w:val="Heading1"/>
      </w:pPr>
      <w:r>
        <w:t>附录B：完整因子显著性审计（30项）</w:t>
      </w:r>
    </w:p>
    <w:p>
      <w:pPr>
        <w:spacing w:after="120" w:line="264" w:lineRule="auto"/>
      </w:pPr>
      <w:r>
        <w:rPr>
          <w:rFonts w:ascii="Calibri" w:hAnsi="Calibri" w:eastAsia="Microsoft YaHei"/>
          <w:b w:val="0"/>
          <w:i w:val="0"/>
          <w:color w:val="222222"/>
          <w:sz w:val="21"/>
        </w:rPr>
        <w:t>表中“未显著”不代表无作用；它表示在当前样本、模型和校正范围内证据不足。</w:t>
      </w:r>
    </w:p>
    <w:tbl>
      <w:tblPr>
        <w:tblStyle w:val="TableGrid"/>
        <w:tblW w:type="dxa" w:w="9360"/>
        <w:jc w:val="left"/>
        <w:tblLayout w:type="fixed"/>
        <w:tblLook w:firstColumn="1" w:firstRow="1" w:lastColumn="0" w:lastRow="0" w:noHBand="0" w:noVBand="1" w:val="04A0"/>
        <w:tblInd w:w="120" w:type="dxa"/>
      </w:tblPr>
      <w:tblGrid>
        <w:gridCol w:w="1250"/>
        <w:gridCol w:w="1250"/>
        <w:gridCol w:w="1150"/>
        <w:gridCol w:w="450"/>
        <w:gridCol w:w="650"/>
        <w:gridCol w:w="600"/>
        <w:gridCol w:w="650"/>
        <w:gridCol w:w="900"/>
        <w:gridCol w:w="1700"/>
        <w:gridCol w:w="760"/>
      </w:tblGrid>
      <w:tr>
        <w:trPr>
          <w:tblHeader w:val="true"/>
          <w:cantSplit/>
        </w:trPr>
        <w:tc>
          <w:tcPr>
            <w:tcW w:type="dxa" w:w="12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检验族</w:t>
            </w:r>
          </w:p>
        </w:tc>
        <w:tc>
          <w:tcPr>
            <w:tcW w:type="dxa" w:w="12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结果</w:t>
            </w:r>
          </w:p>
        </w:tc>
        <w:tc>
          <w:tcPr>
            <w:tcW w:type="dxa" w:w="11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因子</w:t>
            </w:r>
          </w:p>
        </w:tc>
        <w:tc>
          <w:tcPr>
            <w:tcW w:type="dxa" w:w="4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n</w:t>
            </w:r>
          </w:p>
        </w:tc>
        <w:tc>
          <w:tcPr>
            <w:tcW w:type="dxa" w:w="6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估计</w:t>
            </w:r>
          </w:p>
        </w:tc>
        <w:tc>
          <w:tcPr>
            <w:tcW w:type="dxa" w:w="60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p</w:t>
            </w:r>
          </w:p>
        </w:tc>
        <w:tc>
          <w:tcPr>
            <w:tcW w:type="dxa" w:w="65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BH q</w:t>
            </w:r>
          </w:p>
        </w:tc>
        <w:tc>
          <w:tcPr>
            <w:tcW w:type="dxa" w:w="90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状态</w:t>
            </w:r>
          </w:p>
        </w:tc>
        <w:tc>
          <w:tcPr>
            <w:tcW w:type="dxa" w:w="170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报告规则</w:t>
            </w:r>
          </w:p>
        </w:tc>
        <w:tc>
          <w:tcPr>
            <w:tcW w:type="dxa" w:w="760"/>
            <w:shd w:fill="17365D"/>
            <w:vAlign w:val="top"/>
            <w:tcMar>
              <w:top w:w="80" w:type="dxa"/>
              <w:start w:w="120" w:type="dxa"/>
              <w:bottom w:w="80" w:type="dxa"/>
              <w:end w:w="120" w:type="dxa"/>
            </w:tcMar>
          </w:tcPr>
          <w:p>
            <w:pPr>
              <w:spacing w:after="0"/>
            </w:pPr>
            <w:r>
              <w:rPr>
                <w:rFonts w:ascii="Calibri" w:hAnsi="Calibri" w:eastAsia="Microsoft YaHei"/>
                <w:b/>
                <w:i w:val="0"/>
                <w:color w:val="FFFFFF"/>
                <w:sz w:val="13"/>
              </w:rPr>
              <w:t>识别限制</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market_common_factors</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EC日收益率</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美元广义指数对数变化</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684</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0.0606</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0.9331</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0.9331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market_common_factors</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EC日收益率</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Brent原油对数变化</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684</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0.1306</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0.1036</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0.2072</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market_common_factors</w:t>
            </w:r>
          </w:p>
        </w:tc>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SN日收益率</w:t>
            </w:r>
          </w:p>
        </w:tc>
        <w:tc>
          <w:tcPr>
            <w:tcW w:type="dxa" w:w="11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美元广义指数对数变化</w:t>
            </w:r>
          </w:p>
        </w:tc>
        <w:tc>
          <w:tcPr>
            <w:tcW w:type="dxa" w:w="4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2651</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-0.3609</w:t>
            </w:r>
          </w:p>
        </w:tc>
        <w:tc>
          <w:tcPr>
            <w:tcW w:type="dxa" w:w="6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0.0003</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0.0011</w:t>
            </w:r>
          </w:p>
        </w:tc>
        <w:tc>
          <w:tcPr>
            <w:tcW w:type="dxa" w:w="9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BH_q&lt;0.05</w:t>
            </w:r>
          </w:p>
        </w:tc>
        <w:tc>
          <w:tcPr>
            <w:tcW w:type="dxa" w:w="17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可作为经本检验族校正后仍显著的候选因子；仍需外部样本验证</w:t>
            </w:r>
          </w:p>
        </w:tc>
        <w:tc>
          <w:tcPr>
            <w:tcW w:type="dxa" w:w="76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market_common_factors</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SN日收益率</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Brent原油对数变化</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2651</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0.0026</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0.8228</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0.9331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event_attributes_to_y_ano…</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事件后10日是否出现异常</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事件严重度预编码</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0.2993</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0.4856</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0.4856</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候选因子；严重度仍为预编码，须经第二位复核者确认</w:t>
            </w:r>
          </w:p>
        </w:tc>
      </w:tr>
      <w:tr>
        <w:trPr>
          <w:cantSplit/>
        </w:trPr>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event_attributes_to_y_ano…</w:t>
            </w:r>
          </w:p>
        </w:tc>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事件后10日是否出现异常</w:t>
            </w:r>
          </w:p>
        </w:tc>
        <w:tc>
          <w:tcPr>
            <w:tcW w:type="dxa" w:w="11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w:t>
            </w:r>
          </w:p>
        </w:tc>
        <w:tc>
          <w:tcPr>
            <w:tcW w:type="dxa" w:w="4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0.0940</w:t>
            </w:r>
          </w:p>
        </w:tc>
        <w:tc>
          <w:tcPr>
            <w:tcW w:type="dxa" w:w="6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0.0112</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0.0169</w:t>
            </w:r>
          </w:p>
        </w:tc>
        <w:tc>
          <w:tcPr>
            <w:tcW w:type="dxa" w:w="9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BH_q&lt;0.05</w:t>
            </w:r>
          </w:p>
        </w:tc>
        <w:tc>
          <w:tcPr>
            <w:tcW w:type="dxa" w:w="17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可作为经本检验族校正后仍显著的候选因子；仍需外部样本验证</w:t>
            </w:r>
          </w:p>
        </w:tc>
        <w:tc>
          <w:tcPr>
            <w:tcW w:type="dxa" w:w="76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品种差异是样本设计差异，不是可操作的风险触发因子</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event_attributes_to_y_ano…</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事件后10日是否出现异常</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现实事件类型</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event_attributes_to_y_ano…</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事件后10日是否出现异常</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事前预期方向</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event_attributes_to_y_ano…</w:t>
            </w:r>
          </w:p>
        </w:tc>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事件后10日是否出现异常</w:t>
            </w:r>
          </w:p>
        </w:tc>
        <w:tc>
          <w:tcPr>
            <w:tcW w:type="dxa" w:w="11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来源等级</w:t>
            </w:r>
          </w:p>
        </w:tc>
        <w:tc>
          <w:tcPr>
            <w:tcW w:type="dxa" w:w="4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0.0940</w:t>
            </w:r>
          </w:p>
        </w:tc>
        <w:tc>
          <w:tcPr>
            <w:tcW w:type="dxa" w:w="6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0.0112</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0.0169</w:t>
            </w:r>
          </w:p>
        </w:tc>
        <w:tc>
          <w:tcPr>
            <w:tcW w:type="dxa" w:w="9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BH_q&lt;0.05</w:t>
            </w:r>
          </w:p>
        </w:tc>
        <w:tc>
          <w:tcPr>
            <w:tcW w:type="dxa" w:w="17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可作为经本检验族校正后仍显著的候选因子；仍需外部样本验证</w:t>
            </w:r>
          </w:p>
        </w:tc>
        <w:tc>
          <w:tcPr>
            <w:tcW w:type="dxa" w:w="76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来源等级与品种完全一一对应，不能识别为独立因子</w:t>
            </w:r>
          </w:p>
        </w:tc>
      </w:tr>
      <w:tr>
        <w:trPr>
          <w:cantSplit/>
        </w:trPr>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event_attributes_to_y_pol…</w:t>
            </w:r>
          </w:p>
        </w:tc>
        <w:tc>
          <w:tcPr>
            <w:tcW w:type="dxa" w:w="12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事件后20日是否出现政策调整</w:t>
            </w:r>
          </w:p>
        </w:tc>
        <w:tc>
          <w:tcPr>
            <w:tcW w:type="dxa" w:w="11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事件严重度预编码</w:t>
            </w:r>
          </w:p>
        </w:tc>
        <w:tc>
          <w:tcPr>
            <w:tcW w:type="dxa" w:w="4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1.2202</w:t>
            </w:r>
          </w:p>
        </w:tc>
        <w:tc>
          <w:tcPr>
            <w:tcW w:type="dxa" w:w="6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0.0130</w:t>
            </w:r>
          </w:p>
        </w:tc>
        <w:tc>
          <w:tcPr>
            <w:tcW w:type="dxa" w:w="65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0.0391</w:t>
            </w:r>
          </w:p>
        </w:tc>
        <w:tc>
          <w:tcPr>
            <w:tcW w:type="dxa" w:w="9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BH_q&lt;0.05</w:t>
            </w:r>
          </w:p>
        </w:tc>
        <w:tc>
          <w:tcPr>
            <w:tcW w:type="dxa" w:w="170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可作为经本检验族校正后仍显著的候选因子；仍需外部样本验证</w:t>
            </w:r>
          </w:p>
        </w:tc>
        <w:tc>
          <w:tcPr>
            <w:tcW w:type="dxa" w:w="760"/>
            <w:shd w:fill="E2F0D9"/>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候选因子；严重度仍为预编码，须经第二位复核者确认</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event_attributes_to_y_pol…</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事件后20日是否出现政策调整</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0.5455</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0.4831</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0.4831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品种差异是样本设计差异，不是可操作的风险触发因子</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event_attributes_to_y_pol…</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事件后20日是否出现政策调整</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现实事件类型</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event_attributes_to_y_pol…</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事件后20日是否出现政策调整</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事前预期方向</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event_attributes_to_y_pol…</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事件后20日是否出现政策调整</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来源等级</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59</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0.5455</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0.4831</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0.4831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来源等级与品种完全一一对应，不能识别为独立因子</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公告前10日绝对收益z值</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36</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0.6016</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0.2955</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公告前10日日内区间z值</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36</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0.4791</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0.3662</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公告前10日成交量z值</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36</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-0.8244</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0.2919</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公告前10日持仓变化z值</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36</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2.2976</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0.0695</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公告前10日平均异常数</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1.0634</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0.3644</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公告前10日最大异常数</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0.2811</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0.4706</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0.4701</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品种差异是样本设计差异，不是可操作的风险触发因子</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公告调整方向</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公告参数类型</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类别过稀疏，不提供推断性p值，仅作描述</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policy_and_prestate_to_pr…</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政策前20日是否存在现实事件</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例行/节假日属性</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37</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0.0000</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0.5165</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0.5521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可检验，但仍受当前样本和模型设定限制</w:t>
            </w:r>
          </w:p>
        </w:tc>
      </w:tr>
      <w:tr>
        <w:trPr>
          <w:cantSplit/>
        </w:trPr>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过去10日绝对收益最大|z|</w:t>
            </w:r>
          </w:p>
        </w:tc>
        <w:tc>
          <w:tcPr>
            <w:tcW w:type="dxa" w:w="4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3395</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0.1598</w:t>
            </w:r>
          </w:p>
        </w:tc>
        <w:tc>
          <w:tcPr>
            <w:tcW w:type="dxa" w:w="6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0.0193</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0.0578</w:t>
            </w:r>
          </w:p>
        </w:tc>
        <w:tc>
          <w:tcPr>
            <w:tcW w:type="dxa" w:w="9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仅原始p值显著；多重校正后不稳定，保留并如实解释</w:t>
            </w:r>
          </w:p>
        </w:tc>
        <w:tc>
          <w:tcPr>
            <w:tcW w:type="dxa" w:w="7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r>
        <w:trPr>
          <w:cantSplit/>
        </w:trPr>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过去10日日内区间最大|z|</w:t>
            </w:r>
          </w:p>
        </w:tc>
        <w:tc>
          <w:tcPr>
            <w:tcW w:type="dxa" w:w="4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3397</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0.1071</w:t>
            </w:r>
          </w:p>
        </w:tc>
        <w:tc>
          <w:tcPr>
            <w:tcW w:type="dxa" w:w="6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0.0301</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0.0584</w:t>
            </w:r>
          </w:p>
        </w:tc>
        <w:tc>
          <w:tcPr>
            <w:tcW w:type="dxa" w:w="9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仅原始p值显著；多重校正后不稳定，保留并如实解释</w:t>
            </w:r>
          </w:p>
        </w:tc>
        <w:tc>
          <w:tcPr>
            <w:tcW w:type="dxa" w:w="7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r>
        <w:trPr>
          <w:cantSplit/>
        </w:trPr>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过去10日成交量最大|z|</w:t>
            </w:r>
          </w:p>
        </w:tc>
        <w:tc>
          <w:tcPr>
            <w:tcW w:type="dxa" w:w="4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3397</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0.1260</w:t>
            </w:r>
          </w:p>
        </w:tc>
        <w:tc>
          <w:tcPr>
            <w:tcW w:type="dxa" w:w="6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0.2978</w:t>
            </w:r>
          </w:p>
        </w:tc>
        <w:tc>
          <w:tcPr>
            <w:tcW w:type="dxa" w:w="65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0.3574</w:t>
            </w:r>
          </w:p>
        </w:tc>
        <w:tc>
          <w:tcPr>
            <w:tcW w:type="dxa" w:w="9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r>
        <w:trPr>
          <w:cantSplit/>
        </w:trPr>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过去10日持仓变化最大|z|</w:t>
            </w:r>
          </w:p>
        </w:tc>
        <w:tc>
          <w:tcPr>
            <w:tcW w:type="dxa" w:w="4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3395</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0.0200</w:t>
            </w:r>
          </w:p>
        </w:tc>
        <w:tc>
          <w:tcPr>
            <w:tcW w:type="dxa" w:w="6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0.8231</w:t>
            </w:r>
          </w:p>
        </w:tc>
        <w:tc>
          <w:tcPr>
            <w:tcW w:type="dxa" w:w="65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0.8231</w:t>
            </w:r>
          </w:p>
        </w:tc>
        <w:tc>
          <w:tcPr>
            <w:tcW w:type="dxa" w:w="9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未显著；保留为理论相关或待扩样本检验，不删除</w:t>
            </w:r>
          </w:p>
        </w:tc>
        <w:tc>
          <w:tcPr>
            <w:tcW w:type="dxa" w:w="7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r>
        <w:trPr>
          <w:cantSplit/>
        </w:trPr>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过去10日异常天数</w:t>
            </w:r>
          </w:p>
        </w:tc>
        <w:tc>
          <w:tcPr>
            <w:tcW w:type="dxa" w:w="4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3437</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0.1176</w:t>
            </w:r>
          </w:p>
        </w:tc>
        <w:tc>
          <w:tcPr>
            <w:tcW w:type="dxa" w:w="6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0.0389</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0.0584</w:t>
            </w:r>
          </w:p>
        </w:tc>
        <w:tc>
          <w:tcPr>
            <w:tcW w:type="dxa" w:w="9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仅原始p值显著；多重校正后不稳定，保留并如实解释</w:t>
            </w:r>
          </w:p>
        </w:tc>
        <w:tc>
          <w:tcPr>
            <w:tcW w:type="dxa" w:w="7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r>
        <w:trPr>
          <w:cantSplit/>
        </w:trPr>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prospective_daily_policy_…</w:t>
            </w:r>
          </w:p>
        </w:tc>
        <w:tc>
          <w:tcPr>
            <w:tcW w:type="dxa" w:w="12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未来10日是否出现政策调整</w:t>
            </w:r>
          </w:p>
        </w:tc>
        <w:tc>
          <w:tcPr>
            <w:tcW w:type="dxa" w:w="11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过去10日平均综合异常数</w:t>
            </w:r>
          </w:p>
        </w:tc>
        <w:tc>
          <w:tcPr>
            <w:tcW w:type="dxa" w:w="4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3437</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0.6738</w:t>
            </w:r>
          </w:p>
        </w:tc>
        <w:tc>
          <w:tcPr>
            <w:tcW w:type="dxa" w:w="6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0.0092</w:t>
            </w:r>
          </w:p>
        </w:tc>
        <w:tc>
          <w:tcPr>
            <w:tcW w:type="dxa" w:w="65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0.0552</w:t>
            </w:r>
          </w:p>
        </w:tc>
        <w:tc>
          <w:tcPr>
            <w:tcW w:type="dxa" w:w="9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not_BH_significant</w:t>
            </w:r>
          </w:p>
        </w:tc>
        <w:tc>
          <w:tcPr>
            <w:tcW w:type="dxa" w:w="170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仅原始p值显著；多重校正后不稳定，保留并如实解释</w:t>
            </w:r>
          </w:p>
        </w:tc>
        <w:tc>
          <w:tcPr>
            <w:tcW w:type="dxa" w:w="760"/>
            <w:shd w:fill="FFF2CC"/>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3"/>
              </w:rPr>
              <w:t>探索性提前指标；日度标签重叠且政策年度簇有限，不能直接用于预警</w:t>
            </w:r>
          </w:p>
        </w:tc>
      </w:tr>
    </w:tbl>
    <w:p>
      <w:pPr>
        <w:pStyle w:val="Heading1"/>
      </w:pPr>
      <w:r>
        <w:t>附录C：文件使用说明</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cantSplit/>
        </w:trPr>
        <w:tc>
          <w:tcPr>
            <w:tcW w:type="dxa" w:w="430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文件</w:t>
            </w:r>
          </w:p>
        </w:tc>
        <w:tc>
          <w:tcPr>
            <w:tcW w:type="dxa" w:w="5060"/>
            <w:shd w:fill="17365D"/>
            <w:vAlign w:val="top"/>
            <w:tcMar>
              <w:top w:w="80" w:type="dxa"/>
              <w:start w:w="120" w:type="dxa"/>
              <w:bottom w:w="80" w:type="dxa"/>
              <w:end w:w="120" w:type="dxa"/>
            </w:tcMar>
          </w:tcPr>
          <w:p>
            <w:pPr>
              <w:spacing w:after="0"/>
            </w:pPr>
            <w:r>
              <w:rPr>
                <w:rFonts w:ascii="Calibri" w:hAnsi="Calibri" w:eastAsia="Microsoft YaHei"/>
                <w:b/>
                <w:i w:val="0"/>
                <w:color w:val="FFFFFF"/>
                <w:sz w:val="17"/>
              </w:rPr>
              <w:t>用途</w:t>
            </w:r>
          </w:p>
        </w:tc>
      </w:tr>
      <w:tr>
        <w:trPr>
          <w:cantSplit/>
        </w:trPr>
        <w:tc>
          <w:tcPr>
            <w:tcW w:type="dxa" w:w="4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SHFE公告事件研究_8月工作内容汇报_证据对应与双语修订版_20260902.docx</w:t>
            </w:r>
          </w:p>
        </w:tc>
        <w:tc>
          <w:tcPr>
            <w:tcW w:type="dxa" w:w="5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导师阅读版：结论、方法、限制、代表性双向案例及附录审计。</w:t>
            </w:r>
          </w:p>
        </w:tc>
      </w:tr>
      <w:tr>
        <w:trPr>
          <w:cantSplit/>
        </w:trPr>
        <w:tc>
          <w:tcPr>
            <w:tcW w:type="dxa" w:w="430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SHFE公告事件研究_Word-CSV证据映射与双语结果表_20260902.xlsx</w:t>
            </w:r>
          </w:p>
        </w:tc>
        <w:tc>
          <w:tcPr>
            <w:tcW w:type="dxa" w:w="5060"/>
            <w:shd w:fill="FFFFFF"/>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完整底稿：25条映射、30项因子、59条事件、37个政策簇、方法矩阵和82个CSV清单。</w:t>
            </w:r>
          </w:p>
        </w:tc>
      </w:tr>
      <w:tr>
        <w:trPr>
          <w:cantSplit/>
        </w:trPr>
        <w:tc>
          <w:tcPr>
            <w:tcW w:type="dxa" w:w="430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原始8月Word</w:t>
            </w:r>
          </w:p>
        </w:tc>
        <w:tc>
          <w:tcPr>
            <w:tcW w:type="dxa" w:w="5060"/>
            <w:shd w:fill="EEF5FB"/>
            <w:vAlign w:val="top"/>
            <w:tcMar>
              <w:top w:w="80" w:type="dxa"/>
              <w:start w:w="120" w:type="dxa"/>
              <w:bottom w:w="80" w:type="dxa"/>
              <w:end w:w="120" w:type="dxa"/>
            </w:tcMar>
          </w:tcPr>
          <w:p>
            <w:pPr>
              <w:spacing w:after="0" w:line="240" w:lineRule="auto"/>
            </w:pPr>
            <w:r>
              <w:rPr>
                <w:rFonts w:ascii="Calibri" w:hAnsi="Calibri" w:eastAsia="Microsoft YaHei"/>
                <w:b w:val="0"/>
                <w:i w:val="0"/>
                <w:color w:val="222222"/>
                <w:sz w:val="17"/>
              </w:rPr>
              <w:t>保留为历史版本，不覆盖；修订稿对其结论进行了证据校准与措辞收敛。</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777777"/>
        <w:sz w:val="17"/>
      </w:rPr>
      <w:t xml:space="preserve">内部汇报材料  ·  2026-09-02  ·  第 </w:t>
    </w:r>
    <w:fldSimple w:instr="PAGE"/>
    <w:r>
      <w:rPr>
        <w:rFonts w:ascii="Calibri" w:hAnsi="Calibri" w:eastAsia="Microsoft YaHei"/>
        <w:b w:val="0"/>
        <w:i w:val="0"/>
        <w:color w:val="777777"/>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666666"/>
        <w:sz w:val="18"/>
      </w:rPr>
      <w:t>SHFE公告事件研究｜阶段成果复核稿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SHFE公告事件研究：证据对应与双语修订版</dc:title>
  <dc:subject>Word—CSV证据核对、因子复核、双语结果与方法边界</dc:subject>
  <dc:creator>蒋璐阳研究项目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