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B85FC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pacing w:val="10"/>
          <w:sz w:val="36"/>
          <w:szCs w:val="36"/>
        </w:rPr>
        <w:t>孙权劝学</w:t>
      </w:r>
    </w:p>
    <w:p w14:paraId="715E4D78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888888"/>
          <w:spacing w:val="10"/>
          <w:sz w:val="24"/>
          <w:szCs w:val="24"/>
        </w:rPr>
        <w:t>宋·司马光</w:t>
      </w:r>
    </w:p>
    <w:p w14:paraId="3599AB0B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pacing w:val="10"/>
          <w:sz w:val="24"/>
          <w:szCs w:val="24"/>
        </w:rPr>
        <w:t>初，权谓吕蒙曰：“卿今当涂掌事，不可不学！”蒙辞以军中多务。权曰：“孤岂欲卿治经为博士邪！但当涉猎，见往事耳。卿言多务，孰若孤？孤常读书，自以为大有所益。”蒙乃始就学。及鲁肃过寻阳，与蒙论议，大惊曰：“卿今者才略，非复吴下阿蒙！”蒙曰：“士别三日，即更刮目相待，大兄何见事之晚乎！”肃遂拜蒙母，结友而别。</w:t>
      </w:r>
    </w:p>
    <w:p w14:paraId="702D89B1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>6．解释下列加点的词。</w:t>
      </w:r>
    </w:p>
    <w:p w14:paraId="23FB0ED6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>(1)见</w:t>
      </w:r>
      <w:r>
        <w:rPr>
          <w:rFonts w:hint="eastAsia"/>
          <w:color w:val="000000"/>
          <w:spacing w:val="10"/>
          <w:sz w:val="24"/>
          <w:szCs w:val="24"/>
          <w:em w:val="dot"/>
        </w:rPr>
        <w:t>往事</w:t>
      </w:r>
      <w:r>
        <w:rPr>
          <w:rFonts w:hint="eastAsia"/>
          <w:color w:val="000000"/>
          <w:spacing w:val="10"/>
          <w:sz w:val="24"/>
          <w:szCs w:val="24"/>
        </w:rPr>
        <w:t>耳_____(2)即</w:t>
      </w:r>
      <w:r>
        <w:rPr>
          <w:rFonts w:hint="eastAsia"/>
          <w:color w:val="000000"/>
          <w:spacing w:val="10"/>
          <w:sz w:val="24"/>
          <w:szCs w:val="24"/>
          <w:em w:val="dot"/>
        </w:rPr>
        <w:t>更</w:t>
      </w:r>
      <w:r>
        <w:rPr>
          <w:rFonts w:hint="eastAsia"/>
          <w:color w:val="000000"/>
          <w:spacing w:val="10"/>
          <w:sz w:val="24"/>
          <w:szCs w:val="24"/>
        </w:rPr>
        <w:t>刮目相待______(3)及鲁肃</w:t>
      </w:r>
      <w:r>
        <w:rPr>
          <w:rFonts w:hint="eastAsia"/>
          <w:color w:val="000000"/>
          <w:spacing w:val="10"/>
          <w:sz w:val="24"/>
          <w:szCs w:val="24"/>
          <w:em w:val="dot"/>
        </w:rPr>
        <w:t>过</w:t>
      </w:r>
      <w:r>
        <w:rPr>
          <w:rFonts w:hint="eastAsia"/>
          <w:color w:val="000000"/>
          <w:spacing w:val="10"/>
          <w:sz w:val="24"/>
          <w:szCs w:val="24"/>
        </w:rPr>
        <w:t xml:space="preserve">寻阳____             </w:t>
      </w:r>
    </w:p>
    <w:p w14:paraId="016FEC44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>7．用现代汉语翻译下列句子。</w:t>
      </w:r>
    </w:p>
    <w:p w14:paraId="00F8A233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>(1)孤岂欲卿治经为博士邪！_______________________________</w:t>
      </w:r>
    </w:p>
    <w:p w14:paraId="6FD6B3A6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>(2)但当涉猎，见往事耳。________________________________</w:t>
      </w:r>
    </w:p>
    <w:p w14:paraId="3BA00784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>8．鲁肃为什么主动与吕蒙“结友”？</w:t>
      </w:r>
    </w:p>
    <w:p w14:paraId="07B9DAC1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</w:p>
    <w:p w14:paraId="34AD9317">
      <w:pPr>
        <w:pStyle w:val="2"/>
        <w:keepNext w:val="0"/>
        <w:keepLines w:val="0"/>
        <w:widowControl/>
        <w:suppressLineNumbers w:val="0"/>
        <w:spacing w:line="360" w:lineRule="auto"/>
        <w:ind w:left="150" w:right="150" w:firstLine="448"/>
        <w:jc w:val="both"/>
        <w:rPr>
          <w:rFonts w:hint="eastAsia"/>
          <w:color w:val="000000"/>
          <w:spacing w:val="10"/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>9．文中侧面写吕蒙的句子是哪一句？表现了吕蒙的什么变化？</w:t>
      </w:r>
    </w:p>
    <w:p w14:paraId="4CFE867E">
      <w:pPr>
        <w:pStyle w:val="2"/>
        <w:keepNext w:val="0"/>
        <w:keepLines w:val="0"/>
        <w:widowControl/>
        <w:suppressLineNumbers w:val="0"/>
        <w:spacing w:line="360" w:lineRule="auto"/>
        <w:ind w:right="150"/>
        <w:jc w:val="both"/>
        <w:rPr>
          <w:sz w:val="24"/>
          <w:szCs w:val="24"/>
        </w:rPr>
      </w:pPr>
      <w:r>
        <w:rPr>
          <w:rFonts w:hint="eastAsia"/>
          <w:color w:val="000000"/>
          <w:spacing w:val="10"/>
          <w:sz w:val="24"/>
          <w:szCs w:val="24"/>
        </w:rPr>
        <w:t xml:space="preserve">               </w:t>
      </w:r>
    </w:p>
    <w:p w14:paraId="1C92A6F3">
      <w:pPr>
        <w:pStyle w:val="2"/>
        <w:keepNext w:val="0"/>
        <w:keepLines w:val="0"/>
        <w:widowControl/>
        <w:suppressLineNumbers w:val="0"/>
        <w:ind w:left="160" w:right="160"/>
        <w:jc w:val="center"/>
        <w:rPr>
          <w:rStyle w:val="5"/>
          <w:rFonts w:ascii="汉仪旗黑-55简" w:hAnsi="汉仪旗黑-55简" w:eastAsia="汉仪旗黑-55简" w:cs="汉仪旗黑-55简"/>
          <w:color w:val="494DED"/>
          <w:spacing w:val="6"/>
          <w:sz w:val="16"/>
          <w:szCs w:val="16"/>
        </w:rPr>
      </w:pPr>
    </w:p>
    <w:p w14:paraId="036FFC6B">
      <w:pPr>
        <w:pStyle w:val="2"/>
        <w:keepNext w:val="0"/>
        <w:keepLines w:val="0"/>
        <w:widowControl/>
        <w:suppressLineNumbers w:val="0"/>
        <w:ind w:left="160" w:right="160"/>
        <w:jc w:val="center"/>
        <w:rPr>
          <w:rFonts w:hint="eastAsia" w:ascii="宋体" w:hAnsi="宋体" w:eastAsia="宋体" w:cs="宋体"/>
          <w:b/>
          <w:bCs/>
          <w:spacing w:val="6"/>
          <w:sz w:val="36"/>
          <w:szCs w:val="36"/>
        </w:rPr>
      </w:pPr>
    </w:p>
    <w:p w14:paraId="5183AF62">
      <w:pPr>
        <w:pStyle w:val="2"/>
        <w:keepNext w:val="0"/>
        <w:keepLines w:val="0"/>
        <w:widowControl/>
        <w:suppressLineNumbers w:val="0"/>
        <w:ind w:left="160" w:right="160"/>
        <w:jc w:val="center"/>
        <w:rPr>
          <w:rFonts w:hint="eastAsia" w:ascii="宋体" w:hAnsi="宋体" w:eastAsia="宋体" w:cs="宋体"/>
          <w:b/>
          <w:bCs/>
          <w:spacing w:val="6"/>
          <w:sz w:val="36"/>
          <w:szCs w:val="36"/>
        </w:rPr>
      </w:pPr>
    </w:p>
    <w:p w14:paraId="58EB43E6">
      <w:pPr>
        <w:pStyle w:val="2"/>
        <w:keepNext w:val="0"/>
        <w:keepLines w:val="0"/>
        <w:widowControl/>
        <w:suppressLineNumbers w:val="0"/>
        <w:ind w:left="160" w:right="160"/>
        <w:jc w:val="center"/>
        <w:rPr>
          <w:rFonts w:hint="eastAsia" w:ascii="宋体" w:hAnsi="宋体" w:eastAsia="宋体" w:cs="宋体"/>
          <w:b/>
          <w:bCs/>
          <w:spacing w:val="6"/>
          <w:sz w:val="36"/>
          <w:szCs w:val="36"/>
        </w:rPr>
      </w:pPr>
    </w:p>
    <w:p w14:paraId="15DC122E">
      <w:pPr>
        <w:pStyle w:val="2"/>
        <w:keepNext w:val="0"/>
        <w:keepLines w:val="0"/>
        <w:widowControl/>
        <w:suppressLineNumbers w:val="0"/>
        <w:ind w:left="160" w:right="160"/>
        <w:jc w:val="center"/>
        <w:rPr>
          <w:rFonts w:hint="eastAsia" w:ascii="宋体" w:hAnsi="宋体" w:eastAsia="宋体" w:cs="宋体"/>
          <w:spacing w:val="6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6"/>
          <w:sz w:val="36"/>
          <w:szCs w:val="36"/>
        </w:rPr>
        <w:t>卖油翁</w:t>
      </w:r>
    </w:p>
    <w:p w14:paraId="3152A219">
      <w:pPr>
        <w:pStyle w:val="2"/>
        <w:keepNext w:val="0"/>
        <w:keepLines w:val="0"/>
        <w:widowControl/>
        <w:suppressLineNumbers w:val="0"/>
        <w:ind w:left="160" w:right="160"/>
        <w:jc w:val="center"/>
        <w:rPr>
          <w:rFonts w:hint="eastAsia" w:ascii="宋体" w:hAnsi="宋体" w:eastAsia="宋体" w:cs="宋体"/>
          <w:color w:val="000000" w:themeColor="text1"/>
          <w:spacing w:val="6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pacing w:val="6"/>
          <w:sz w:val="24"/>
          <w:szCs w:val="24"/>
        </w:rPr>
        <w:t>宋·欧阳修</w:t>
      </w:r>
    </w:p>
    <w:p w14:paraId="6D6AED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9" w:right="159" w:firstLine="504" w:firstLineChars="200"/>
        <w:textAlignment w:val="auto"/>
        <w:rPr>
          <w:rFonts w:hint="eastAsia" w:ascii="宋体" w:hAnsi="宋体" w:eastAsia="宋体" w:cs="宋体"/>
          <w:spacing w:val="6"/>
          <w:sz w:val="24"/>
          <w:szCs w:val="24"/>
        </w:rPr>
      </w:pPr>
      <w:r>
        <w:rPr>
          <w:rFonts w:hint="eastAsia" w:ascii="宋体" w:hAnsi="宋体" w:eastAsia="宋体" w:cs="宋体"/>
          <w:spacing w:val="6"/>
          <w:sz w:val="24"/>
          <w:szCs w:val="24"/>
        </w:rPr>
        <w:t>陈康肃公善射，当世无双，公亦以此自矜。尝射于家圃，有卖油翁释担而立，睨之久而不去。见其发矢十中八九，但微颔之。</w:t>
      </w:r>
    </w:p>
    <w:p w14:paraId="404122C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9" w:right="159" w:firstLine="504" w:firstLineChars="200"/>
        <w:textAlignment w:val="auto"/>
        <w:rPr>
          <w:rFonts w:hint="eastAsia" w:ascii="宋体" w:hAnsi="宋体" w:eastAsia="宋体" w:cs="宋体"/>
          <w:spacing w:val="6"/>
          <w:sz w:val="24"/>
          <w:szCs w:val="24"/>
        </w:rPr>
      </w:pPr>
      <w:r>
        <w:rPr>
          <w:rFonts w:hint="eastAsia" w:ascii="宋体" w:hAnsi="宋体" w:eastAsia="宋体" w:cs="宋体"/>
          <w:spacing w:val="6"/>
          <w:sz w:val="24"/>
          <w:szCs w:val="24"/>
        </w:rPr>
        <w:t>康肃问曰：”汝亦知射乎？吾射不亦精乎？”翁曰：”无他，但手熟尔。”康肃忿然曰：”尔安敢轻吾射！”翁曰：”以我酌油知之。”乃取一葫芦置于地，以钱覆其口，徐以杓酌油沥之，自钱孔入，而钱不湿。因曰：”我亦无他，惟手熟尔。”康肃笑而遣之。</w:t>
      </w:r>
    </w:p>
    <w:p w14:paraId="57A2257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解释下列句中加点的词语。</w:t>
      </w:r>
    </w:p>
    <w:p w14:paraId="6BD1D52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u w:val="single"/>
          <w:em w:val="dot"/>
          <w:lang w:val="en-US" w:eastAsia="zh-CN" w:bidi="ar"/>
        </w:rPr>
        <w:t>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担而立：__________(2)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em w:val="dot"/>
          <w:lang w:val="en-US" w:eastAsia="zh-CN" w:bidi="ar"/>
        </w:rPr>
        <w:t>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之久而不去：_______(3)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但手</w:t>
      </w:r>
      <w:r>
        <w:rPr>
          <w:rFonts w:hint="eastAsia" w:ascii="宋体" w:hAnsi="宋体" w:eastAsia="宋体" w:cs="宋体"/>
          <w:kern w:val="0"/>
          <w:sz w:val="24"/>
          <w:szCs w:val="24"/>
          <w:u w:val="single"/>
          <w:em w:val="dot"/>
          <w:lang w:val="en-US" w:eastAsia="zh-CN" w:bidi="ar"/>
        </w:rPr>
        <w:t>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尔：________</w:t>
      </w:r>
    </w:p>
    <w:p w14:paraId="19F953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B65B7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用现代汉语翻译下面句子。</w:t>
      </w:r>
    </w:p>
    <w:p w14:paraId="0A23BC1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以钱覆其口，徐以杓酌油沥之，自钱孔入，而钱不湿。</w:t>
      </w:r>
    </w:p>
    <w:p w14:paraId="11A6044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1EDED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E79D5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文中哪些语句表现了卖油翁对陈尧咨箭术的态度？哪些语句表现了陈尧咨的傲慢无礼？</w:t>
      </w:r>
    </w:p>
    <w:p w14:paraId="39E55F6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D4DFEB">
      <w:pPr>
        <w:rPr>
          <w:rFonts w:hint="eastAsia" w:ascii="宋体" w:hAnsi="宋体" w:eastAsia="宋体" w:cs="宋体"/>
          <w:sz w:val="24"/>
          <w:szCs w:val="24"/>
        </w:rPr>
      </w:pPr>
    </w:p>
    <w:p w14:paraId="43BA5EC1">
      <w:pPr>
        <w:rPr>
          <w:rFonts w:hint="eastAsia" w:ascii="宋体" w:hAnsi="宋体" w:eastAsia="宋体" w:cs="宋体"/>
          <w:sz w:val="24"/>
          <w:szCs w:val="24"/>
        </w:rPr>
      </w:pPr>
    </w:p>
    <w:p w14:paraId="10E181C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9.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下列对本文理解不正确的一项是（ 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）（3分）</w:t>
      </w:r>
    </w:p>
    <w:p w14:paraId="520F748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“睨之”“但微颔之”将卖油翁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轻蔑自负的情态表现得淋漓尽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致       </w:t>
      </w:r>
    </w:p>
    <w:p w14:paraId="1358453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卖油翁酌油技艺诠释了“高手在民间”。</w:t>
      </w:r>
    </w:p>
    <w:p w14:paraId="0C119D84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“康肃笑而遣之”，交代了事情的结束；“遣”字很符合陈尧咨的身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         </w:t>
      </w:r>
    </w:p>
    <w:p w14:paraId="7625AF5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D.做人不应该恃艺而骄。</w:t>
      </w:r>
    </w:p>
    <w:p w14:paraId="576E4298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旗黑-55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4AA4E"/>
    <w:multiLevelType w:val="singleLevel"/>
    <w:tmpl w:val="A464AA4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DA6C6BDE"/>
    <w:multiLevelType w:val="singleLevel"/>
    <w:tmpl w:val="DA6C6BDE"/>
    <w:lvl w:ilvl="0" w:tentative="0">
      <w:start w:val="6"/>
      <w:numFmt w:val="decimal"/>
      <w:suff w:val="nothing"/>
      <w:lvlText w:val="%1．"/>
      <w:lvlJc w:val="left"/>
    </w:lvl>
  </w:abstractNum>
  <w:abstractNum w:abstractNumId="2">
    <w:nsid w:val="20602B18"/>
    <w:multiLevelType w:val="singleLevel"/>
    <w:tmpl w:val="20602B1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7D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2025-08-09T02:43:29Z</dcterms:created>
  <dc:creator>江晨</dc:creator>
  <cp:lastModifiedBy>WPS_1645713957</cp:lastModifiedBy>
  <dcterms:modified xsi:type="dcterms:W3CDTF">2025-08-09T03:19:00Z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eyJoZGlkIjoiOWUwOWY1OThjOTBmY2I1M2U5OGEyOWE4OWU3MTI0MDIiLCJ1c2VySWQiOiIxMzM1NTYxMzkxIn0=</vt:lpwstr>
  </property>
  <property fmtid="{D5CDD505-2E9C-101B-9397-08002B2CF9AE}" pid="4" name="ICV">
    <vt:lpwstr>CD49A0926B2540628345CA512302878E_13</vt:lpwstr>
  </property>
</Properties>
</file>