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2319" w14:textId="77777777" w:rsidR="00D033B5" w:rsidRDefault="00000000">
      <w:pPr>
        <w:pStyle w:val="Heading1"/>
      </w:pPr>
      <w:bookmarkStart w:id="0" w:name="header"/>
      <w:bookmarkStart w:id="1" w:name="X40559f28e4aef8d2c595183489f9ed46090f6e2"/>
      <w:bookmarkStart w:id="2" w:name="content"/>
      <w:bookmarkEnd w:id="0"/>
      <w:r>
        <w:t>Spatial Distribution and Regional Function of Retinal Ganglion Cells in Mouse Retina</w:t>
      </w:r>
    </w:p>
    <w:p w14:paraId="38266D85" w14:textId="77777777" w:rsidR="00D033B5" w:rsidRDefault="00000000">
      <w:pPr>
        <w:pStyle w:val="Heading2"/>
      </w:pPr>
      <w:bookmarkStart w:id="3" w:name="executive-summary"/>
      <w:r>
        <w:t>Executive summary</w:t>
      </w:r>
    </w:p>
    <w:p w14:paraId="35444F53" w14:textId="77777777" w:rsidR="00D033B5" w:rsidRDefault="00000000">
      <w:pPr>
        <w:pStyle w:val="FirstParagraph"/>
      </w:pPr>
      <w:r>
        <w:t xml:space="preserve">Mouse retina is not spatially uniform: even when total retinal ganglion cell (RGC) density changes only modestly compared with foveate or “visual streak” species, many </w:t>
      </w:r>
      <w:r>
        <w:rPr>
          <w:i/>
          <w:iCs/>
        </w:rPr>
        <w:t>specific RGC types</w:t>
      </w:r>
      <w:r>
        <w:t xml:space="preserve"> show pronounced, behavior-relevant nonuniformities across dorsal–ventral and nasal–temporal axes. Early wholemount counts supported a “weak-gradient” view (central retina denser than periphery), but modern subtype-resolved mapping (genetic labeling, high-throughput physiology, and especially imaging-based spatial transcriptomics) shows that a majority of molecularly defined RGC types exhibit biased topographies, and that some types show within-type gene-expression gradients. </w:t>
      </w:r>
      <w:hyperlink r:id="rId5">
        <w:r>
          <w:rPr>
            <w:rStyle w:val="Hyperlink"/>
          </w:rPr>
          <w:t>[1]</w:t>
        </w:r>
      </w:hyperlink>
    </w:p>
    <w:p w14:paraId="18A3EBFC" w14:textId="77777777" w:rsidR="00D033B5" w:rsidRDefault="00000000">
      <w:pPr>
        <w:pStyle w:val="BodyText"/>
      </w:pPr>
      <w:r>
        <w:t xml:space="preserve">Across the dorsal–ventral axis, a dominant driver of regional specialization is the cone-opsin gradient (M-opsin enriched dorsally; S-opsin enriched ventrally, with an “opsin transition zone” along the midline that is tilted across nasal–temporal). This photoreceptor gradient shapes spectral tuning and color computations in downstream circuits, producing strong enrichment of chromatic opponency in ventral retina / upper visual field under many recording conditions and tasks, even though cones are mostly “mixed opsin” in mice. </w:t>
      </w:r>
      <w:hyperlink r:id="rId6">
        <w:r>
          <w:rPr>
            <w:rStyle w:val="Hyperlink"/>
          </w:rPr>
          <w:t>[2]</w:t>
        </w:r>
      </w:hyperlink>
    </w:p>
    <w:p w14:paraId="63A0EB4D" w14:textId="77777777" w:rsidR="00D033B5" w:rsidRDefault="00000000">
      <w:pPr>
        <w:pStyle w:val="BodyText"/>
      </w:pPr>
      <w:r>
        <w:t xml:space="preserve">Across the nasal–temporal axis, multiple studies support an “enhanced sampling” of the binocular/frontal visual field by particular RGC classes: classic examples include alpha-like sustained ON RGCs whose density and dendritic/receptive-field (RF) size vary with retinal position (strong nasal→temporal density increase with corresponding dendritic/RF size decrease). More recent work extends this concept to transcriptomically defined populations enriched in dorso-temporal retina (often discussed in relation to a rodent “area retinae temporalis”), and to region-specific circuit adaptations in identified alpha-like types. </w:t>
      </w:r>
      <w:hyperlink r:id="rId7">
        <w:r>
          <w:rPr>
            <w:rStyle w:val="Hyperlink"/>
          </w:rPr>
          <w:t>[3]</w:t>
        </w:r>
      </w:hyperlink>
    </w:p>
    <w:p w14:paraId="2F6FD120" w14:textId="77777777" w:rsidR="00D033B5" w:rsidRDefault="00000000">
      <w:pPr>
        <w:pStyle w:val="BodyText"/>
      </w:pPr>
      <w:r>
        <w:t xml:space="preserve">Inhibitory mechanisms are central to </w:t>
      </w:r>
      <w:r>
        <w:rPr>
          <w:i/>
          <w:iCs/>
        </w:rPr>
        <w:t>both</w:t>
      </w:r>
      <w:r>
        <w:t xml:space="preserve"> (i) canonical feature computations (surround suppression, direction selectivity, crossover pathways) and (ii) regional adaptations. The clearest region-specific inhibition results in mouse include: (a) dorsoventral variation in temporal response properties of a single identified RGC type linked to glycinergic circuitry and rod-pathway interactions; (b) dorsoventral differences in DS-circuit plasticity and sensitization that reflect pathway-specific interactions (ON/OFF crossover and inhibitory routing); and (c) inhibitory amacrine-cell contributions that “de-bias” the strong photoreceptor chromatic gradient so that chromatic tuning at the retinal output is more spatially mixed than photoreceptor sampling alone would predict. </w:t>
      </w:r>
      <w:hyperlink r:id="rId8">
        <w:r>
          <w:rPr>
            <w:rStyle w:val="Hyperlink"/>
          </w:rPr>
          <w:t>[4]</w:t>
        </w:r>
      </w:hyperlink>
    </w:p>
    <w:p w14:paraId="6FB67E88" w14:textId="77777777" w:rsidR="00D033B5" w:rsidRDefault="00000000">
      <w:pPr>
        <w:pStyle w:val="BodyText"/>
      </w:pPr>
      <w:r>
        <w:t xml:space="preserve">Comparatively, the </w:t>
      </w:r>
      <w:r>
        <w:rPr>
          <w:b/>
          <w:bCs/>
        </w:rPr>
        <w:t>motifs</w:t>
      </w:r>
      <w:r>
        <w:t xml:space="preserve"> (local mosaics; matched density–dendrite scaling; ON/OFF parallel channels; inhibitory shaping of surrounds; starburst-based direction-selective circuitry) are broadly conserved across vertebrates, but the </w:t>
      </w:r>
      <w:r>
        <w:rPr>
          <w:b/>
          <w:bCs/>
        </w:rPr>
        <w:t>forms</w:t>
      </w:r>
      <w:r>
        <w:t xml:space="preserve"> of spatial specialization differ with ecology and eye design: primates show extreme central specialization (macula/fovea); rabbits and many rodents show a “visual streak”; birds can have a high-acuity area/fovea-like specialization; zebrafish show strong regionalization of spectral and temporal codes across visual space. </w:t>
      </w:r>
      <w:hyperlink r:id="rId9">
        <w:r>
          <w:rPr>
            <w:rStyle w:val="Hyperlink"/>
          </w:rPr>
          <w:t>[5]</w:t>
        </w:r>
      </w:hyperlink>
    </w:p>
    <w:p w14:paraId="4721134E" w14:textId="77777777" w:rsidR="00D033B5" w:rsidRDefault="00000000">
      <w:pPr>
        <w:pStyle w:val="Heading2"/>
      </w:pPr>
      <w:bookmarkStart w:id="4" w:name="X5a73a3ea03cad04635e5ba5c4d75777bc064f96"/>
      <w:bookmarkEnd w:id="3"/>
      <w:r>
        <w:t>Coordinate frames and what “regional” means in mouse retina</w:t>
      </w:r>
    </w:p>
    <w:p w14:paraId="5AEE6064" w14:textId="77777777" w:rsidR="00D033B5" w:rsidRDefault="00000000">
      <w:pPr>
        <w:pStyle w:val="FirstParagraph"/>
      </w:pPr>
      <w:r>
        <w:t xml:space="preserve">In an isolated wholemount, “dorsal/ventral” and “nasal/temporal” refer to anatomical retina axes, but functional interpretations often use the corresponding </w:t>
      </w:r>
      <w:r>
        <w:rPr>
          <w:i/>
          <w:iCs/>
        </w:rPr>
        <w:t>visual field</w:t>
      </w:r>
      <w:r>
        <w:t xml:space="preserve"> sampling (inverted by ocular optics): ventral retina largely samples upper visual field (“sky”), dorsal retina samples lower visual field </w:t>
      </w:r>
      <w:r>
        <w:lastRenderedPageBreak/>
        <w:t xml:space="preserve">(“ground”), and temporal retina tends to sample more frontal/binocular space in laterally eyed rodents. Modern retina-wide mapping studies frequently formalize this by partitioning the retina into ethologically motivated masks (e.g., binocular vs peripheral; sky vs ground) to quantify enrichment of each RGC type. </w:t>
      </w:r>
      <w:hyperlink r:id="rId10">
        <w:r>
          <w:rPr>
            <w:rStyle w:val="Hyperlink"/>
          </w:rPr>
          <w:t>[6]</w:t>
        </w:r>
      </w:hyperlink>
    </w:p>
    <w:p w14:paraId="05F4B9FE" w14:textId="77777777" w:rsidR="00D033B5" w:rsidRDefault="00000000">
      <w:pPr>
        <w:pStyle w:val="BodyText"/>
      </w:pPr>
      <w:r>
        <w:t xml:space="preserve">A practical consequence for large-scale MEA interpretation is that </w:t>
      </w:r>
      <w:r>
        <w:rPr>
          <w:b/>
          <w:bCs/>
        </w:rPr>
        <w:t>retinal orientation metadata</w:t>
      </w:r>
      <w:r>
        <w:t xml:space="preserve"> (which quadrant is which) is not a cosmetic detail: it determines whether an apparent “population shift” under pharmacology could reflect (i) genuine circuit modulation </w:t>
      </w:r>
      <w:r>
        <w:rPr>
          <w:i/>
          <w:iCs/>
        </w:rPr>
        <w:t>within type</w:t>
      </w:r>
      <w:r>
        <w:t xml:space="preserve"> versus (ii) a positional mixture of distinct types or subtypes that are spatially biased. This is emphasized by mapping studies that explicitly register data to the optic nerve head and retinal coordinates, enabling comparisons across preparations. </w:t>
      </w:r>
      <w:hyperlink r:id="rId11">
        <w:r>
          <w:rPr>
            <w:rStyle w:val="Hyperlink"/>
          </w:rPr>
          <w:t>[7]</w:t>
        </w:r>
      </w:hyperlink>
    </w:p>
    <w:p w14:paraId="188FFAB3" w14:textId="77777777" w:rsidR="00D033B5" w:rsidRDefault="00000000">
      <w:pPr>
        <w:pStyle w:val="BodyText"/>
      </w:pPr>
      <w:r>
        <w:t>A compact conceptual map (anatomical retina coordinates):</w:t>
      </w:r>
    </w:p>
    <w:p w14:paraId="66916C0F" w14:textId="77777777" w:rsidR="00D033B5" w:rsidRDefault="00000000">
      <w:pPr>
        <w:pStyle w:val="SourceCode"/>
      </w:pPr>
      <w:r>
        <w:rPr>
          <w:rStyle w:val="VerbatimChar"/>
        </w:rPr>
        <w:t xml:space="preserve">            DORSAL retina (often "ground")</w:t>
      </w:r>
      <w:r>
        <w:br/>
      </w:r>
      <w:r>
        <w:rPr>
          <w:rStyle w:val="VerbatimChar"/>
        </w:rPr>
        <w:t xml:space="preserve">                  ↑</w:t>
      </w:r>
      <w:r>
        <w:br/>
      </w:r>
      <w:r>
        <w:rPr>
          <w:rStyle w:val="VerbatimChar"/>
        </w:rPr>
        <w:t xml:space="preserve">      NASAL  ←  [ONH]  →  TEMPORAL (often "binocular/frontal")</w:t>
      </w:r>
      <w:r>
        <w:br/>
      </w:r>
      <w:r>
        <w:rPr>
          <w:rStyle w:val="VerbatimChar"/>
        </w:rPr>
        <w:t xml:space="preserve">                  ↓</w:t>
      </w:r>
      <w:r>
        <w:br/>
      </w:r>
      <w:r>
        <w:rPr>
          <w:rStyle w:val="VerbatimChar"/>
        </w:rPr>
        <w:t xml:space="preserve">            VENTRAL retina (often "sky")</w:t>
      </w:r>
    </w:p>
    <w:p w14:paraId="73EB5CC7" w14:textId="77777777" w:rsidR="00D033B5" w:rsidRDefault="00000000">
      <w:pPr>
        <w:pStyle w:val="FirstParagraph"/>
      </w:pPr>
      <w:r>
        <w:t xml:space="preserve">(ONH = optic nerve head / disc; note: field mappings depend on eye/retina orientation conventions used during mounting). </w:t>
      </w:r>
      <w:hyperlink r:id="rId12">
        <w:r>
          <w:rPr>
            <w:rStyle w:val="Hyperlink"/>
          </w:rPr>
          <w:t>[8]</w:t>
        </w:r>
      </w:hyperlink>
    </w:p>
    <w:p w14:paraId="27533CA0" w14:textId="77777777" w:rsidR="00D033B5" w:rsidRDefault="00000000">
      <w:pPr>
        <w:pStyle w:val="Heading2"/>
      </w:pPr>
      <w:bookmarkStart w:id="5" w:name="X89ab79e6735219f9b51017b3a89b0aabdc29727"/>
      <w:bookmarkEnd w:id="4"/>
      <w:r>
        <w:t>Mouse RGC spatial distributions: density maps, mosaics, and type-specific topographies</w:t>
      </w:r>
    </w:p>
    <w:p w14:paraId="3F49830B" w14:textId="77777777" w:rsidR="00D033B5" w:rsidRDefault="00000000">
      <w:pPr>
        <w:pStyle w:val="Heading3"/>
      </w:pPr>
      <w:bookmarkStart w:id="6" w:name="X8987dd753edd556c85f3279e1f2368897a70b6b"/>
      <w:r>
        <w:t>Global RGC density and “weak-gradient” topography</w:t>
      </w:r>
    </w:p>
    <w:p w14:paraId="02350A54" w14:textId="77777777" w:rsidR="00D033B5" w:rsidRDefault="00000000">
      <w:pPr>
        <w:pStyle w:val="FirstParagraph"/>
      </w:pPr>
      <w:r>
        <w:t xml:space="preserve">Classic wholemount density maps of mouse RGCs found only a modest global density gradient compared with species that have a fovea or strong visual streak, with peak densities on the order of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000 </m:t>
        </m:r>
        <m:r>
          <m:rPr>
            <m:sty m:val="p"/>
          </m:rPr>
          <w:rPr>
            <w:rFonts w:ascii="Cambria Math" w:hAnsi="Cambria Math"/>
          </w:rPr>
          <m:t>cells/m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 xml:space="preserve"> and minima around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000 </m:t>
        </m:r>
        <m:r>
          <m:rPr>
            <m:sty m:val="p"/>
          </m:rPr>
          <w:rPr>
            <w:rFonts w:ascii="Cambria Math" w:hAnsi="Cambria Math"/>
          </w:rPr>
          <m:t>cells/m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 xml:space="preserve"> depending on retinal location (often reported as central-ventral vs far dorso-temporal), supporting an early view that mouse retina lacks a sharply specialized high-acuity region. </w:t>
      </w:r>
      <w:hyperlink r:id="rId13">
        <w:r>
          <w:rPr>
            <w:rStyle w:val="Hyperlink"/>
          </w:rPr>
          <w:t>[9]</w:t>
        </w:r>
      </w:hyperlink>
    </w:p>
    <w:p w14:paraId="47D9D703" w14:textId="77777777" w:rsidR="00D033B5" w:rsidRDefault="00000000">
      <w:pPr>
        <w:pStyle w:val="BodyText"/>
      </w:pPr>
      <w:r>
        <w:t xml:space="preserve">However, even at the “global RGC count” level, modern quantification using robust RGC markers shows meaningful variation across commonly used substrains. For example, a recent survey reported different global RGC counts/densities for C57BL/6J versus C57BL/6N using RBPMS labeling, underscoring that baseline cell densities are not a single canonical value even within “C57BL/6.” </w:t>
      </w:r>
      <w:hyperlink r:id="rId14">
        <w:r>
          <w:rPr>
            <w:rStyle w:val="Hyperlink"/>
          </w:rPr>
          <w:t>[10]</w:t>
        </w:r>
      </w:hyperlink>
    </w:p>
    <w:p w14:paraId="0B1A652A" w14:textId="77777777" w:rsidR="00D033B5" w:rsidRDefault="00000000">
      <w:pPr>
        <w:pStyle w:val="Heading3"/>
      </w:pPr>
      <w:bookmarkStart w:id="7" w:name="Xb4f4c735bb85134a1000a40a76a2de6a8c39ba5"/>
      <w:bookmarkEnd w:id="6"/>
      <w:r>
        <w:t xml:space="preserve">Mosaics as </w:t>
      </w:r>
      <w:r>
        <w:rPr>
          <w:i/>
          <w:iCs/>
        </w:rPr>
        <w:t>local order</w:t>
      </w:r>
      <w:r>
        <w:t xml:space="preserve"> atop </w:t>
      </w:r>
      <w:r>
        <w:rPr>
          <w:i/>
          <w:iCs/>
        </w:rPr>
        <w:t>global nonuniformity</w:t>
      </w:r>
    </w:p>
    <w:p w14:paraId="0EA7A2ED" w14:textId="77777777" w:rsidR="00D033B5" w:rsidRDefault="00000000">
      <w:pPr>
        <w:pStyle w:val="FirstParagraph"/>
      </w:pPr>
      <w:r>
        <w:t xml:space="preserve">The core “mosaic” principle is that each retinal cell type typically exhibits semi-regular spacing relative to same-type neighbors to achieve uniform sampling of visual space locally. Critically, mosaic regularity is a </w:t>
      </w:r>
      <w:r>
        <w:rPr>
          <w:i/>
          <w:iCs/>
        </w:rPr>
        <w:t>local</w:t>
      </w:r>
      <w:r>
        <w:t xml:space="preserve"> statistic: many types can maintain local regular spacing even if their density changes gradually across the retina (a nonuniform global topography). Reviews of mosaic patterning highlight substantial variability in how different RGC types deviate from perfect regularity, and empirical work shows that “mosaic-ness” does not imply uniform whole-retina density. </w:t>
      </w:r>
      <w:hyperlink r:id="rId15">
        <w:r>
          <w:rPr>
            <w:rStyle w:val="Hyperlink"/>
          </w:rPr>
          <w:t>[11]</w:t>
        </w:r>
      </w:hyperlink>
    </w:p>
    <w:p w14:paraId="50220715" w14:textId="77777777" w:rsidR="00D033B5" w:rsidRDefault="00000000">
      <w:pPr>
        <w:pStyle w:val="BodyText"/>
      </w:pPr>
      <w:r>
        <w:t xml:space="preserve">High-coverage mapping based on spatial transcriptomics explicitly quantified local spatial order for many transcriptomically defined RGC types using nearest-neighbor and Voronoi-based metrics, finding that many common RGC types show ordered local distributions consistent with mosaicism, while some types appear closer to random (or are harder to assess due to rarity/segmentation limits). </w:t>
      </w:r>
      <w:hyperlink r:id="rId16">
        <w:r>
          <w:rPr>
            <w:rStyle w:val="Hyperlink"/>
          </w:rPr>
          <w:t>[12]</w:t>
        </w:r>
      </w:hyperlink>
    </w:p>
    <w:p w14:paraId="4476982E" w14:textId="77777777" w:rsidR="00D033B5" w:rsidRDefault="00000000">
      <w:pPr>
        <w:pStyle w:val="Heading3"/>
      </w:pPr>
      <w:bookmarkStart w:id="8" w:name="Xb48f9fd6212dedb4e16020666656c95b3d8e819"/>
      <w:bookmarkEnd w:id="7"/>
      <w:r>
        <w:lastRenderedPageBreak/>
        <w:t>Type-specific spatial distributions: established examples and retina-wide atlases</w:t>
      </w:r>
    </w:p>
    <w:p w14:paraId="14B8F79A" w14:textId="77777777" w:rsidR="00D033B5" w:rsidRDefault="00000000">
      <w:pPr>
        <w:pStyle w:val="FirstParagraph"/>
      </w:pPr>
      <w:r>
        <w:t>Some RGC types have long-standing evidence of strong topographic biases:</w:t>
      </w:r>
    </w:p>
    <w:p w14:paraId="16FF8F16" w14:textId="77777777" w:rsidR="00D033B5" w:rsidRDefault="00000000">
      <w:pPr>
        <w:numPr>
          <w:ilvl w:val="0"/>
          <w:numId w:val="2"/>
        </w:numPr>
      </w:pPr>
      <w:r>
        <w:rPr>
          <w:b/>
          <w:bCs/>
        </w:rPr>
        <w:t>Alpha-like sustained ON RGCs (and related alpha-like classes):</w:t>
      </w:r>
      <w:r>
        <w:t xml:space="preserve"> systematic mapping showed a &gt;3-fold nasal→temporal density gradient with a corresponding reduction in dendritic arbor size (and RF size) toward temporal retina, implying increased sampling density for frontal/binocular visual space. </w:t>
      </w:r>
      <w:hyperlink r:id="rId17">
        <w:r>
          <w:rPr>
            <w:rStyle w:val="Hyperlink"/>
          </w:rPr>
          <w:t>[13]</w:t>
        </w:r>
      </w:hyperlink>
    </w:p>
    <w:p w14:paraId="6521050C" w14:textId="77777777" w:rsidR="00D033B5" w:rsidRDefault="00000000">
      <w:pPr>
        <w:numPr>
          <w:ilvl w:val="0"/>
          <w:numId w:val="2"/>
        </w:numPr>
      </w:pPr>
      <w:r>
        <w:rPr>
          <w:b/>
          <w:bCs/>
        </w:rPr>
        <w:t>W3 / “local feature detector” class:</w:t>
      </w:r>
      <w:r>
        <w:t xml:space="preserve"> a widely used transgenic-labeled type shows peak density in ventral retina with lower density dorsally and in the periphery, consistent with ventral specialization for upper-field feature detection. </w:t>
      </w:r>
      <w:hyperlink r:id="rId18">
        <w:r>
          <w:rPr>
            <w:rStyle w:val="Hyperlink"/>
          </w:rPr>
          <w:t>[14]</w:t>
        </w:r>
      </w:hyperlink>
    </w:p>
    <w:p w14:paraId="3ECB9731" w14:textId="77777777" w:rsidR="00D033B5" w:rsidRDefault="00000000">
      <w:pPr>
        <w:numPr>
          <w:ilvl w:val="0"/>
          <w:numId w:val="2"/>
        </w:numPr>
      </w:pPr>
      <w:r>
        <w:rPr>
          <w:b/>
          <w:bCs/>
        </w:rPr>
        <w:t>Melanopsin-expressing ipRGCs:</w:t>
      </w:r>
      <w:r>
        <w:t xml:space="preserve"> early subtype-resolved work reported dorsoventral gradients in melanopsin expression and in densities of specific ipRGC subtypes, coupled to opsin gradients that spectrally tune ipRGC responses by location; newer genetic tools and mapping extend this to all ipRGC types (M1–M6) with explicit topographies. </w:t>
      </w:r>
      <w:hyperlink r:id="rId19">
        <w:r>
          <w:rPr>
            <w:rStyle w:val="Hyperlink"/>
          </w:rPr>
          <w:t>[15]</w:t>
        </w:r>
      </w:hyperlink>
    </w:p>
    <w:p w14:paraId="237419FB" w14:textId="77777777" w:rsidR="00D033B5" w:rsidRDefault="00000000">
      <w:pPr>
        <w:pStyle w:val="FirstParagraph"/>
      </w:pPr>
      <w:r>
        <w:t>Recent “retina-wide” atlases make these patterns systematic rather than anecdotal:</w:t>
      </w:r>
    </w:p>
    <w:p w14:paraId="38156A3B" w14:textId="77777777" w:rsidR="00D033B5" w:rsidRDefault="00000000">
      <w:pPr>
        <w:numPr>
          <w:ilvl w:val="0"/>
          <w:numId w:val="3"/>
        </w:numPr>
      </w:pPr>
      <w:r>
        <w:t xml:space="preserve">A comprehensive en-face spatial transcriptomics + machine-learning atlas mapped the spatial distributions of all recognized molecular RGC types (45 types in the referenced framework), then clustered types by overlap with ethologically motivated zones (sky vs ground; binocular vs peripheral). In this framework, many types cover most of retina, while distinct subsets show clear ventral enrichment (sky sampling) or dorso-temporal enrichment (binocular/frontal sampling). </w:t>
      </w:r>
      <w:hyperlink r:id="rId20">
        <w:r>
          <w:rPr>
            <w:rStyle w:val="Hyperlink"/>
          </w:rPr>
          <w:t>[12]</w:t>
        </w:r>
      </w:hyperlink>
    </w:p>
    <w:p w14:paraId="28992E2E" w14:textId="77777777" w:rsidR="00D033B5" w:rsidRDefault="00000000">
      <w:pPr>
        <w:numPr>
          <w:ilvl w:val="0"/>
          <w:numId w:val="3"/>
        </w:numPr>
      </w:pPr>
      <w:r>
        <w:t xml:space="preserve">Flatmount MERFISH-based spatial mapping similarly reported that </w:t>
      </w:r>
      <m:oMath>
        <m:r>
          <m:rPr>
            <m:sty m:val="p"/>
          </m:rPr>
          <w:rPr>
            <w:rFonts w:ascii="Cambria Math" w:hAnsi="Cambria Math"/>
          </w:rPr>
          <m:t>∼</m:t>
        </m:r>
        <m:r>
          <w:rPr>
            <w:rFonts w:ascii="Cambria Math" w:hAnsi="Cambria Math"/>
          </w:rPr>
          <m:t>75</m:t>
        </m:r>
        <m:r>
          <m:rPr>
            <m:sty m:val="p"/>
          </m:rPr>
          <w:rPr>
            <w:rFonts w:ascii="Cambria Math" w:hAnsi="Cambria Math"/>
          </w:rPr>
          <m:t>%</m:t>
        </m:r>
      </m:oMath>
      <w:r>
        <w:t xml:space="preserve"> of molecularly defined RGC types show biased (nonuniform) topographic distributions; notably, it identified a subset of RGC types enriched in </w:t>
      </w:r>
      <w:r>
        <w:rPr>
          <w:b/>
          <w:bCs/>
        </w:rPr>
        <w:t>perivascular niches</w:t>
      </w:r>
      <w:r>
        <w:t xml:space="preserve">, including direction-selective and ipRGC-related types, and linked perivascular localization to differential resilience in a glaucoma model. </w:t>
      </w:r>
      <w:hyperlink r:id="rId21">
        <w:r>
          <w:rPr>
            <w:rStyle w:val="Hyperlink"/>
          </w:rPr>
          <w:t>[16]</w:t>
        </w:r>
      </w:hyperlink>
    </w:p>
    <w:p w14:paraId="178D5EE6" w14:textId="77777777" w:rsidR="00D033B5" w:rsidRDefault="00000000">
      <w:pPr>
        <w:numPr>
          <w:ilvl w:val="0"/>
          <w:numId w:val="3"/>
        </w:numPr>
      </w:pPr>
      <w:r>
        <w:t xml:space="preserve">A single-cell MERFISH atlas of mouse retina profiled hundreds of thousands of cells and emphasized spatially dependent differential gene expression within subtypes, reinforcing the idea that “same transcriptomic label” does not always mean spatially invariant state. </w:t>
      </w:r>
      <w:hyperlink r:id="rId22">
        <w:r>
          <w:rPr>
            <w:rStyle w:val="Hyperlink"/>
          </w:rPr>
          <w:t>[17]</w:t>
        </w:r>
      </w:hyperlink>
    </w:p>
    <w:p w14:paraId="257E5C46" w14:textId="77777777" w:rsidR="00D033B5" w:rsidRDefault="00000000">
      <w:pPr>
        <w:pStyle w:val="Heading3"/>
      </w:pPr>
      <w:bookmarkStart w:id="9" w:name="Xbda95379711d0950f891c226583dc40be92a007"/>
      <w:bookmarkEnd w:id="8"/>
      <w:r>
        <w:t>Study comparison table: spatial distribution and mapping studies most relevant to MEA alignment</w:t>
      </w:r>
    </w:p>
    <w:tbl>
      <w:tblPr>
        <w:tblStyle w:val="Table"/>
        <w:tblW w:w="0" w:type="auto"/>
        <w:tblLook w:val="0020" w:firstRow="1" w:lastRow="0" w:firstColumn="0" w:lastColumn="0" w:noHBand="0" w:noVBand="0"/>
      </w:tblPr>
      <w:tblGrid>
        <w:gridCol w:w="1454"/>
        <w:gridCol w:w="835"/>
        <w:gridCol w:w="1840"/>
        <w:gridCol w:w="1106"/>
        <w:gridCol w:w="1870"/>
        <w:gridCol w:w="1691"/>
        <w:gridCol w:w="2220"/>
      </w:tblGrid>
      <w:tr w:rsidR="00D033B5" w14:paraId="49776309" w14:textId="77777777" w:rsidTr="00D033B5">
        <w:trPr>
          <w:cnfStyle w:val="100000000000" w:firstRow="1" w:lastRow="0" w:firstColumn="0" w:lastColumn="0" w:oddVBand="0" w:evenVBand="0" w:oddHBand="0" w:evenHBand="0" w:firstRowFirstColumn="0" w:firstRowLastColumn="0" w:lastRowFirstColumn="0" w:lastRowLastColumn="0"/>
          <w:tblHeader/>
        </w:trPr>
        <w:tc>
          <w:tcPr>
            <w:tcW w:w="0" w:type="auto"/>
          </w:tcPr>
          <w:p w14:paraId="7BA69E2D" w14:textId="77777777" w:rsidR="00D033B5" w:rsidRDefault="00000000">
            <w:pPr>
              <w:pStyle w:val="Compact"/>
            </w:pPr>
            <w:r>
              <w:t>Study handle (year)</w:t>
            </w:r>
          </w:p>
        </w:tc>
        <w:tc>
          <w:tcPr>
            <w:tcW w:w="0" w:type="auto"/>
          </w:tcPr>
          <w:p w14:paraId="420F1FC1" w14:textId="77777777" w:rsidR="00D033B5" w:rsidRDefault="00000000">
            <w:pPr>
              <w:pStyle w:val="Compact"/>
            </w:pPr>
            <w:r>
              <w:t>Species</w:t>
            </w:r>
          </w:p>
        </w:tc>
        <w:tc>
          <w:tcPr>
            <w:tcW w:w="0" w:type="auto"/>
          </w:tcPr>
          <w:p w14:paraId="59420F3F" w14:textId="77777777" w:rsidR="00D033B5" w:rsidRDefault="00000000">
            <w:pPr>
              <w:pStyle w:val="Compact"/>
            </w:pPr>
            <w:r>
              <w:t>Methods</w:t>
            </w:r>
          </w:p>
        </w:tc>
        <w:tc>
          <w:tcPr>
            <w:tcW w:w="0" w:type="auto"/>
          </w:tcPr>
          <w:p w14:paraId="564FBF73" w14:textId="77777777" w:rsidR="00D033B5" w:rsidRDefault="00000000">
            <w:pPr>
              <w:pStyle w:val="Compact"/>
            </w:pPr>
            <w:r>
              <w:t>Sample size (indicative)</w:t>
            </w:r>
          </w:p>
        </w:tc>
        <w:tc>
          <w:tcPr>
            <w:tcW w:w="0" w:type="auto"/>
          </w:tcPr>
          <w:p w14:paraId="4C707744" w14:textId="77777777" w:rsidR="00D033B5" w:rsidRDefault="00000000">
            <w:pPr>
              <w:pStyle w:val="Compact"/>
            </w:pPr>
            <w:r>
              <w:t>Spatial scale / registration</w:t>
            </w:r>
          </w:p>
        </w:tc>
        <w:tc>
          <w:tcPr>
            <w:tcW w:w="0" w:type="auto"/>
          </w:tcPr>
          <w:p w14:paraId="119C5967" w14:textId="77777777" w:rsidR="00D033B5" w:rsidRDefault="00000000">
            <w:pPr>
              <w:pStyle w:val="Compact"/>
            </w:pPr>
            <w:r>
              <w:t>Main spatial finding</w:t>
            </w:r>
          </w:p>
        </w:tc>
        <w:tc>
          <w:tcPr>
            <w:tcW w:w="0" w:type="auto"/>
          </w:tcPr>
          <w:p w14:paraId="361E74E6" w14:textId="77777777" w:rsidR="00D033B5" w:rsidRDefault="00000000">
            <w:pPr>
              <w:pStyle w:val="Compact"/>
            </w:pPr>
            <w:r>
              <w:t>Relevance to GABA/glycine modulation &amp; MEA</w:t>
            </w:r>
          </w:p>
        </w:tc>
      </w:tr>
      <w:tr w:rsidR="00D033B5" w14:paraId="276DE47A" w14:textId="77777777">
        <w:tc>
          <w:tcPr>
            <w:tcW w:w="0" w:type="auto"/>
          </w:tcPr>
          <w:p w14:paraId="041F350D" w14:textId="77777777" w:rsidR="00D033B5" w:rsidRDefault="00000000">
            <w:pPr>
              <w:pStyle w:val="Compact"/>
            </w:pPr>
            <w:r>
              <w:t>Classic wholemount RGC isodensity mapping (1980s–1990s)</w:t>
            </w:r>
          </w:p>
        </w:tc>
        <w:tc>
          <w:tcPr>
            <w:tcW w:w="0" w:type="auto"/>
          </w:tcPr>
          <w:p w14:paraId="3C42F2F6" w14:textId="77777777" w:rsidR="00D033B5" w:rsidRDefault="00000000">
            <w:pPr>
              <w:pStyle w:val="Compact"/>
            </w:pPr>
            <w:r>
              <w:t>Mouse</w:t>
            </w:r>
          </w:p>
        </w:tc>
        <w:tc>
          <w:tcPr>
            <w:tcW w:w="0" w:type="auto"/>
          </w:tcPr>
          <w:p w14:paraId="6F6FACE4" w14:textId="77777777" w:rsidR="00D033B5" w:rsidRDefault="00000000">
            <w:pPr>
              <w:pStyle w:val="Compact"/>
            </w:pPr>
            <w:r>
              <w:t>Wholemount counts / labeling</w:t>
            </w:r>
          </w:p>
        </w:tc>
        <w:tc>
          <w:tcPr>
            <w:tcW w:w="0" w:type="auto"/>
          </w:tcPr>
          <w:p w14:paraId="2A48ABC1" w14:textId="77777777" w:rsidR="00D033B5" w:rsidRDefault="00000000">
            <w:pPr>
              <w:pStyle w:val="Compact"/>
            </w:pPr>
            <w:r>
              <w:t>Multiple retinas</w:t>
            </w:r>
          </w:p>
        </w:tc>
        <w:tc>
          <w:tcPr>
            <w:tcW w:w="0" w:type="auto"/>
          </w:tcPr>
          <w:p w14:paraId="40F1C76E" w14:textId="77777777" w:rsidR="00D033B5" w:rsidRDefault="00000000">
            <w:pPr>
              <w:pStyle w:val="Compact"/>
            </w:pPr>
            <w:r>
              <w:t>Retina-wide; relatively coarse binning</w:t>
            </w:r>
          </w:p>
        </w:tc>
        <w:tc>
          <w:tcPr>
            <w:tcW w:w="0" w:type="auto"/>
          </w:tcPr>
          <w:p w14:paraId="167CA945" w14:textId="77777777" w:rsidR="00D033B5" w:rsidRDefault="00000000">
            <w:pPr>
              <w:pStyle w:val="Compact"/>
            </w:pPr>
            <w:r>
              <w:t xml:space="preserve">Modest global RGC density gradient; peak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000 </m:t>
              </m:r>
              <m:r>
                <m:rPr>
                  <m:sty m:val="p"/>
                </m:rPr>
                <w:rPr>
                  <w:rFonts w:ascii="Cambria Math" w:hAnsi="Cambria Math"/>
                </w:rPr>
                <m:t>cells/m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 xml:space="preserve">, min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000 </m:t>
              </m:r>
              <m:r>
                <m:rPr>
                  <m:sty m:val="p"/>
                </m:rPr>
                <w:rPr>
                  <w:rFonts w:ascii="Cambria Math" w:hAnsi="Cambria Math"/>
                </w:rPr>
                <m:t>cells/m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 xml:space="preserve"> </w:t>
            </w:r>
            <w:r>
              <w:lastRenderedPageBreak/>
              <w:t xml:space="preserve">depending on region. </w:t>
            </w:r>
            <w:hyperlink r:id="rId23">
              <w:r>
                <w:rPr>
                  <w:rStyle w:val="Hyperlink"/>
                </w:rPr>
                <w:t>[9]</w:t>
              </w:r>
            </w:hyperlink>
          </w:p>
        </w:tc>
        <w:tc>
          <w:tcPr>
            <w:tcW w:w="0" w:type="auto"/>
          </w:tcPr>
          <w:p w14:paraId="47767B88" w14:textId="77777777" w:rsidR="00D033B5" w:rsidRDefault="00000000">
            <w:pPr>
              <w:pStyle w:val="Compact"/>
            </w:pPr>
            <w:r>
              <w:lastRenderedPageBreak/>
              <w:t xml:space="preserve">Baseline expectation for “global density” variation; does not resolve subtype mixing that can confound MEA clustering. </w:t>
            </w:r>
            <w:hyperlink r:id="rId24">
              <w:r>
                <w:rPr>
                  <w:rStyle w:val="Hyperlink"/>
                </w:rPr>
                <w:t>[18]</w:t>
              </w:r>
            </w:hyperlink>
          </w:p>
        </w:tc>
      </w:tr>
      <w:tr w:rsidR="00D033B5" w14:paraId="73371C0B" w14:textId="77777777">
        <w:tc>
          <w:tcPr>
            <w:tcW w:w="0" w:type="auto"/>
          </w:tcPr>
          <w:p w14:paraId="3DE2EE84" w14:textId="77777777" w:rsidR="00D033B5" w:rsidRDefault="00000000">
            <w:pPr>
              <w:pStyle w:val="Compact"/>
            </w:pPr>
            <w:r>
              <w:t>Substrain RGC number/density benchmarking (2022)</w:t>
            </w:r>
          </w:p>
        </w:tc>
        <w:tc>
          <w:tcPr>
            <w:tcW w:w="0" w:type="auto"/>
          </w:tcPr>
          <w:p w14:paraId="45E521C2" w14:textId="77777777" w:rsidR="00D033B5" w:rsidRDefault="00000000">
            <w:pPr>
              <w:pStyle w:val="Compact"/>
            </w:pPr>
            <w:r>
              <w:t>Mouse</w:t>
            </w:r>
          </w:p>
        </w:tc>
        <w:tc>
          <w:tcPr>
            <w:tcW w:w="0" w:type="auto"/>
          </w:tcPr>
          <w:p w14:paraId="024CE739" w14:textId="77777777" w:rsidR="00D033B5" w:rsidRDefault="00000000">
            <w:pPr>
              <w:pStyle w:val="Compact"/>
            </w:pPr>
            <w:r>
              <w:t>Wholemount IHC (RBPMS) + quantification</w:t>
            </w:r>
          </w:p>
        </w:tc>
        <w:tc>
          <w:tcPr>
            <w:tcW w:w="0" w:type="auto"/>
          </w:tcPr>
          <w:p w14:paraId="5B4F1DB8" w14:textId="77777777" w:rsidR="00D033B5" w:rsidRDefault="00000000">
            <w:pPr>
              <w:pStyle w:val="Compact"/>
            </w:pPr>
            <w:r>
              <w:t>Dozens of retinas across substrains</w:t>
            </w:r>
          </w:p>
        </w:tc>
        <w:tc>
          <w:tcPr>
            <w:tcW w:w="0" w:type="auto"/>
          </w:tcPr>
          <w:p w14:paraId="0533F58A" w14:textId="77777777" w:rsidR="00D033B5" w:rsidRDefault="00000000">
            <w:pPr>
              <w:pStyle w:val="Compact"/>
            </w:pPr>
            <w:r>
              <w:t>Retina-wide; density estimates</w:t>
            </w:r>
          </w:p>
        </w:tc>
        <w:tc>
          <w:tcPr>
            <w:tcW w:w="0" w:type="auto"/>
          </w:tcPr>
          <w:p w14:paraId="355F6382" w14:textId="77777777" w:rsidR="00D033B5" w:rsidRDefault="00000000">
            <w:pPr>
              <w:pStyle w:val="Compact"/>
            </w:pPr>
            <w:r>
              <w:t xml:space="preserve">Global RGC number/density differs between common substrains (e.g., C57BL/6J vs C57BL/6N). </w:t>
            </w:r>
            <w:hyperlink r:id="rId25">
              <w:r>
                <w:rPr>
                  <w:rStyle w:val="Hyperlink"/>
                </w:rPr>
                <w:t>[10]</w:t>
              </w:r>
            </w:hyperlink>
          </w:p>
        </w:tc>
        <w:tc>
          <w:tcPr>
            <w:tcW w:w="0" w:type="auto"/>
          </w:tcPr>
          <w:p w14:paraId="27794ACB" w14:textId="77777777" w:rsidR="00D033B5" w:rsidRDefault="00000000">
            <w:pPr>
              <w:pStyle w:val="Compact"/>
            </w:pPr>
            <w:r>
              <w:t xml:space="preserve">Important for interpreting absolute yields and density-dependent sampling in MEA; helps separate biological from technical variability. </w:t>
            </w:r>
            <w:hyperlink r:id="rId26">
              <w:r>
                <w:rPr>
                  <w:rStyle w:val="Hyperlink"/>
                </w:rPr>
                <w:t>[19]</w:t>
              </w:r>
            </w:hyperlink>
          </w:p>
        </w:tc>
      </w:tr>
      <w:tr w:rsidR="00D033B5" w14:paraId="3267DCC4" w14:textId="77777777">
        <w:tc>
          <w:tcPr>
            <w:tcW w:w="0" w:type="auto"/>
          </w:tcPr>
          <w:p w14:paraId="243BCB15" w14:textId="77777777" w:rsidR="00D033B5" w:rsidRDefault="00000000">
            <w:pPr>
              <w:pStyle w:val="Compact"/>
            </w:pPr>
            <w:r>
              <w:t>Alpha-like gradient topography (2014)</w:t>
            </w:r>
          </w:p>
        </w:tc>
        <w:tc>
          <w:tcPr>
            <w:tcW w:w="0" w:type="auto"/>
          </w:tcPr>
          <w:p w14:paraId="24EAAC7D" w14:textId="77777777" w:rsidR="00D033B5" w:rsidRDefault="00000000">
            <w:pPr>
              <w:pStyle w:val="Compact"/>
            </w:pPr>
            <w:r>
              <w:t>Mouse</w:t>
            </w:r>
          </w:p>
        </w:tc>
        <w:tc>
          <w:tcPr>
            <w:tcW w:w="0" w:type="auto"/>
          </w:tcPr>
          <w:p w14:paraId="59E7F24D" w14:textId="77777777" w:rsidR="00D033B5" w:rsidRDefault="00000000">
            <w:pPr>
              <w:pStyle w:val="Compact"/>
            </w:pPr>
            <w:r>
              <w:t>Targeted labeling + morphological reconstructions + physiology</w:t>
            </w:r>
          </w:p>
        </w:tc>
        <w:tc>
          <w:tcPr>
            <w:tcW w:w="0" w:type="auto"/>
          </w:tcPr>
          <w:p w14:paraId="32476B56" w14:textId="77777777" w:rsidR="00D033B5" w:rsidRDefault="00000000">
            <w:pPr>
              <w:pStyle w:val="Compact"/>
            </w:pPr>
            <w:r>
              <w:t>Multiple retinas; cell-type focused</w:t>
            </w:r>
          </w:p>
        </w:tc>
        <w:tc>
          <w:tcPr>
            <w:tcW w:w="0" w:type="auto"/>
          </w:tcPr>
          <w:p w14:paraId="78ED8347" w14:textId="77777777" w:rsidR="00D033B5" w:rsidRDefault="00000000">
            <w:pPr>
              <w:pStyle w:val="Compact"/>
            </w:pPr>
            <w:r>
              <w:t>Retina-wide mapping for one type; nasal–temporal gradient</w:t>
            </w:r>
          </w:p>
        </w:tc>
        <w:tc>
          <w:tcPr>
            <w:tcW w:w="0" w:type="auto"/>
          </w:tcPr>
          <w:p w14:paraId="4AD22E1B" w14:textId="77777777" w:rsidR="00D033B5" w:rsidRDefault="00000000">
            <w:pPr>
              <w:pStyle w:val="Compact"/>
            </w:pPr>
            <w:r>
              <w:t xml:space="preserve">Strong nasal→temporal density and dendrite/RF size gradients in alpha-like sustained ON cells. </w:t>
            </w:r>
            <w:hyperlink r:id="rId27">
              <w:r>
                <w:rPr>
                  <w:rStyle w:val="Hyperlink"/>
                </w:rPr>
                <w:t>[13]</w:t>
              </w:r>
            </w:hyperlink>
          </w:p>
        </w:tc>
        <w:tc>
          <w:tcPr>
            <w:tcW w:w="0" w:type="auto"/>
          </w:tcPr>
          <w:p w14:paraId="7C3FB0A0" w14:textId="77777777" w:rsidR="00D033B5" w:rsidRDefault="00000000">
            <w:pPr>
              <w:pStyle w:val="Compact"/>
            </w:pPr>
            <w:r>
              <w:t xml:space="preserve">Provides a template for expecting position-dependent RF size and sampling density within a “single MEA cluster.” </w:t>
            </w:r>
            <w:hyperlink r:id="rId28">
              <w:r>
                <w:rPr>
                  <w:rStyle w:val="Hyperlink"/>
                </w:rPr>
                <w:t>[20]</w:t>
              </w:r>
            </w:hyperlink>
          </w:p>
        </w:tc>
      </w:tr>
      <w:tr w:rsidR="00D033B5" w14:paraId="38A189D9" w14:textId="77777777">
        <w:tc>
          <w:tcPr>
            <w:tcW w:w="0" w:type="auto"/>
          </w:tcPr>
          <w:p w14:paraId="558D2198" w14:textId="77777777" w:rsidR="00D033B5" w:rsidRDefault="00000000">
            <w:pPr>
              <w:pStyle w:val="Compact"/>
            </w:pPr>
            <w:r>
              <w:t>Synaptic convergence vs topographic variation (2018)</w:t>
            </w:r>
          </w:p>
        </w:tc>
        <w:tc>
          <w:tcPr>
            <w:tcW w:w="0" w:type="auto"/>
          </w:tcPr>
          <w:p w14:paraId="224EAE9E" w14:textId="77777777" w:rsidR="00D033B5" w:rsidRDefault="00000000">
            <w:pPr>
              <w:pStyle w:val="Compact"/>
            </w:pPr>
            <w:r>
              <w:t>Mouse</w:t>
            </w:r>
          </w:p>
        </w:tc>
        <w:tc>
          <w:tcPr>
            <w:tcW w:w="0" w:type="auto"/>
          </w:tcPr>
          <w:p w14:paraId="3F8DBA8A" w14:textId="77777777" w:rsidR="00D033B5" w:rsidRDefault="00000000">
            <w:pPr>
              <w:pStyle w:val="Compact"/>
            </w:pPr>
            <w:r>
              <w:t>Genetic targeting + anatomy/physiology; BC–RGC circuit analysis</w:t>
            </w:r>
          </w:p>
        </w:tc>
        <w:tc>
          <w:tcPr>
            <w:tcW w:w="0" w:type="auto"/>
          </w:tcPr>
          <w:p w14:paraId="3B3A237D" w14:textId="77777777" w:rsidR="00D033B5" w:rsidRDefault="00000000">
            <w:pPr>
              <w:pStyle w:val="Compact"/>
            </w:pPr>
            <w:r>
              <w:t>Multiple retinas; circuit-focused</w:t>
            </w:r>
          </w:p>
        </w:tc>
        <w:tc>
          <w:tcPr>
            <w:tcW w:w="0" w:type="auto"/>
          </w:tcPr>
          <w:p w14:paraId="407046B4" w14:textId="77777777" w:rsidR="00D033B5" w:rsidRDefault="00000000">
            <w:pPr>
              <w:pStyle w:val="Compact"/>
            </w:pPr>
            <w:r>
              <w:t>Explicit dorsal/ventral comparisons; eye-marked orientation</w:t>
            </w:r>
          </w:p>
        </w:tc>
        <w:tc>
          <w:tcPr>
            <w:tcW w:w="0" w:type="auto"/>
          </w:tcPr>
          <w:p w14:paraId="2E554E7E" w14:textId="77777777" w:rsidR="00D033B5" w:rsidRDefault="00000000">
            <w:pPr>
              <w:pStyle w:val="Compact"/>
            </w:pPr>
            <w:r>
              <w:t xml:space="preserve">Some BC–RGC arbors scale together across an axis; others are “nonmatching,” yet convergence rules can be preserved; includes region-linked functional hypotheses. </w:t>
            </w:r>
            <w:hyperlink r:id="rId29">
              <w:r>
                <w:rPr>
                  <w:rStyle w:val="Hyperlink"/>
                </w:rPr>
                <w:t>[21]</w:t>
              </w:r>
            </w:hyperlink>
          </w:p>
        </w:tc>
        <w:tc>
          <w:tcPr>
            <w:tcW w:w="0" w:type="auto"/>
          </w:tcPr>
          <w:p w14:paraId="19B10F38" w14:textId="77777777" w:rsidR="00D033B5" w:rsidRDefault="00000000">
            <w:pPr>
              <w:pStyle w:val="Compact"/>
            </w:pPr>
            <w:r>
              <w:t xml:space="preserve">Bridges spatial structure to circuit parameters (convergence, receptive-field subunits) that inhibition can modulate; informs “same type, different location” expectations. </w:t>
            </w:r>
            <w:hyperlink r:id="rId30">
              <w:r>
                <w:rPr>
                  <w:rStyle w:val="Hyperlink"/>
                </w:rPr>
                <w:t>[22]</w:t>
              </w:r>
            </w:hyperlink>
          </w:p>
        </w:tc>
      </w:tr>
      <w:tr w:rsidR="00D033B5" w14:paraId="3B57E0E3" w14:textId="77777777">
        <w:tc>
          <w:tcPr>
            <w:tcW w:w="0" w:type="auto"/>
          </w:tcPr>
          <w:p w14:paraId="28320DA5" w14:textId="77777777" w:rsidR="00D033B5" w:rsidRDefault="00000000">
            <w:pPr>
              <w:pStyle w:val="Compact"/>
            </w:pPr>
            <w:r>
              <w:t>Retina-wide spatial transcriptomics RGC atlas (2025)</w:t>
            </w:r>
          </w:p>
        </w:tc>
        <w:tc>
          <w:tcPr>
            <w:tcW w:w="0" w:type="auto"/>
          </w:tcPr>
          <w:p w14:paraId="2342352E" w14:textId="77777777" w:rsidR="00D033B5" w:rsidRDefault="00000000">
            <w:pPr>
              <w:pStyle w:val="Compact"/>
            </w:pPr>
            <w:r>
              <w:t>Mouse</w:t>
            </w:r>
          </w:p>
        </w:tc>
        <w:tc>
          <w:tcPr>
            <w:tcW w:w="0" w:type="auto"/>
          </w:tcPr>
          <w:p w14:paraId="3DFEEF11" w14:textId="77777777" w:rsidR="00D033B5" w:rsidRDefault="00000000">
            <w:pPr>
              <w:pStyle w:val="Compact"/>
            </w:pPr>
            <w:r>
              <w:t xml:space="preserve">En-face cryosectioning + imaging-based spatial transcriptomics + ML </w:t>
            </w:r>
            <w:r>
              <w:lastRenderedPageBreak/>
              <w:t>classification</w:t>
            </w:r>
          </w:p>
        </w:tc>
        <w:tc>
          <w:tcPr>
            <w:tcW w:w="0" w:type="auto"/>
          </w:tcPr>
          <w:p w14:paraId="78263258" w14:textId="77777777" w:rsidR="00D033B5" w:rsidRDefault="00000000">
            <w:pPr>
              <w:pStyle w:val="Compact"/>
            </w:pPr>
            <w:r>
              <w:lastRenderedPageBreak/>
              <w:t xml:space="preserve">Many retinas; all RGCs typed (45 </w:t>
            </w:r>
            <w:r>
              <w:lastRenderedPageBreak/>
              <w:t>types in referenced framework)</w:t>
            </w:r>
          </w:p>
        </w:tc>
        <w:tc>
          <w:tcPr>
            <w:tcW w:w="0" w:type="auto"/>
          </w:tcPr>
          <w:p w14:paraId="6C664BA2" w14:textId="77777777" w:rsidR="00D033B5" w:rsidRDefault="00000000">
            <w:pPr>
              <w:pStyle w:val="Compact"/>
            </w:pPr>
            <w:r>
              <w:lastRenderedPageBreak/>
              <w:t xml:space="preserve">Retina-wide registration to optic nerve head; zone masks (sky/ground, </w:t>
            </w:r>
            <w:r>
              <w:lastRenderedPageBreak/>
              <w:t>binocular/peripheral)</w:t>
            </w:r>
          </w:p>
        </w:tc>
        <w:tc>
          <w:tcPr>
            <w:tcW w:w="0" w:type="auto"/>
          </w:tcPr>
          <w:p w14:paraId="2B7074D2" w14:textId="77777777" w:rsidR="00D033B5" w:rsidRDefault="00000000">
            <w:pPr>
              <w:pStyle w:val="Compact"/>
            </w:pPr>
            <w:r>
              <w:lastRenderedPageBreak/>
              <w:t xml:space="preserve">Many types broadly distributed; distinct subsets enriched </w:t>
            </w:r>
            <w:r>
              <w:lastRenderedPageBreak/>
              <w:t xml:space="preserve">ventrally (sky) or dorso-temporally (binocular/frontal); within-type DEGs across DV / ART. </w:t>
            </w:r>
            <w:hyperlink r:id="rId31">
              <w:r>
                <w:rPr>
                  <w:rStyle w:val="Hyperlink"/>
                </w:rPr>
                <w:t>[12]</w:t>
              </w:r>
            </w:hyperlink>
          </w:p>
        </w:tc>
        <w:tc>
          <w:tcPr>
            <w:tcW w:w="0" w:type="auto"/>
          </w:tcPr>
          <w:p w14:paraId="143E7695" w14:textId="77777777" w:rsidR="00D033B5" w:rsidRDefault="00000000">
            <w:pPr>
              <w:pStyle w:val="Compact"/>
            </w:pPr>
            <w:r>
              <w:lastRenderedPageBreak/>
              <w:t xml:space="preserve">Best current “lookup table” for expected type mixture by quadrant; suggests within-type </w:t>
            </w:r>
            <w:r>
              <w:lastRenderedPageBreak/>
              <w:t xml:space="preserve">functional differences you may see as pharmacology-sensitive subclusters. </w:t>
            </w:r>
            <w:hyperlink r:id="rId32">
              <w:r>
                <w:rPr>
                  <w:rStyle w:val="Hyperlink"/>
                </w:rPr>
                <w:t>[23]</w:t>
              </w:r>
            </w:hyperlink>
          </w:p>
        </w:tc>
      </w:tr>
      <w:tr w:rsidR="00D033B5" w14:paraId="031365A5" w14:textId="77777777">
        <w:tc>
          <w:tcPr>
            <w:tcW w:w="0" w:type="auto"/>
          </w:tcPr>
          <w:p w14:paraId="355B2521" w14:textId="77777777" w:rsidR="00D033B5" w:rsidRDefault="00000000">
            <w:pPr>
              <w:pStyle w:val="Compact"/>
            </w:pPr>
            <w:r>
              <w:t>Flatmount MERFISH RGC spatial atlas + perivascular niche (2025)</w:t>
            </w:r>
          </w:p>
        </w:tc>
        <w:tc>
          <w:tcPr>
            <w:tcW w:w="0" w:type="auto"/>
          </w:tcPr>
          <w:p w14:paraId="04AC3377" w14:textId="77777777" w:rsidR="00D033B5" w:rsidRDefault="00000000">
            <w:pPr>
              <w:pStyle w:val="Compact"/>
            </w:pPr>
            <w:r>
              <w:t>Mouse</w:t>
            </w:r>
          </w:p>
        </w:tc>
        <w:tc>
          <w:tcPr>
            <w:tcW w:w="0" w:type="auto"/>
          </w:tcPr>
          <w:p w14:paraId="5D3F12DA" w14:textId="77777777" w:rsidR="00D033B5" w:rsidRDefault="00000000">
            <w:pPr>
              <w:pStyle w:val="Compact"/>
            </w:pPr>
            <w:r>
              <w:t>Flatmount MERFISH + computational registration + neighborhood analysis</w:t>
            </w:r>
          </w:p>
        </w:tc>
        <w:tc>
          <w:tcPr>
            <w:tcW w:w="0" w:type="auto"/>
          </w:tcPr>
          <w:p w14:paraId="57C31EFE" w14:textId="77777777" w:rsidR="00D033B5" w:rsidRDefault="00000000">
            <w:pPr>
              <w:pStyle w:val="Compact"/>
            </w:pPr>
            <w:r>
              <w:t>Many retinas; 45 types mapped</w:t>
            </w:r>
          </w:p>
        </w:tc>
        <w:tc>
          <w:tcPr>
            <w:tcW w:w="0" w:type="auto"/>
          </w:tcPr>
          <w:p w14:paraId="7388E264" w14:textId="77777777" w:rsidR="00D033B5" w:rsidRDefault="00000000">
            <w:pPr>
              <w:pStyle w:val="Compact"/>
            </w:pPr>
            <w:r>
              <w:t>Retina-wide, flatmount coordinate registration; microenvironment analysis</w:t>
            </w:r>
          </w:p>
        </w:tc>
        <w:tc>
          <w:tcPr>
            <w:tcW w:w="0" w:type="auto"/>
          </w:tcPr>
          <w:p w14:paraId="65621AA6" w14:textId="77777777" w:rsidR="00D033B5" w:rsidRDefault="00000000">
            <w:pPr>
              <w:pStyle w:val="Compact"/>
            </w:pPr>
            <m:oMath>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45</m:t>
              </m:r>
            </m:oMath>
            <w:r>
              <w:t xml:space="preserve"> types nonuniform; some types enriched perivascularly; perivascular proximity linked to resilience. </w:t>
            </w:r>
            <w:hyperlink r:id="rId33">
              <w:r>
                <w:rPr>
                  <w:rStyle w:val="Hyperlink"/>
                </w:rPr>
                <w:t>[16]</w:t>
              </w:r>
            </w:hyperlink>
          </w:p>
        </w:tc>
        <w:tc>
          <w:tcPr>
            <w:tcW w:w="0" w:type="auto"/>
          </w:tcPr>
          <w:p w14:paraId="7FA549F6" w14:textId="77777777" w:rsidR="00D033B5" w:rsidRDefault="00000000">
            <w:pPr>
              <w:pStyle w:val="Compact"/>
            </w:pPr>
            <w:r>
              <w:t xml:space="preserve">Adds microenvironment as a spatial variable that could influence inhibitory tone/metabolic state (and thus drug effects); motivates including vasculature proximity in MEA interpretations. </w:t>
            </w:r>
            <w:hyperlink r:id="rId34">
              <w:r>
                <w:rPr>
                  <w:rStyle w:val="Hyperlink"/>
                </w:rPr>
                <w:t>[16]</w:t>
              </w:r>
            </w:hyperlink>
          </w:p>
        </w:tc>
      </w:tr>
      <w:tr w:rsidR="00D033B5" w14:paraId="64ABFC3B" w14:textId="77777777">
        <w:tc>
          <w:tcPr>
            <w:tcW w:w="0" w:type="auto"/>
          </w:tcPr>
          <w:p w14:paraId="1A2F2769" w14:textId="77777777" w:rsidR="00D033B5" w:rsidRDefault="00000000">
            <w:pPr>
              <w:pStyle w:val="Compact"/>
            </w:pPr>
            <w:r>
              <w:t>Whole-retina single-cell MERFISH atlas (2023)</w:t>
            </w:r>
          </w:p>
        </w:tc>
        <w:tc>
          <w:tcPr>
            <w:tcW w:w="0" w:type="auto"/>
          </w:tcPr>
          <w:p w14:paraId="1E07B107" w14:textId="77777777" w:rsidR="00D033B5" w:rsidRDefault="00000000">
            <w:pPr>
              <w:pStyle w:val="Compact"/>
            </w:pPr>
            <w:r>
              <w:t>Mouse</w:t>
            </w:r>
          </w:p>
        </w:tc>
        <w:tc>
          <w:tcPr>
            <w:tcW w:w="0" w:type="auto"/>
          </w:tcPr>
          <w:p w14:paraId="281F27C5" w14:textId="77777777" w:rsidR="00D033B5" w:rsidRDefault="00000000">
            <w:pPr>
              <w:pStyle w:val="Compact"/>
            </w:pPr>
            <w:r>
              <w:t>MERFISH in retina sections; subtype annotation via scRNA-seq integration</w:t>
            </w:r>
          </w:p>
        </w:tc>
        <w:tc>
          <w:tcPr>
            <w:tcW w:w="0" w:type="auto"/>
          </w:tcPr>
          <w:p w14:paraId="4E457C52" w14:textId="77777777" w:rsidR="00D033B5" w:rsidRDefault="00000000">
            <w:pPr>
              <w:pStyle w:val="Compact"/>
            </w:pPr>
            <m:oMath>
              <m:r>
                <m:rPr>
                  <m:sty m:val="p"/>
                </m:rPr>
                <w:rPr>
                  <w:rFonts w:ascii="Cambria Math" w:hAnsi="Cambria Math"/>
                </w:rPr>
                <m:t>∼</m:t>
              </m:r>
              <m:r>
                <w:rPr>
                  <w:rFonts w:ascii="Cambria Math" w:hAnsi="Cambria Math"/>
                </w:rPr>
                <m:t>390</m:t>
              </m:r>
              <m:r>
                <m:rPr>
                  <m:sty m:val="p"/>
                </m:rPr>
                <w:rPr>
                  <w:rFonts w:ascii="Cambria Math" w:hAnsi="Cambria Math"/>
                </w:rPr>
                <m:t>,</m:t>
              </m:r>
              <m:r>
                <w:rPr>
                  <w:rFonts w:ascii="Cambria Math" w:hAnsi="Cambria Math"/>
                </w:rPr>
                <m:t>000</m:t>
              </m:r>
            </m:oMath>
            <w:r>
              <w:t xml:space="preserve"> cells</w:t>
            </w:r>
          </w:p>
        </w:tc>
        <w:tc>
          <w:tcPr>
            <w:tcW w:w="0" w:type="auto"/>
          </w:tcPr>
          <w:p w14:paraId="5ABF21C4" w14:textId="77777777" w:rsidR="00D033B5" w:rsidRDefault="00000000">
            <w:pPr>
              <w:pStyle w:val="Compact"/>
            </w:pPr>
            <w:r>
              <w:t>High resolution in sections; DV and NT sampling</w:t>
            </w:r>
          </w:p>
        </w:tc>
        <w:tc>
          <w:tcPr>
            <w:tcW w:w="0" w:type="auto"/>
          </w:tcPr>
          <w:p w14:paraId="717F3D15" w14:textId="77777777" w:rsidR="00D033B5" w:rsidRDefault="00000000">
            <w:pPr>
              <w:pStyle w:val="Compact"/>
            </w:pPr>
            <w:r>
              <w:t xml:space="preserve">Spatial atlas reveals subtype arrangements and spatially dependent gene expression within subtypes. </w:t>
            </w:r>
            <w:hyperlink r:id="rId35">
              <w:r>
                <w:rPr>
                  <w:rStyle w:val="Hyperlink"/>
                </w:rPr>
                <w:t>[24]</w:t>
              </w:r>
            </w:hyperlink>
          </w:p>
        </w:tc>
        <w:tc>
          <w:tcPr>
            <w:tcW w:w="0" w:type="auto"/>
          </w:tcPr>
          <w:p w14:paraId="39574983" w14:textId="77777777" w:rsidR="00D033B5" w:rsidRDefault="00000000">
            <w:pPr>
              <w:pStyle w:val="Compact"/>
            </w:pPr>
            <w:r>
              <w:t xml:space="preserve">Supports the idea that transcriptomic/functional identity may vary with location; relevant when interpreting “same response type” showing regional drug sensitivity differences. </w:t>
            </w:r>
            <w:hyperlink r:id="rId36">
              <w:r>
                <w:rPr>
                  <w:rStyle w:val="Hyperlink"/>
                </w:rPr>
                <w:t>[17]</w:t>
              </w:r>
            </w:hyperlink>
          </w:p>
        </w:tc>
      </w:tr>
    </w:tbl>
    <w:p w14:paraId="34F854E0" w14:textId="77777777" w:rsidR="00D033B5" w:rsidRDefault="00000000">
      <w:pPr>
        <w:pStyle w:val="Heading2"/>
      </w:pPr>
      <w:bookmarkStart w:id="10" w:name="X0bda0201af9d213af0443237ecc68a0b05a2b6d"/>
      <w:bookmarkEnd w:id="5"/>
      <w:bookmarkEnd w:id="9"/>
      <w:r>
        <w:t>Region-specific functional specializations across dorsal/ventral/nasal/temporal and central/peripheral retina</w:t>
      </w:r>
    </w:p>
    <w:p w14:paraId="35DCEF5D" w14:textId="77777777" w:rsidR="00D033B5" w:rsidRDefault="00000000">
      <w:pPr>
        <w:pStyle w:val="Heading3"/>
      </w:pPr>
      <w:bookmarkStart w:id="11" w:name="X89c53300da46d10ea390792997b6e1aaa1a4ded"/>
      <w:r>
        <w:t>Spectral tuning and color computations driven by opsin gradients</w:t>
      </w:r>
    </w:p>
    <w:p w14:paraId="77D7A264" w14:textId="77777777" w:rsidR="00D033B5" w:rsidRDefault="00000000">
      <w:pPr>
        <w:pStyle w:val="FirstParagraph"/>
      </w:pPr>
      <w:r>
        <w:t xml:space="preserve">Mouse cones show strong dorsoventral opsin gradients: coexpressing cones shift in M:S ratio such that dorsal retina is relatively M-opsin dominated and ventral retina is relatively S-opsin dominated; the transition is tilted so that S-opsin dominance appears earlier along DV in nasal than temporal retina. </w:t>
      </w:r>
      <w:hyperlink r:id="rId37">
        <w:r>
          <w:rPr>
            <w:rStyle w:val="Hyperlink"/>
          </w:rPr>
          <w:t>[25]</w:t>
        </w:r>
      </w:hyperlink>
    </w:p>
    <w:p w14:paraId="267DCDD7" w14:textId="77777777" w:rsidR="00D033B5" w:rsidRDefault="00000000">
      <w:pPr>
        <w:pStyle w:val="BodyText"/>
      </w:pPr>
      <w:r>
        <w:lastRenderedPageBreak/>
        <w:t xml:space="preserve">A key refinement is that “true S-cones” (S-opsin-only cones), a minority overall, are concentrated and clustered ventrally and are wired in a way consistent with enhancing color detection in the upper visual field—resolving earlier conflicting reports about their distribution. </w:t>
      </w:r>
      <w:hyperlink r:id="rId38">
        <w:r>
          <w:rPr>
            <w:rStyle w:val="Hyperlink"/>
          </w:rPr>
          <w:t>[26]</w:t>
        </w:r>
      </w:hyperlink>
    </w:p>
    <w:p w14:paraId="434E8028" w14:textId="77777777" w:rsidR="00D033B5" w:rsidRDefault="00000000">
      <w:pPr>
        <w:pStyle w:val="BodyText"/>
      </w:pPr>
      <w:r>
        <w:t xml:space="preserve">At the level of retinal output, multiple mechanisms for color opponency have been described, and notably they are </w:t>
      </w:r>
      <w:r>
        <w:rPr>
          <w:b/>
          <w:bCs/>
        </w:rPr>
        <w:t>regionally expressed</w:t>
      </w:r>
      <w:r>
        <w:t xml:space="preserve"> rather than uniformly distributed:</w:t>
      </w:r>
    </w:p>
    <w:p w14:paraId="35974A36" w14:textId="77777777" w:rsidR="00D033B5" w:rsidRDefault="00000000">
      <w:pPr>
        <w:pStyle w:val="Compact"/>
        <w:numPr>
          <w:ilvl w:val="0"/>
          <w:numId w:val="4"/>
        </w:numPr>
      </w:pPr>
      <w:r>
        <w:t xml:space="preserve">A mechanism relying on the opsin transition zone can produce color-opponent responses in alpha-like output when those cells are located near the transition band. </w:t>
      </w:r>
      <w:hyperlink r:id="rId39">
        <w:r>
          <w:rPr>
            <w:rStyle w:val="Hyperlink"/>
          </w:rPr>
          <w:t>[27]</w:t>
        </w:r>
      </w:hyperlink>
    </w:p>
    <w:p w14:paraId="0806BEA1" w14:textId="77777777" w:rsidR="00D033B5" w:rsidRDefault="00000000">
      <w:pPr>
        <w:pStyle w:val="Compact"/>
        <w:numPr>
          <w:ilvl w:val="0"/>
          <w:numId w:val="4"/>
        </w:numPr>
      </w:pPr>
      <w:r>
        <w:t xml:space="preserve">A rod–cone opponency circuit can produce UV–green opponency in genetically identified direction-selective output, consistent with a ventral/upper-field specialization. </w:t>
      </w:r>
      <w:hyperlink r:id="rId40">
        <w:r>
          <w:rPr>
            <w:rStyle w:val="Hyperlink"/>
          </w:rPr>
          <w:t>[28]</w:t>
        </w:r>
      </w:hyperlink>
    </w:p>
    <w:p w14:paraId="05CBE522" w14:textId="77777777" w:rsidR="00D033B5" w:rsidRDefault="00000000">
      <w:pPr>
        <w:pStyle w:val="Compact"/>
        <w:numPr>
          <w:ilvl w:val="0"/>
          <w:numId w:val="4"/>
        </w:numPr>
      </w:pPr>
      <w:r>
        <w:t xml:space="preserve">Large-scale imaging across cones, bipolar cells, and RGCs found that most color-opponent responses are located in ventral retina, and that nonlinear center–surround interactions contribute to the emergence of chromatic channels toward the retinal output. </w:t>
      </w:r>
      <w:hyperlink r:id="rId41">
        <w:r>
          <w:rPr>
            <w:rStyle w:val="Hyperlink"/>
          </w:rPr>
          <w:t>[29]</w:t>
        </w:r>
      </w:hyperlink>
    </w:p>
    <w:p w14:paraId="7A21F721" w14:textId="77777777" w:rsidR="00D033B5" w:rsidRDefault="00000000">
      <w:pPr>
        <w:pStyle w:val="Compact"/>
        <w:numPr>
          <w:ilvl w:val="0"/>
          <w:numId w:val="4"/>
        </w:numPr>
      </w:pPr>
      <w:r>
        <w:t xml:space="preserve">Behaviorally, mouse chromatic discrimination and wavelength-specific luminance contrast sensitivity are nonuniform across visual space and are strongest in the upper visual field (consistent with ventral-retina specializations). </w:t>
      </w:r>
      <w:hyperlink r:id="rId42">
        <w:r>
          <w:rPr>
            <w:rStyle w:val="Hyperlink"/>
          </w:rPr>
          <w:t>[30]</w:t>
        </w:r>
      </w:hyperlink>
    </w:p>
    <w:p w14:paraId="0412AC85" w14:textId="77777777" w:rsidR="00D033B5" w:rsidRDefault="00000000">
      <w:pPr>
        <w:pStyle w:val="FirstParagraph"/>
      </w:pPr>
      <w:r>
        <w:t xml:space="preserve">The literature is not perfectly settled on how widespread retinal opponency is under different regimes; some recent systematic work reports extensive cone-opponent processing in the mouse visual system and highlights methodological dependencies (stimulus, adaptation, light level, and readout method). </w:t>
      </w:r>
      <w:hyperlink r:id="rId43">
        <w:r>
          <w:rPr>
            <w:rStyle w:val="Hyperlink"/>
          </w:rPr>
          <w:t>[31]</w:t>
        </w:r>
      </w:hyperlink>
    </w:p>
    <w:p w14:paraId="5B7123A3" w14:textId="77777777" w:rsidR="00D033B5" w:rsidRDefault="00000000">
      <w:pPr>
        <w:pStyle w:val="Heading3"/>
      </w:pPr>
      <w:bookmarkStart w:id="12" w:name="Xf60e4ba685843a1de4f9ce11b2bbcb230eb3fac"/>
      <w:bookmarkEnd w:id="11"/>
      <w:r>
        <w:t>Motion coding and direction selectivity: maps, biases, and region-dependent plasticity</w:t>
      </w:r>
    </w:p>
    <w:p w14:paraId="1E70FC55" w14:textId="77777777" w:rsidR="00D033B5" w:rsidRDefault="00000000">
      <w:pPr>
        <w:pStyle w:val="FirstParagraph"/>
      </w:pPr>
      <w:r>
        <w:t xml:space="preserve">Direction-selective retinal ganglion cells (DSGCs) include multiple subtypes, with canonical ON–OFF DSGC subtypes preferring motion along four cardinal retinal directions (nasal, temporal, dorsal, ventral). </w:t>
      </w:r>
      <w:hyperlink r:id="rId44">
        <w:r>
          <w:rPr>
            <w:rStyle w:val="Hyperlink"/>
          </w:rPr>
          <w:t>[32]</w:t>
        </w:r>
      </w:hyperlink>
    </w:p>
    <w:p w14:paraId="6F8D13BB" w14:textId="77777777" w:rsidR="00D033B5" w:rsidRDefault="00000000">
      <w:pPr>
        <w:pStyle w:val="BodyText"/>
      </w:pPr>
      <w:r>
        <w:t>Acute blockade of GABA</w:t>
      </w:r>
      <m:oMath>
        <m:sSub>
          <m:sSubPr>
            <m:ctrlPr>
              <w:rPr>
                <w:rFonts w:ascii="Cambria Math" w:hAnsi="Cambria Math"/>
              </w:rPr>
            </m:ctrlPr>
          </m:sSubPr>
          <m:e>
            <m:r>
              <w:rPr>
                <w:rFonts w:ascii="Cambria Math" w:hAnsi="Cambria Math"/>
              </w:rPr>
              <m:t>​</m:t>
            </m:r>
          </m:e>
          <m:sub>
            <m:r>
              <m:rPr>
                <m:sty m:val="p"/>
              </m:rPr>
              <w:rPr>
                <w:rFonts w:ascii="Cambria Math" w:hAnsi="Cambria Math"/>
              </w:rPr>
              <m:t>A</m:t>
            </m:r>
          </m:sub>
        </m:sSub>
      </m:oMath>
      <w:r>
        <w:t xml:space="preserve"> receptors strongly reduces direction selectivity, consistent with the classical asymmetric inhibition mechanism in DS circuits. </w:t>
      </w:r>
      <w:hyperlink r:id="rId45">
        <w:r>
          <w:rPr>
            <w:rStyle w:val="Hyperlink"/>
          </w:rPr>
          <w:t>[33]</w:t>
        </w:r>
      </w:hyperlink>
    </w:p>
    <w:p w14:paraId="123AD862" w14:textId="77777777" w:rsidR="00D033B5" w:rsidRDefault="00000000">
      <w:pPr>
        <w:pStyle w:val="BodyText"/>
      </w:pPr>
      <w:r>
        <w:t>Several DS-related phenomena show explicit regional dependencies or region-linked circuit context:</w:t>
      </w:r>
    </w:p>
    <w:p w14:paraId="768BED35" w14:textId="77777777" w:rsidR="00D033B5" w:rsidRDefault="00000000">
      <w:pPr>
        <w:pStyle w:val="Compact"/>
        <w:numPr>
          <w:ilvl w:val="0"/>
          <w:numId w:val="5"/>
        </w:numPr>
      </w:pPr>
      <w:r>
        <w:t xml:space="preserve">Dorsal versus ventral retina can show </w:t>
      </w:r>
      <w:r>
        <w:rPr>
          <w:i/>
          <w:iCs/>
        </w:rPr>
        <w:t>different adaptive outcomes</w:t>
      </w:r>
      <w:r>
        <w:t xml:space="preserve"> in DS circuits, including polarity switching in starburst-associated pathways under particular visual stimulation conditions, consistent with region-dependent rod/cone engagement and pathway interactions. </w:t>
      </w:r>
      <w:hyperlink r:id="rId46">
        <w:r>
          <w:rPr>
            <w:rStyle w:val="Hyperlink"/>
          </w:rPr>
          <w:t>[34]</w:t>
        </w:r>
      </w:hyperlink>
    </w:p>
    <w:p w14:paraId="711800A3" w14:textId="77777777" w:rsidR="00D033B5" w:rsidRDefault="00000000">
      <w:pPr>
        <w:pStyle w:val="Compact"/>
        <w:numPr>
          <w:ilvl w:val="0"/>
          <w:numId w:val="5"/>
        </w:numPr>
      </w:pPr>
      <w:r>
        <w:t xml:space="preserve">Dorsal and ventral ON–OFF DSGCs can exhibit distinct sensitization patterns after stimulation, attributed to topographic differences in OFF bipolar signaling and ON/OFF pathway crosstalk. </w:t>
      </w:r>
      <w:hyperlink r:id="rId47">
        <w:r>
          <w:rPr>
            <w:rStyle w:val="Hyperlink"/>
          </w:rPr>
          <w:t>[35]</w:t>
        </w:r>
      </w:hyperlink>
    </w:p>
    <w:p w14:paraId="40DD6D1E" w14:textId="77777777" w:rsidR="00D033B5" w:rsidRDefault="00000000">
      <w:pPr>
        <w:pStyle w:val="Compact"/>
        <w:numPr>
          <w:ilvl w:val="0"/>
          <w:numId w:val="5"/>
        </w:numPr>
      </w:pPr>
      <w:r>
        <w:t xml:space="preserve">Close to the absolute visual threshold, GABA-mediated inhibition shapes receptive-field size, absolute sensitivity, and contrast preference in direction-selective output, and removing GABA inhibition can unmask response components not normally expressed under scotopic conditions. </w:t>
      </w:r>
      <w:hyperlink r:id="rId48">
        <w:r>
          <w:rPr>
            <w:rStyle w:val="Hyperlink"/>
          </w:rPr>
          <w:t>[36]</w:t>
        </w:r>
      </w:hyperlink>
    </w:p>
    <w:p w14:paraId="09AFF424" w14:textId="77777777" w:rsidR="00D033B5" w:rsidRDefault="00000000">
      <w:pPr>
        <w:pStyle w:val="FirstParagraph"/>
      </w:pPr>
      <w:r>
        <w:t xml:space="preserve">These findings matter for MEA with GABA blockers because they predict that DS-tuned clusters may (i) lose tuning, (ii) show polarity changes, and/or (iii) reveal hidden components differently depending on background adaptation and retinal region. </w:t>
      </w:r>
      <w:hyperlink r:id="rId49">
        <w:r>
          <w:rPr>
            <w:rStyle w:val="Hyperlink"/>
          </w:rPr>
          <w:t>[37]</w:t>
        </w:r>
      </w:hyperlink>
    </w:p>
    <w:p w14:paraId="3E35AD32" w14:textId="77777777" w:rsidR="00D033B5" w:rsidRDefault="00000000">
      <w:pPr>
        <w:pStyle w:val="Heading3"/>
      </w:pPr>
      <w:bookmarkStart w:id="13" w:name="X9addd5e28e952aedd65469ef99d5417b88c6000"/>
      <w:bookmarkEnd w:id="12"/>
      <w:r>
        <w:lastRenderedPageBreak/>
        <w:t>Orientation selectivity and large-scale organization</w:t>
      </w:r>
    </w:p>
    <w:p w14:paraId="2C421FC5" w14:textId="77777777" w:rsidR="00D033B5" w:rsidRDefault="00000000">
      <w:pPr>
        <w:pStyle w:val="FirstParagraph"/>
      </w:pPr>
      <w:r>
        <w:t xml:space="preserve">Orientation selectivity exists in multiple retinal output types and can have spatial organization. A recent study reports that preferred orientations of orientation-selective retinal output are organized as a function of retinal location, with region-specific overrepresentation of particular axes (e.g., ventronasal versus ventrotemporal biases), supporting the idea of retina-wide functional maps beyond classic retinotopy. </w:t>
      </w:r>
      <w:hyperlink r:id="rId50">
        <w:r>
          <w:rPr>
            <w:rStyle w:val="Hyperlink"/>
          </w:rPr>
          <w:t>[38]</w:t>
        </w:r>
      </w:hyperlink>
    </w:p>
    <w:p w14:paraId="7FC9A2C7" w14:textId="77777777" w:rsidR="00D033B5" w:rsidRDefault="00000000">
      <w:pPr>
        <w:pStyle w:val="Heading3"/>
      </w:pPr>
      <w:bookmarkStart w:id="14" w:name="Xd3ed46e5aa457fcd18cc576c3ae0a5406b9b323"/>
      <w:bookmarkEnd w:id="13"/>
      <w:r>
        <w:t>Receptive field size/shape and surround structure vary systematically with dorsoventral location</w:t>
      </w:r>
    </w:p>
    <w:p w14:paraId="7576A0CE" w14:textId="77777777" w:rsidR="00D033B5" w:rsidRDefault="00000000">
      <w:pPr>
        <w:pStyle w:val="FirstParagraph"/>
      </w:pPr>
      <w:r>
        <w:t xml:space="preserve">A high-throughput, retina-wide analysis explicitly tested efficient-coding predictions for how natural scene statistics differ between sky and ground and found that RGC RF shapes change along the dorsoventral axis. Across thousands of RFs, relative surround strength increased systematically with dorsoventral position, RF center sizes decreased along the same axis, and RFs near the horizon exhibited pronounced surround asymmetry. </w:t>
      </w:r>
      <w:hyperlink r:id="rId51">
        <w:r>
          <w:rPr>
            <w:rStyle w:val="Hyperlink"/>
          </w:rPr>
          <w:t>[39]</w:t>
        </w:r>
      </w:hyperlink>
    </w:p>
    <w:p w14:paraId="6303EA0E" w14:textId="77777777" w:rsidR="00D033B5" w:rsidRDefault="00000000">
      <w:pPr>
        <w:pStyle w:val="BodyText"/>
      </w:pPr>
      <w:r>
        <w:t xml:space="preserve">This result is especially relevant to MEA-scale datasets because it explicitly demonstrates that </w:t>
      </w:r>
      <w:r>
        <w:rPr>
          <w:i/>
          <w:iCs/>
        </w:rPr>
        <w:t>many cell types</w:t>
      </w:r>
      <w:r>
        <w:t xml:space="preserve"> (not just a single labeled type) can carry a shared, position-dependent modulation of RF geometry, which could appear in MEA as systematic changes in surround strength, adaptation, or spatial nonlinearities across the array footprint. </w:t>
      </w:r>
      <w:hyperlink r:id="rId52">
        <w:r>
          <w:rPr>
            <w:rStyle w:val="Hyperlink"/>
          </w:rPr>
          <w:t>[40]</w:t>
        </w:r>
      </w:hyperlink>
    </w:p>
    <w:p w14:paraId="28371898" w14:textId="77777777" w:rsidR="00D033B5" w:rsidRDefault="00000000">
      <w:pPr>
        <w:pStyle w:val="Heading3"/>
      </w:pPr>
      <w:bookmarkStart w:id="15" w:name="X2cfc2a775eff4ffb7369619b038514cb5a44243"/>
      <w:bookmarkEnd w:id="14"/>
      <w:r>
        <w:t>Cell-type-specific dorsoventral tuning of temporal dynamics via inhibitory/rod-pathway interactions</w:t>
      </w:r>
    </w:p>
    <w:p w14:paraId="64B73C35" w14:textId="77777777" w:rsidR="00D033B5" w:rsidRDefault="00000000">
      <w:pPr>
        <w:pStyle w:val="FirstParagraph"/>
      </w:pPr>
      <w:r>
        <w:t xml:space="preserve">One of the clearest demonstrations of “same type, different function by location” is a study of transient OFF alpha output showing that response duration changes gradually along the ventral–dorsal axis, linked to location-dependent synaptic input from the primary rod pathway and to glycinergic circuitry (classically associated with AII amacrine–mediated crossover routes). </w:t>
      </w:r>
      <w:hyperlink r:id="rId53">
        <w:r>
          <w:rPr>
            <w:rStyle w:val="Hyperlink"/>
          </w:rPr>
          <w:t>[41]</w:t>
        </w:r>
      </w:hyperlink>
    </w:p>
    <w:p w14:paraId="648DB7E9" w14:textId="77777777" w:rsidR="00D033B5" w:rsidRDefault="00000000">
      <w:pPr>
        <w:pStyle w:val="BodyText"/>
      </w:pPr>
      <w:r>
        <w:t xml:space="preserve">This provides a concrete mechanistic template: </w:t>
      </w:r>
      <w:r>
        <w:rPr>
          <w:b/>
          <w:bCs/>
        </w:rPr>
        <w:t>position-dependent inhibitory routing</w:t>
      </w:r>
      <w:r>
        <w:t xml:space="preserve"> (in this case glycinergic/rod-pathway linked) can transform temporal filtering within a single genetically/morphologically defined RGC type. </w:t>
      </w:r>
      <w:hyperlink r:id="rId54">
        <w:r>
          <w:rPr>
            <w:rStyle w:val="Hyperlink"/>
          </w:rPr>
          <w:t>[42]</w:t>
        </w:r>
      </w:hyperlink>
    </w:p>
    <w:p w14:paraId="2BD54CBF" w14:textId="77777777" w:rsidR="00D033B5" w:rsidRDefault="00000000">
      <w:pPr>
        <w:pStyle w:val="Heading3"/>
      </w:pPr>
      <w:bookmarkStart w:id="16" w:name="X9cd51f0913769a20b5010a31493a6809e9ab0c1"/>
      <w:bookmarkEnd w:id="15"/>
      <w:r>
        <w:t>Central vs peripheral: modest global gradients but localized type enrichments</w:t>
      </w:r>
    </w:p>
    <w:p w14:paraId="30EE12D4" w14:textId="77777777" w:rsidR="00D033B5" w:rsidRDefault="00000000">
      <w:pPr>
        <w:pStyle w:val="FirstParagraph"/>
      </w:pPr>
      <w:r>
        <w:t xml:space="preserve">While mouse lacks a primate-like fovea, modern subtype mapping supports localized enrichments consistent with a rodent “area retinae temporalis” concept (dorso-temporal enrichment for binocular/frontal tasks) and with ventral specializations associated with sky sampling. These are not necessarily captured by simply searching for the absolute peak of total RGC density. </w:t>
      </w:r>
      <w:hyperlink r:id="rId55">
        <w:r>
          <w:rPr>
            <w:rStyle w:val="Hyperlink"/>
          </w:rPr>
          <w:t>[43]</w:t>
        </w:r>
      </w:hyperlink>
    </w:p>
    <w:p w14:paraId="385527E2" w14:textId="77777777" w:rsidR="00D033B5" w:rsidRDefault="00000000">
      <w:pPr>
        <w:pStyle w:val="Heading2"/>
      </w:pPr>
      <w:bookmarkStart w:id="17" w:name="Xb6dd766c176bbc5b3b16b63c6a12d2c3f512ab9"/>
      <w:bookmarkEnd w:id="10"/>
      <w:bookmarkEnd w:id="16"/>
      <w:r>
        <w:t>Inhibitory circuits (GABAergic, glycinergic) as drivers of regional RGC computations</w:t>
      </w:r>
    </w:p>
    <w:p w14:paraId="35E7CCEA" w14:textId="77777777" w:rsidR="00D033B5" w:rsidRDefault="00000000">
      <w:pPr>
        <w:pStyle w:val="Heading3"/>
      </w:pPr>
      <w:bookmarkStart w:id="18" w:name="X3f591a625e8e002bb6486b983ff6339c3724596"/>
      <w:r>
        <w:t>Core inhibitory motifs relevant to pharmacology interpretation</w:t>
      </w:r>
    </w:p>
    <w:p w14:paraId="18ACEF3F" w14:textId="77777777" w:rsidR="00D033B5" w:rsidRDefault="00000000">
      <w:pPr>
        <w:pStyle w:val="FirstParagraph"/>
      </w:pPr>
      <w:r>
        <w:t>Two broad inhibitory systems dominate inner-retina inhibition:</w:t>
      </w:r>
    </w:p>
    <w:p w14:paraId="3D630D3E" w14:textId="77777777" w:rsidR="00D033B5" w:rsidRDefault="00000000">
      <w:pPr>
        <w:pStyle w:val="Compact"/>
        <w:numPr>
          <w:ilvl w:val="0"/>
          <w:numId w:val="6"/>
        </w:numPr>
      </w:pPr>
      <w:r>
        <w:rPr>
          <w:b/>
          <w:bCs/>
        </w:rPr>
        <w:t>GABAergic inhibition</w:t>
      </w:r>
      <w:r>
        <w:t xml:space="preserve"> (many amacrine types; includes starburst amacrine GABA output crucial for direction selectivity; includes presynaptic inhibition onto bipolar terminals shaping gain/kinetics). </w:t>
      </w:r>
      <w:hyperlink r:id="rId56">
        <w:r>
          <w:rPr>
            <w:rStyle w:val="Hyperlink"/>
          </w:rPr>
          <w:t>[44]</w:t>
        </w:r>
      </w:hyperlink>
    </w:p>
    <w:p w14:paraId="1BFFD6B2" w14:textId="77777777" w:rsidR="00D033B5" w:rsidRDefault="00000000">
      <w:pPr>
        <w:pStyle w:val="Compact"/>
        <w:numPr>
          <w:ilvl w:val="0"/>
          <w:numId w:val="6"/>
        </w:numPr>
      </w:pPr>
      <w:r>
        <w:rPr>
          <w:b/>
          <w:bCs/>
        </w:rPr>
        <w:t>Glycinergic inhibition</w:t>
      </w:r>
      <w:r>
        <w:t xml:space="preserve"> (classically central to ON↔OFF crossover inhibition via AII amacrine pathways; also diverse glycinergic amacrine types with targeted connectivity). </w:t>
      </w:r>
      <w:hyperlink r:id="rId57">
        <w:r>
          <w:rPr>
            <w:rStyle w:val="Hyperlink"/>
          </w:rPr>
          <w:t>[45]</w:t>
        </w:r>
      </w:hyperlink>
    </w:p>
    <w:p w14:paraId="40DC35F8" w14:textId="77777777" w:rsidR="00D033B5" w:rsidRDefault="00000000">
      <w:pPr>
        <w:pStyle w:val="FirstParagraph"/>
      </w:pPr>
      <w:r>
        <w:lastRenderedPageBreak/>
        <w:t xml:space="preserve">Crossover inhibition is widely described as a strategy to “linearize” rectified synaptic pathways and support computations like edge detection and contrast/luminance separation; it has been measured at bipolar, amacrine, and ganglion stages. </w:t>
      </w:r>
      <w:hyperlink r:id="rId58">
        <w:r>
          <w:rPr>
            <w:rStyle w:val="Hyperlink"/>
          </w:rPr>
          <w:t>[46]</w:t>
        </w:r>
      </w:hyperlink>
    </w:p>
    <w:p w14:paraId="5B0F339F" w14:textId="77777777" w:rsidR="00D033B5" w:rsidRDefault="00000000">
      <w:pPr>
        <w:pStyle w:val="BodyText"/>
      </w:pPr>
      <w:r>
        <w:t>Because common pharmacology (gabazine/picrotoxin for GABA</w:t>
      </w:r>
      <m:oMath>
        <m:sSub>
          <m:sSubPr>
            <m:ctrlPr>
              <w:rPr>
                <w:rFonts w:ascii="Cambria Math" w:hAnsi="Cambria Math"/>
              </w:rPr>
            </m:ctrlPr>
          </m:sSubPr>
          <m:e>
            <m:r>
              <w:rPr>
                <w:rFonts w:ascii="Cambria Math" w:hAnsi="Cambria Math"/>
              </w:rPr>
              <m:t>​</m:t>
            </m:r>
          </m:e>
          <m:sub>
            <m:r>
              <m:rPr>
                <m:sty m:val="p"/>
              </m:rPr>
              <w:rPr>
                <w:rFonts w:ascii="Cambria Math" w:hAnsi="Cambria Math"/>
              </w:rPr>
              <m:t>A</m:t>
            </m:r>
          </m:sub>
        </m:sSub>
      </m:oMath>
      <w:r>
        <w:t>/GABA</w:t>
      </w:r>
      <m:oMath>
        <m:sSub>
          <m:sSubPr>
            <m:ctrlPr>
              <w:rPr>
                <w:rFonts w:ascii="Cambria Math" w:hAnsi="Cambria Math"/>
              </w:rPr>
            </m:ctrlPr>
          </m:sSubPr>
          <m:e>
            <m:r>
              <w:rPr>
                <w:rFonts w:ascii="Cambria Math" w:hAnsi="Cambria Math"/>
              </w:rPr>
              <m:t>​</m:t>
            </m:r>
          </m:e>
          <m:sub>
            <m:r>
              <m:rPr>
                <m:sty m:val="p"/>
              </m:rPr>
              <w:rPr>
                <w:rFonts w:ascii="Cambria Math" w:hAnsi="Cambria Math"/>
              </w:rPr>
              <m:t>C</m:t>
            </m:r>
          </m:sub>
        </m:sSub>
      </m:oMath>
      <w:r>
        <w:t xml:space="preserve">, strychnine for glycine receptors) collapses multiple inhibitory microcircuits simultaneously, many “feature” readouts in MEA (DS tuning, surround suppression, temporal filtering, contrast gain) should be expected to change in ways that can be </w:t>
      </w:r>
      <w:r>
        <w:rPr>
          <w:i/>
          <w:iCs/>
        </w:rPr>
        <w:t>type-specific</w:t>
      </w:r>
      <w:r>
        <w:t xml:space="preserve"> and also </w:t>
      </w:r>
      <w:r>
        <w:rPr>
          <w:i/>
          <w:iCs/>
        </w:rPr>
        <w:t>region-dependent</w:t>
      </w:r>
      <w:r>
        <w:t xml:space="preserve"> if baseline inhibitory routing differs by retinal location. </w:t>
      </w:r>
      <w:hyperlink r:id="rId59">
        <w:r>
          <w:rPr>
            <w:rStyle w:val="Hyperlink"/>
          </w:rPr>
          <w:t>[47]</w:t>
        </w:r>
      </w:hyperlink>
    </w:p>
    <w:p w14:paraId="713C545E" w14:textId="77777777" w:rsidR="00D033B5" w:rsidRDefault="00000000">
      <w:pPr>
        <w:pStyle w:val="Heading3"/>
      </w:pPr>
      <w:bookmarkStart w:id="19" w:name="X3f36210ae8244737bee4682405f1aa8ba8bcbf1"/>
      <w:bookmarkEnd w:id="18"/>
      <w:r>
        <w:t>Clear region-specific inhibition effects documented in mouse</w:t>
      </w:r>
    </w:p>
    <w:p w14:paraId="327D92C9" w14:textId="77777777" w:rsidR="00D033B5" w:rsidRDefault="00000000">
      <w:pPr>
        <w:pStyle w:val="FirstParagraph"/>
      </w:pPr>
      <w:r>
        <w:rPr>
          <w:b/>
          <w:bCs/>
        </w:rPr>
        <w:t>Dorsoventral glycinergic modulation of temporal dynamics in a single RGC type.</w:t>
      </w:r>
      <w:r>
        <w:t xml:space="preserve"> The transient OFF alpha case is especially informative because it links a smooth dorsoventral change in output dynamics to a specific circuit locus (rod pathway inputs and glycinergic inhibition), demonstrating that “regional specialization” does not require a different cell type—regional circuit state is enough. </w:t>
      </w:r>
      <w:hyperlink r:id="rId60">
        <w:r>
          <w:rPr>
            <w:rStyle w:val="Hyperlink"/>
          </w:rPr>
          <w:t>[41]</w:t>
        </w:r>
      </w:hyperlink>
    </w:p>
    <w:p w14:paraId="1674ED6F" w14:textId="77777777" w:rsidR="00D033B5" w:rsidRDefault="00000000">
      <w:pPr>
        <w:pStyle w:val="BodyText"/>
      </w:pPr>
      <w:r>
        <w:rPr>
          <w:b/>
          <w:bCs/>
        </w:rPr>
        <w:t>Region-dependent OFF bipolar signaling and DSGC sensitization.</w:t>
      </w:r>
      <w:r>
        <w:t xml:space="preserve"> Dorsal/ventral differences in DSGC sensitization were traced to different adaptive properties of OFF bipolar signaling and ON/OFF crosstalk, placing inhibitory/crossover architecture centrally in region-dependent experience effects. </w:t>
      </w:r>
      <w:hyperlink r:id="rId61">
        <w:r>
          <w:rPr>
            <w:rStyle w:val="Hyperlink"/>
          </w:rPr>
          <w:t>[35]</w:t>
        </w:r>
      </w:hyperlink>
    </w:p>
    <w:p w14:paraId="1EC56895" w14:textId="77777777" w:rsidR="00D033B5" w:rsidRDefault="00000000">
      <w:pPr>
        <w:pStyle w:val="BodyText"/>
      </w:pPr>
      <w:r>
        <w:rPr>
          <w:b/>
          <w:bCs/>
        </w:rPr>
        <w:t>GABAergic “de-biasing” of chromatic gradients.</w:t>
      </w:r>
      <w:r>
        <w:t xml:space="preserve"> A recent large survey of GABAergic amacrine dendritic chromatic responses supports a model in which amacrine inhibition counterbalances (“de-biases”) the strong dorsal–ventral spectral bias of excitation originating from photoreceptor sampling, helping explain why chromatic tuning at the retinal output is more mixed than photoreceptor gradients alone would imply. </w:t>
      </w:r>
      <w:hyperlink r:id="rId62">
        <w:r>
          <w:rPr>
            <w:rStyle w:val="Hyperlink"/>
          </w:rPr>
          <w:t>[48]</w:t>
        </w:r>
      </w:hyperlink>
    </w:p>
    <w:p w14:paraId="1649EAE2" w14:textId="77777777" w:rsidR="00D033B5" w:rsidRDefault="00000000">
      <w:pPr>
        <w:pStyle w:val="BodyText"/>
      </w:pPr>
      <w:r>
        <w:rPr>
          <w:b/>
          <w:bCs/>
        </w:rPr>
        <w:t>Direction selectivity depends strongly on GABA</w:t>
      </w:r>
      <m:oMath>
        <m:sSub>
          <m:sSubPr>
            <m:ctrlPr>
              <w:rPr>
                <w:rFonts w:ascii="Cambria Math" w:hAnsi="Cambria Math"/>
              </w:rPr>
            </m:ctrlPr>
          </m:sSubPr>
          <m:e>
            <m:r>
              <w:rPr>
                <w:rFonts w:ascii="Cambria Math" w:hAnsi="Cambria Math"/>
              </w:rPr>
              <m:t>​</m:t>
            </m:r>
          </m:e>
          <m:sub>
            <m:r>
              <m:rPr>
                <m:sty m:val="p"/>
              </m:rPr>
              <w:rPr>
                <w:rFonts w:ascii="Cambria Math" w:hAnsi="Cambria Math"/>
              </w:rPr>
              <m:t>A</m:t>
            </m:r>
          </m:sub>
        </m:sSub>
      </m:oMath>
      <w:r>
        <w:rPr>
          <w:b/>
          <w:bCs/>
        </w:rPr>
        <w:t xml:space="preserve"> inhibition; SAC inhibition includes glycinergic components.</w:t>
      </w:r>
      <w:r>
        <w:t xml:space="preserve"> Pharmacological GABA</w:t>
      </w:r>
      <m:oMath>
        <m:sSub>
          <m:sSubPr>
            <m:ctrlPr>
              <w:rPr>
                <w:rFonts w:ascii="Cambria Math" w:hAnsi="Cambria Math"/>
              </w:rPr>
            </m:ctrlPr>
          </m:sSubPr>
          <m:e>
            <m:r>
              <w:rPr>
                <w:rFonts w:ascii="Cambria Math" w:hAnsi="Cambria Math"/>
              </w:rPr>
              <m:t>​</m:t>
            </m:r>
          </m:e>
          <m:sub>
            <m:r>
              <m:rPr>
                <m:sty m:val="p"/>
              </m:rPr>
              <w:rPr>
                <w:rFonts w:ascii="Cambria Math" w:hAnsi="Cambria Math"/>
              </w:rPr>
              <m:t>A</m:t>
            </m:r>
          </m:sub>
        </m:sSub>
      </m:oMath>
      <w:r>
        <w:t xml:space="preserve"> block reduces DS tuning in DSGCs, consistent with asymmetric inhibitory wiring. Separately, recent work argues that although most inhibitory synapses onto ON starburst amacrines are anatomically GABAergic, the </w:t>
      </w:r>
      <w:r>
        <w:rPr>
          <w:i/>
          <w:iCs/>
        </w:rPr>
        <w:t>light-evoked inhibitory currents</w:t>
      </w:r>
      <w:r>
        <w:t xml:space="preserve"> measured in these cells can be predominantly glycinergic—highlighting that glycine blockade can affect DS circuitry not only via AII crossover routes but also via starburst circuit dynamics. </w:t>
      </w:r>
      <w:hyperlink r:id="rId63">
        <w:r>
          <w:rPr>
            <w:rStyle w:val="Hyperlink"/>
          </w:rPr>
          <w:t>[49]</w:t>
        </w:r>
      </w:hyperlink>
    </w:p>
    <w:p w14:paraId="2CC48FE8" w14:textId="77777777" w:rsidR="00D033B5" w:rsidRDefault="00000000">
      <w:pPr>
        <w:pStyle w:val="Heading3"/>
      </w:pPr>
      <w:bookmarkStart w:id="20" w:name="Xff4892438156876a4ce1cef6917895498563780"/>
      <w:bookmarkEnd w:id="19"/>
      <w:r>
        <w:t>Inhibition shapes receptive field geometry and gain in ways likely to appear as region-by-drug interactions in MEA</w:t>
      </w:r>
    </w:p>
    <w:p w14:paraId="0BD18CC7" w14:textId="77777777" w:rsidR="00D033B5" w:rsidRDefault="00000000">
      <w:pPr>
        <w:pStyle w:val="FirstParagraph"/>
      </w:pPr>
      <w:r>
        <w:t>Presynaptic GABA</w:t>
      </w:r>
      <m:oMath>
        <m:sSub>
          <m:sSubPr>
            <m:ctrlPr>
              <w:rPr>
                <w:rFonts w:ascii="Cambria Math" w:hAnsi="Cambria Math"/>
              </w:rPr>
            </m:ctrlPr>
          </m:sSubPr>
          <m:e>
            <m:r>
              <w:rPr>
                <w:rFonts w:ascii="Cambria Math" w:hAnsi="Cambria Math"/>
              </w:rPr>
              <m:t>​</m:t>
            </m:r>
          </m:e>
          <m:sub>
            <m:r>
              <m:rPr>
                <m:sty m:val="p"/>
              </m:rPr>
              <w:rPr>
                <w:rFonts w:ascii="Cambria Math" w:hAnsi="Cambria Math"/>
              </w:rPr>
              <m:t>A</m:t>
            </m:r>
          </m:sub>
        </m:sSub>
      </m:oMath>
      <w:r>
        <w:t xml:space="preserve">-mediated inhibition at bipolar terminals regulates gain and response kinetics of a defined alpha-like output circuit, illustrating how inhibition can shape contrast gain and temporal filtering in a circuit-specific way without changing excitatory wiring. </w:t>
      </w:r>
      <w:hyperlink r:id="rId64">
        <w:r>
          <w:rPr>
            <w:rStyle w:val="Hyperlink"/>
          </w:rPr>
          <w:t>[50]</w:t>
        </w:r>
      </w:hyperlink>
    </w:p>
    <w:p w14:paraId="01126B70" w14:textId="77777777" w:rsidR="00D033B5" w:rsidRDefault="00000000">
      <w:pPr>
        <w:pStyle w:val="BodyText"/>
      </w:pPr>
      <w:r>
        <w:t xml:space="preserve">More generally, removing inhibition can change RF center size, sensitivity, and even reveal suppressed response components (e.g., unmasking an OFF component in conditions where an ON response dominates), showing that “polarity” can be conditional on inhibitory context. </w:t>
      </w:r>
      <w:hyperlink r:id="rId65">
        <w:r>
          <w:rPr>
            <w:rStyle w:val="Hyperlink"/>
          </w:rPr>
          <w:t>[51]</w:t>
        </w:r>
      </w:hyperlink>
    </w:p>
    <w:p w14:paraId="3AB0638E" w14:textId="77777777" w:rsidR="00D033B5" w:rsidRDefault="00000000">
      <w:pPr>
        <w:pStyle w:val="Heading3"/>
      </w:pPr>
      <w:bookmarkStart w:id="21" w:name="Xd25024dcfccbf1fb60c90c5f7a2adef18b504f0"/>
      <w:bookmarkEnd w:id="20"/>
      <w:r>
        <w:lastRenderedPageBreak/>
        <w:t>Study comparison table: inhibition studies with explicit spatial or region-dependent components</w:t>
      </w:r>
    </w:p>
    <w:tbl>
      <w:tblPr>
        <w:tblStyle w:val="Table"/>
        <w:tblW w:w="0" w:type="auto"/>
        <w:tblLook w:val="0020" w:firstRow="1" w:lastRow="0" w:firstColumn="0" w:lastColumn="0" w:noHBand="0" w:noVBand="0"/>
      </w:tblPr>
      <w:tblGrid>
        <w:gridCol w:w="1238"/>
        <w:gridCol w:w="977"/>
        <w:gridCol w:w="1348"/>
        <w:gridCol w:w="1090"/>
        <w:gridCol w:w="1254"/>
        <w:gridCol w:w="1783"/>
        <w:gridCol w:w="1196"/>
        <w:gridCol w:w="2130"/>
      </w:tblGrid>
      <w:tr w:rsidR="00D033B5" w14:paraId="3D3196AB" w14:textId="77777777" w:rsidTr="00D033B5">
        <w:trPr>
          <w:cnfStyle w:val="100000000000" w:firstRow="1" w:lastRow="0" w:firstColumn="0" w:lastColumn="0" w:oddVBand="0" w:evenVBand="0" w:oddHBand="0" w:evenHBand="0" w:firstRowFirstColumn="0" w:firstRowLastColumn="0" w:lastRowFirstColumn="0" w:lastRowLastColumn="0"/>
          <w:tblHeader/>
        </w:trPr>
        <w:tc>
          <w:tcPr>
            <w:tcW w:w="0" w:type="auto"/>
          </w:tcPr>
          <w:p w14:paraId="1BE81D73" w14:textId="77777777" w:rsidR="00D033B5" w:rsidRDefault="00000000">
            <w:pPr>
              <w:pStyle w:val="Compact"/>
            </w:pPr>
            <w:r>
              <w:t>Study handle (year)</w:t>
            </w:r>
          </w:p>
        </w:tc>
        <w:tc>
          <w:tcPr>
            <w:tcW w:w="0" w:type="auto"/>
          </w:tcPr>
          <w:p w14:paraId="32BE8212" w14:textId="77777777" w:rsidR="00D033B5" w:rsidRDefault="00000000">
            <w:pPr>
              <w:pStyle w:val="Compact"/>
            </w:pPr>
            <w:r>
              <w:t>Species</w:t>
            </w:r>
          </w:p>
        </w:tc>
        <w:tc>
          <w:tcPr>
            <w:tcW w:w="0" w:type="auto"/>
          </w:tcPr>
          <w:p w14:paraId="5190B658" w14:textId="77777777" w:rsidR="00D033B5" w:rsidRDefault="00000000">
            <w:pPr>
              <w:pStyle w:val="Compact"/>
            </w:pPr>
            <w:r>
              <w:t>Methods</w:t>
            </w:r>
          </w:p>
        </w:tc>
        <w:tc>
          <w:tcPr>
            <w:tcW w:w="0" w:type="auto"/>
          </w:tcPr>
          <w:p w14:paraId="37B02496" w14:textId="77777777" w:rsidR="00D033B5" w:rsidRDefault="00000000">
            <w:pPr>
              <w:pStyle w:val="Compact"/>
            </w:pPr>
            <w:r>
              <w:t>Sample size (indicative)</w:t>
            </w:r>
          </w:p>
        </w:tc>
        <w:tc>
          <w:tcPr>
            <w:tcW w:w="0" w:type="auto"/>
          </w:tcPr>
          <w:p w14:paraId="7B78676E" w14:textId="77777777" w:rsidR="00D033B5" w:rsidRDefault="00000000">
            <w:pPr>
              <w:pStyle w:val="Compact"/>
            </w:pPr>
            <w:r>
              <w:t>Spatial scale</w:t>
            </w:r>
          </w:p>
        </w:tc>
        <w:tc>
          <w:tcPr>
            <w:tcW w:w="0" w:type="auto"/>
          </w:tcPr>
          <w:p w14:paraId="5524D81A" w14:textId="77777777" w:rsidR="00D033B5" w:rsidRDefault="00000000">
            <w:pPr>
              <w:pStyle w:val="Compact"/>
            </w:pPr>
            <w:r>
              <w:t>Main inhibitory finding</w:t>
            </w:r>
          </w:p>
        </w:tc>
        <w:tc>
          <w:tcPr>
            <w:tcW w:w="0" w:type="auto"/>
          </w:tcPr>
          <w:p w14:paraId="018341EE" w14:textId="77777777" w:rsidR="00D033B5" w:rsidRDefault="00000000">
            <w:pPr>
              <w:pStyle w:val="Compact"/>
            </w:pPr>
            <w:r>
              <w:t>Region-dependent component</w:t>
            </w:r>
          </w:p>
        </w:tc>
        <w:tc>
          <w:tcPr>
            <w:tcW w:w="0" w:type="auto"/>
          </w:tcPr>
          <w:p w14:paraId="2384EAD4" w14:textId="77777777" w:rsidR="00D033B5" w:rsidRDefault="00000000">
            <w:pPr>
              <w:pStyle w:val="Compact"/>
            </w:pPr>
            <w:r>
              <w:t>Practical readout expectations under blockers</w:t>
            </w:r>
          </w:p>
        </w:tc>
      </w:tr>
      <w:tr w:rsidR="00D033B5" w14:paraId="4BFBE762" w14:textId="77777777">
        <w:tc>
          <w:tcPr>
            <w:tcW w:w="0" w:type="auto"/>
          </w:tcPr>
          <w:p w14:paraId="326DE052" w14:textId="77777777" w:rsidR="00D033B5" w:rsidRDefault="00000000">
            <w:pPr>
              <w:pStyle w:val="Compact"/>
            </w:pPr>
            <w:r>
              <w:t>Crossover inhibition synthesis (2010)</w:t>
            </w:r>
          </w:p>
        </w:tc>
        <w:tc>
          <w:tcPr>
            <w:tcW w:w="0" w:type="auto"/>
          </w:tcPr>
          <w:p w14:paraId="3C4382E1" w14:textId="77777777" w:rsidR="00D033B5" w:rsidRDefault="00000000">
            <w:pPr>
              <w:pStyle w:val="Compact"/>
            </w:pPr>
            <w:r>
              <w:t>Mammal-focused</w:t>
            </w:r>
          </w:p>
        </w:tc>
        <w:tc>
          <w:tcPr>
            <w:tcW w:w="0" w:type="auto"/>
          </w:tcPr>
          <w:p w14:paraId="0500CA75" w14:textId="77777777" w:rsidR="00D033B5" w:rsidRDefault="00000000">
            <w:pPr>
              <w:pStyle w:val="Compact"/>
            </w:pPr>
            <w:r>
              <w:t>Review + circuit framework</w:t>
            </w:r>
          </w:p>
        </w:tc>
        <w:tc>
          <w:tcPr>
            <w:tcW w:w="0" w:type="auto"/>
          </w:tcPr>
          <w:p w14:paraId="0A63A062" w14:textId="77777777" w:rsidR="00D033B5" w:rsidRDefault="00000000">
            <w:pPr>
              <w:pStyle w:val="Compact"/>
            </w:pPr>
            <w:r>
              <w:t>N/A</w:t>
            </w:r>
          </w:p>
        </w:tc>
        <w:tc>
          <w:tcPr>
            <w:tcW w:w="0" w:type="auto"/>
          </w:tcPr>
          <w:p w14:paraId="2B0C73B8" w14:textId="77777777" w:rsidR="00D033B5" w:rsidRDefault="00000000">
            <w:pPr>
              <w:pStyle w:val="Compact"/>
            </w:pPr>
            <w:r>
              <w:t>N/A</w:t>
            </w:r>
          </w:p>
        </w:tc>
        <w:tc>
          <w:tcPr>
            <w:tcW w:w="0" w:type="auto"/>
          </w:tcPr>
          <w:p w14:paraId="17C02274" w14:textId="77777777" w:rsidR="00D033B5" w:rsidRDefault="00000000">
            <w:pPr>
              <w:pStyle w:val="Compact"/>
            </w:pPr>
            <w:r>
              <w:t xml:space="preserve">Crossover inhibition “linearizes” signals; supports contrast/luminance separation and other computations. </w:t>
            </w:r>
            <w:hyperlink r:id="rId66">
              <w:r>
                <w:rPr>
                  <w:rStyle w:val="Hyperlink"/>
                </w:rPr>
                <w:t>[46]</w:t>
              </w:r>
            </w:hyperlink>
          </w:p>
        </w:tc>
        <w:tc>
          <w:tcPr>
            <w:tcW w:w="0" w:type="auto"/>
          </w:tcPr>
          <w:p w14:paraId="40F66FFE" w14:textId="77777777" w:rsidR="00D033B5" w:rsidRDefault="00000000">
            <w:pPr>
              <w:pStyle w:val="Compact"/>
            </w:pPr>
            <w:r>
              <w:t xml:space="preserve">Region not primary focus; sets mechanistic vocabulary. </w:t>
            </w:r>
            <w:hyperlink r:id="rId67">
              <w:r>
                <w:rPr>
                  <w:rStyle w:val="Hyperlink"/>
                </w:rPr>
                <w:t>[46]</w:t>
              </w:r>
            </w:hyperlink>
          </w:p>
        </w:tc>
        <w:tc>
          <w:tcPr>
            <w:tcW w:w="0" w:type="auto"/>
          </w:tcPr>
          <w:p w14:paraId="4933316C" w14:textId="77777777" w:rsidR="00D033B5" w:rsidRDefault="00000000">
            <w:pPr>
              <w:pStyle w:val="Compact"/>
            </w:pPr>
            <w:r>
              <w:t xml:space="preserve">Glycine block can strongly perturb ON/OFF interactions, affecting temporal tuning, surround, and polarity metrics in MEA. </w:t>
            </w:r>
            <w:hyperlink r:id="rId68">
              <w:r>
                <w:rPr>
                  <w:rStyle w:val="Hyperlink"/>
                </w:rPr>
                <w:t>[46]</w:t>
              </w:r>
            </w:hyperlink>
          </w:p>
        </w:tc>
      </w:tr>
      <w:tr w:rsidR="00D033B5" w14:paraId="2697A5C6" w14:textId="77777777">
        <w:tc>
          <w:tcPr>
            <w:tcW w:w="0" w:type="auto"/>
          </w:tcPr>
          <w:p w14:paraId="19E86AB4" w14:textId="77777777" w:rsidR="00D033B5" w:rsidRDefault="00000000">
            <w:pPr>
              <w:pStyle w:val="Compact"/>
            </w:pPr>
            <w:r>
              <w:t>Dorsoventral temporal reformatting in a single type (2018)</w:t>
            </w:r>
          </w:p>
        </w:tc>
        <w:tc>
          <w:tcPr>
            <w:tcW w:w="0" w:type="auto"/>
          </w:tcPr>
          <w:p w14:paraId="0452358A" w14:textId="77777777" w:rsidR="00D033B5" w:rsidRDefault="00000000">
            <w:pPr>
              <w:pStyle w:val="Compact"/>
            </w:pPr>
            <w:r>
              <w:t>Mouse</w:t>
            </w:r>
          </w:p>
        </w:tc>
        <w:tc>
          <w:tcPr>
            <w:tcW w:w="0" w:type="auto"/>
          </w:tcPr>
          <w:p w14:paraId="60DCA0CF" w14:textId="77777777" w:rsidR="00D033B5" w:rsidRDefault="00000000">
            <w:pPr>
              <w:pStyle w:val="Compact"/>
            </w:pPr>
            <w:r>
              <w:t>Targeted physiology + pharmacology + circuit inference</w:t>
            </w:r>
          </w:p>
        </w:tc>
        <w:tc>
          <w:tcPr>
            <w:tcW w:w="0" w:type="auto"/>
          </w:tcPr>
          <w:p w14:paraId="0B120F73" w14:textId="77777777" w:rsidR="00D033B5" w:rsidRDefault="00000000">
            <w:pPr>
              <w:pStyle w:val="Compact"/>
            </w:pPr>
            <w:r>
              <w:t>Type-focused</w:t>
            </w:r>
          </w:p>
        </w:tc>
        <w:tc>
          <w:tcPr>
            <w:tcW w:w="0" w:type="auto"/>
          </w:tcPr>
          <w:p w14:paraId="4EE777FB" w14:textId="77777777" w:rsidR="00D033B5" w:rsidRDefault="00000000">
            <w:pPr>
              <w:pStyle w:val="Compact"/>
            </w:pPr>
            <w:r>
              <w:t>Explicit DV axis</w:t>
            </w:r>
          </w:p>
        </w:tc>
        <w:tc>
          <w:tcPr>
            <w:tcW w:w="0" w:type="auto"/>
          </w:tcPr>
          <w:p w14:paraId="20F2C3C8" w14:textId="77777777" w:rsidR="00D033B5" w:rsidRDefault="00000000">
            <w:pPr>
              <w:pStyle w:val="Compact"/>
            </w:pPr>
            <w:r>
              <w:t xml:space="preserve">Temporal response properties vary with DV position; linked to rod-pathway synaptic input and glycinergic circuitry. </w:t>
            </w:r>
            <w:hyperlink r:id="rId69">
              <w:r>
                <w:rPr>
                  <w:rStyle w:val="Hyperlink"/>
                </w:rPr>
                <w:t>[52]</w:t>
              </w:r>
            </w:hyperlink>
          </w:p>
        </w:tc>
        <w:tc>
          <w:tcPr>
            <w:tcW w:w="0" w:type="auto"/>
          </w:tcPr>
          <w:p w14:paraId="1C4DA334" w14:textId="77777777" w:rsidR="00D033B5" w:rsidRDefault="00000000">
            <w:pPr>
              <w:pStyle w:val="Compact"/>
            </w:pPr>
            <w:r>
              <w:t xml:space="preserve">Yes (smooth DV gradient). </w:t>
            </w:r>
            <w:hyperlink r:id="rId70">
              <w:r>
                <w:rPr>
                  <w:rStyle w:val="Hyperlink"/>
                </w:rPr>
                <w:t>[53]</w:t>
              </w:r>
            </w:hyperlink>
          </w:p>
        </w:tc>
        <w:tc>
          <w:tcPr>
            <w:tcW w:w="0" w:type="auto"/>
          </w:tcPr>
          <w:p w14:paraId="697AC9AB" w14:textId="77777777" w:rsidR="00D033B5" w:rsidRDefault="00000000">
            <w:pPr>
              <w:pStyle w:val="Compact"/>
            </w:pPr>
            <w:r>
              <w:t xml:space="preserve">Expect DV-dependent changes in response duration and transient/sustained classification under glycine block; potential “split cluster” artifacts if position ignored. </w:t>
            </w:r>
            <w:hyperlink r:id="rId71">
              <w:r>
                <w:rPr>
                  <w:rStyle w:val="Hyperlink"/>
                </w:rPr>
                <w:t>[42]</w:t>
              </w:r>
            </w:hyperlink>
          </w:p>
        </w:tc>
      </w:tr>
      <w:tr w:rsidR="00D033B5" w14:paraId="7B4B210D" w14:textId="77777777">
        <w:tc>
          <w:tcPr>
            <w:tcW w:w="0" w:type="auto"/>
          </w:tcPr>
          <w:p w14:paraId="22BF720D" w14:textId="77777777" w:rsidR="00D033B5" w:rsidRDefault="00000000">
            <w:pPr>
              <w:pStyle w:val="Compact"/>
            </w:pPr>
            <w:r>
              <w:t>Dorsal vs ventral DSGC sensitization (2022)</w:t>
            </w:r>
          </w:p>
        </w:tc>
        <w:tc>
          <w:tcPr>
            <w:tcW w:w="0" w:type="auto"/>
          </w:tcPr>
          <w:p w14:paraId="25871D63" w14:textId="77777777" w:rsidR="00D033B5" w:rsidRDefault="00000000">
            <w:pPr>
              <w:pStyle w:val="Compact"/>
            </w:pPr>
            <w:r>
              <w:t>Mouse</w:t>
            </w:r>
          </w:p>
        </w:tc>
        <w:tc>
          <w:tcPr>
            <w:tcW w:w="0" w:type="auto"/>
          </w:tcPr>
          <w:p w14:paraId="4B7F2F70" w14:textId="77777777" w:rsidR="00D033B5" w:rsidRDefault="00000000">
            <w:pPr>
              <w:pStyle w:val="Compact"/>
            </w:pPr>
            <w:r>
              <w:t>Wholemount physiology; stimulation history protocols</w:t>
            </w:r>
          </w:p>
        </w:tc>
        <w:tc>
          <w:tcPr>
            <w:tcW w:w="0" w:type="auto"/>
          </w:tcPr>
          <w:p w14:paraId="694BB8AC" w14:textId="77777777" w:rsidR="00D033B5" w:rsidRDefault="00000000">
            <w:pPr>
              <w:pStyle w:val="Compact"/>
            </w:pPr>
            <w:r>
              <w:t>Multiple cells and retinas</w:t>
            </w:r>
          </w:p>
        </w:tc>
        <w:tc>
          <w:tcPr>
            <w:tcW w:w="0" w:type="auto"/>
          </w:tcPr>
          <w:p w14:paraId="18F88849" w14:textId="77777777" w:rsidR="00D033B5" w:rsidRDefault="00000000">
            <w:pPr>
              <w:pStyle w:val="Compact"/>
            </w:pPr>
            <w:r>
              <w:t>Dorsal vs ventral comparisons</w:t>
            </w:r>
          </w:p>
        </w:tc>
        <w:tc>
          <w:tcPr>
            <w:tcW w:w="0" w:type="auto"/>
          </w:tcPr>
          <w:p w14:paraId="11911E48" w14:textId="77777777" w:rsidR="00D033B5" w:rsidRDefault="00000000">
            <w:pPr>
              <w:pStyle w:val="Compact"/>
            </w:pPr>
            <w:r>
              <w:t xml:space="preserve">After stimulation, DSGCs show sensitization; patterns differ in dorsal vs ventral due to OFF bipolar differences and pathway crosstalk. </w:t>
            </w:r>
            <w:hyperlink r:id="rId72">
              <w:r>
                <w:rPr>
                  <w:rStyle w:val="Hyperlink"/>
                </w:rPr>
                <w:t>[35]</w:t>
              </w:r>
            </w:hyperlink>
          </w:p>
        </w:tc>
        <w:tc>
          <w:tcPr>
            <w:tcW w:w="0" w:type="auto"/>
          </w:tcPr>
          <w:p w14:paraId="074367C2" w14:textId="77777777" w:rsidR="00D033B5" w:rsidRDefault="00000000">
            <w:pPr>
              <w:pStyle w:val="Compact"/>
            </w:pPr>
            <w:r>
              <w:t xml:space="preserve">Yes (dorsal vs ventral). </w:t>
            </w:r>
            <w:hyperlink r:id="rId73">
              <w:r>
                <w:rPr>
                  <w:rStyle w:val="Hyperlink"/>
                </w:rPr>
                <w:t>[54]</w:t>
              </w:r>
            </w:hyperlink>
          </w:p>
        </w:tc>
        <w:tc>
          <w:tcPr>
            <w:tcW w:w="0" w:type="auto"/>
          </w:tcPr>
          <w:p w14:paraId="3FF02869" w14:textId="77777777" w:rsidR="00D033B5" w:rsidRDefault="00000000">
            <w:pPr>
              <w:pStyle w:val="Compact"/>
            </w:pPr>
            <w:r>
              <w:t xml:space="preserve">In MEA, history dependence/adaptation metrics may show region-by-blocker interactions; glycine block may alter crossover-dependent sensitization signatures. </w:t>
            </w:r>
            <w:hyperlink r:id="rId74">
              <w:r>
                <w:rPr>
                  <w:rStyle w:val="Hyperlink"/>
                </w:rPr>
                <w:t>[55]</w:t>
              </w:r>
            </w:hyperlink>
          </w:p>
        </w:tc>
      </w:tr>
      <w:tr w:rsidR="00D033B5" w14:paraId="6E51DC81" w14:textId="77777777">
        <w:tc>
          <w:tcPr>
            <w:tcW w:w="0" w:type="auto"/>
          </w:tcPr>
          <w:p w14:paraId="0C3FF8EB" w14:textId="77777777" w:rsidR="00D033B5" w:rsidRDefault="00000000">
            <w:pPr>
              <w:pStyle w:val="Compact"/>
            </w:pPr>
            <w:r>
              <w:t xml:space="preserve">Near-threshold DS: GABA shapes RF size </w:t>
            </w:r>
            <w:r>
              <w:lastRenderedPageBreak/>
              <w:t>and sensitivity (2024)</w:t>
            </w:r>
          </w:p>
        </w:tc>
        <w:tc>
          <w:tcPr>
            <w:tcW w:w="0" w:type="auto"/>
          </w:tcPr>
          <w:p w14:paraId="0D3D1954" w14:textId="77777777" w:rsidR="00D033B5" w:rsidRDefault="00000000">
            <w:pPr>
              <w:pStyle w:val="Compact"/>
            </w:pPr>
            <w:r>
              <w:lastRenderedPageBreak/>
              <w:t>Mouse</w:t>
            </w:r>
          </w:p>
        </w:tc>
        <w:tc>
          <w:tcPr>
            <w:tcW w:w="0" w:type="auto"/>
          </w:tcPr>
          <w:p w14:paraId="7C0169B4" w14:textId="77777777" w:rsidR="00D033B5" w:rsidRDefault="00000000">
            <w:pPr>
              <w:pStyle w:val="Compact"/>
            </w:pPr>
            <w:r>
              <w:t>Genetics + pharmacology + DS tuning measures</w:t>
            </w:r>
          </w:p>
        </w:tc>
        <w:tc>
          <w:tcPr>
            <w:tcW w:w="0" w:type="auto"/>
          </w:tcPr>
          <w:p w14:paraId="5D411573" w14:textId="77777777" w:rsidR="00D033B5" w:rsidRDefault="00000000">
            <w:pPr>
              <w:pStyle w:val="Compact"/>
            </w:pPr>
            <w:r>
              <w:t>DSGC subtype focused</w:t>
            </w:r>
          </w:p>
        </w:tc>
        <w:tc>
          <w:tcPr>
            <w:tcW w:w="0" w:type="auto"/>
          </w:tcPr>
          <w:p w14:paraId="24E0CEBF" w14:textId="77777777" w:rsidR="00D033B5" w:rsidRDefault="00000000">
            <w:pPr>
              <w:pStyle w:val="Compact"/>
            </w:pPr>
            <w:r>
              <w:t>Functional regime (scotopic)</w:t>
            </w:r>
          </w:p>
        </w:tc>
        <w:tc>
          <w:tcPr>
            <w:tcW w:w="0" w:type="auto"/>
          </w:tcPr>
          <w:p w14:paraId="5F68336D" w14:textId="77777777" w:rsidR="00D033B5" w:rsidRDefault="00000000">
            <w:pPr>
              <w:pStyle w:val="Compact"/>
            </w:pPr>
            <w:r>
              <w:t xml:space="preserve">GABA-mediated inhibition contributes to differences in </w:t>
            </w:r>
            <w:r>
              <w:lastRenderedPageBreak/>
              <w:t xml:space="preserve">sensitivity and RF size; removing GABA unmasks responses. </w:t>
            </w:r>
            <w:hyperlink r:id="rId75">
              <w:r>
                <w:rPr>
                  <w:rStyle w:val="Hyperlink"/>
                </w:rPr>
                <w:t>[51]</w:t>
              </w:r>
            </w:hyperlink>
          </w:p>
        </w:tc>
        <w:tc>
          <w:tcPr>
            <w:tcW w:w="0" w:type="auto"/>
          </w:tcPr>
          <w:p w14:paraId="3B89C5B9" w14:textId="77777777" w:rsidR="00D033B5" w:rsidRDefault="00000000">
            <w:pPr>
              <w:pStyle w:val="Compact"/>
            </w:pPr>
            <w:r>
              <w:lastRenderedPageBreak/>
              <w:t xml:space="preserve">Not explicitly region-mapped; depends </w:t>
            </w:r>
            <w:r>
              <w:lastRenderedPageBreak/>
              <w:t xml:space="preserve">on light regime and subtype. </w:t>
            </w:r>
            <w:hyperlink r:id="rId76">
              <w:r>
                <w:rPr>
                  <w:rStyle w:val="Hyperlink"/>
                </w:rPr>
                <w:t>[51]</w:t>
              </w:r>
            </w:hyperlink>
          </w:p>
        </w:tc>
        <w:tc>
          <w:tcPr>
            <w:tcW w:w="0" w:type="auto"/>
          </w:tcPr>
          <w:p w14:paraId="2F731DFA" w14:textId="77777777" w:rsidR="00D033B5" w:rsidRDefault="00000000">
            <w:pPr>
              <w:pStyle w:val="Compact"/>
            </w:pPr>
            <w:r>
              <w:lastRenderedPageBreak/>
              <w:t xml:space="preserve">Under GABA blockers, DS tuning metrics and polarity components can </w:t>
            </w:r>
            <w:r>
              <w:lastRenderedPageBreak/>
              <w:t xml:space="preserve">change strongly, especially near threshold; important for MEA comparison across adaptation states. </w:t>
            </w:r>
            <w:hyperlink r:id="rId77">
              <w:r>
                <w:rPr>
                  <w:rStyle w:val="Hyperlink"/>
                </w:rPr>
                <w:t>[56]</w:t>
              </w:r>
            </w:hyperlink>
          </w:p>
        </w:tc>
      </w:tr>
      <w:tr w:rsidR="00D033B5" w14:paraId="31F54E43" w14:textId="77777777">
        <w:tc>
          <w:tcPr>
            <w:tcW w:w="0" w:type="auto"/>
          </w:tcPr>
          <w:p w14:paraId="55853527" w14:textId="77777777" w:rsidR="00D033B5" w:rsidRDefault="00000000">
            <w:pPr>
              <w:pStyle w:val="Compact"/>
            </w:pPr>
            <w:r>
              <w:lastRenderedPageBreak/>
              <w:t>Presynaptic GABA</w:t>
            </w:r>
            <m:oMath>
              <m:sSub>
                <m:sSubPr>
                  <m:ctrlPr>
                    <w:rPr>
                      <w:rFonts w:ascii="Cambria Math" w:hAnsi="Cambria Math"/>
                    </w:rPr>
                  </m:ctrlPr>
                </m:sSubPr>
                <m:e>
                  <m:r>
                    <w:rPr>
                      <w:rFonts w:ascii="Cambria Math" w:hAnsi="Cambria Math"/>
                    </w:rPr>
                    <m:t>​</m:t>
                  </m:r>
                </m:e>
                <m:sub>
                  <m:r>
                    <m:rPr>
                      <m:sty m:val="p"/>
                    </m:rPr>
                    <w:rPr>
                      <w:rFonts w:ascii="Cambria Math" w:hAnsi="Cambria Math"/>
                    </w:rPr>
                    <m:t>A</m:t>
                  </m:r>
                </m:sub>
              </m:sSub>
            </m:oMath>
            <w:r>
              <w:t xml:space="preserve"> gain control in alpha-like circuit (2021)</w:t>
            </w:r>
          </w:p>
        </w:tc>
        <w:tc>
          <w:tcPr>
            <w:tcW w:w="0" w:type="auto"/>
          </w:tcPr>
          <w:p w14:paraId="7254EF68" w14:textId="77777777" w:rsidR="00D033B5" w:rsidRDefault="00000000">
            <w:pPr>
              <w:pStyle w:val="Compact"/>
            </w:pPr>
            <w:r>
              <w:t>Mouse</w:t>
            </w:r>
          </w:p>
        </w:tc>
        <w:tc>
          <w:tcPr>
            <w:tcW w:w="0" w:type="auto"/>
          </w:tcPr>
          <w:p w14:paraId="3F716B9B" w14:textId="77777777" w:rsidR="00D033B5" w:rsidRDefault="00000000">
            <w:pPr>
              <w:pStyle w:val="Compact"/>
            </w:pPr>
            <w:r>
              <w:t>Genetic receptor deletion + physiology</w:t>
            </w:r>
          </w:p>
        </w:tc>
        <w:tc>
          <w:tcPr>
            <w:tcW w:w="0" w:type="auto"/>
          </w:tcPr>
          <w:p w14:paraId="7D39F8B0" w14:textId="77777777" w:rsidR="00D033B5" w:rsidRDefault="00000000">
            <w:pPr>
              <w:pStyle w:val="Compact"/>
            </w:pPr>
            <w:r>
              <w:t>Circuit focused</w:t>
            </w:r>
          </w:p>
        </w:tc>
        <w:tc>
          <w:tcPr>
            <w:tcW w:w="0" w:type="auto"/>
          </w:tcPr>
          <w:p w14:paraId="340680E8" w14:textId="77777777" w:rsidR="00D033B5" w:rsidRDefault="00000000">
            <w:pPr>
              <w:pStyle w:val="Compact"/>
            </w:pPr>
            <w:r>
              <w:t>Not primarily positional</w:t>
            </w:r>
          </w:p>
        </w:tc>
        <w:tc>
          <w:tcPr>
            <w:tcW w:w="0" w:type="auto"/>
          </w:tcPr>
          <w:p w14:paraId="788C1F9E" w14:textId="77777777" w:rsidR="00D033B5" w:rsidRDefault="00000000">
            <w:pPr>
              <w:pStyle w:val="Compact"/>
            </w:pPr>
            <w:r>
              <w:t xml:space="preserve">Presynaptic inhibition restricts response range and regulates kinetics/gain. </w:t>
            </w:r>
            <w:hyperlink r:id="rId78">
              <w:r>
                <w:rPr>
                  <w:rStyle w:val="Hyperlink"/>
                </w:rPr>
                <w:t>[57]</w:t>
              </w:r>
            </w:hyperlink>
          </w:p>
        </w:tc>
        <w:tc>
          <w:tcPr>
            <w:tcW w:w="0" w:type="auto"/>
          </w:tcPr>
          <w:p w14:paraId="32A5DA59" w14:textId="77777777" w:rsidR="00D033B5" w:rsidRDefault="00000000">
            <w:pPr>
              <w:pStyle w:val="Compact"/>
            </w:pPr>
            <w:r>
              <w:t xml:space="preserve">Region not primary; establishes inhibitory locus that could vary regionally if presynaptic inhibition strength differs. </w:t>
            </w:r>
            <w:hyperlink r:id="rId79">
              <w:r>
                <w:rPr>
                  <w:rStyle w:val="Hyperlink"/>
                </w:rPr>
                <w:t>[58]</w:t>
              </w:r>
            </w:hyperlink>
          </w:p>
        </w:tc>
        <w:tc>
          <w:tcPr>
            <w:tcW w:w="0" w:type="auto"/>
          </w:tcPr>
          <w:p w14:paraId="1FB65C07" w14:textId="77777777" w:rsidR="00D033B5" w:rsidRDefault="00000000">
            <w:pPr>
              <w:pStyle w:val="Compact"/>
            </w:pPr>
            <w:r>
              <w:t xml:space="preserve">GABA blockers can increase sensitivity, slow kinetics, and alter contrast gain—effects that might be misread as “different type” in clustering. </w:t>
            </w:r>
            <w:hyperlink r:id="rId80">
              <w:r>
                <w:rPr>
                  <w:rStyle w:val="Hyperlink"/>
                </w:rPr>
                <w:t>[57]</w:t>
              </w:r>
            </w:hyperlink>
          </w:p>
        </w:tc>
      </w:tr>
      <w:tr w:rsidR="00D033B5" w14:paraId="2D4ED062" w14:textId="77777777">
        <w:tc>
          <w:tcPr>
            <w:tcW w:w="0" w:type="auto"/>
          </w:tcPr>
          <w:p w14:paraId="2AC83263" w14:textId="77777777" w:rsidR="00D033B5" w:rsidRDefault="00000000">
            <w:pPr>
              <w:pStyle w:val="Compact"/>
            </w:pPr>
            <w:r>
              <w:t>Amacrine “de-biasing” of chromatic gradients (2024)</w:t>
            </w:r>
          </w:p>
        </w:tc>
        <w:tc>
          <w:tcPr>
            <w:tcW w:w="0" w:type="auto"/>
          </w:tcPr>
          <w:p w14:paraId="5D41D5D5" w14:textId="77777777" w:rsidR="00D033B5" w:rsidRDefault="00000000">
            <w:pPr>
              <w:pStyle w:val="Compact"/>
            </w:pPr>
            <w:r>
              <w:t>Mouse</w:t>
            </w:r>
          </w:p>
        </w:tc>
        <w:tc>
          <w:tcPr>
            <w:tcW w:w="0" w:type="auto"/>
          </w:tcPr>
          <w:p w14:paraId="41B52C5D" w14:textId="77777777" w:rsidR="00D033B5" w:rsidRDefault="00000000">
            <w:pPr>
              <w:pStyle w:val="Compact"/>
            </w:pPr>
            <w:r>
              <w:t>Large-scale imaging + pharmacology + modeling</w:t>
            </w:r>
          </w:p>
        </w:tc>
        <w:tc>
          <w:tcPr>
            <w:tcW w:w="0" w:type="auto"/>
          </w:tcPr>
          <w:p w14:paraId="5E73B969" w14:textId="77777777" w:rsidR="00D033B5" w:rsidRDefault="00000000">
            <w:pPr>
              <w:pStyle w:val="Compact"/>
            </w:pPr>
            <w:r>
              <w:t>Many amacrine ROIs/types</w:t>
            </w:r>
          </w:p>
        </w:tc>
        <w:tc>
          <w:tcPr>
            <w:tcW w:w="0" w:type="auto"/>
          </w:tcPr>
          <w:p w14:paraId="189CD1E1" w14:textId="77777777" w:rsidR="00D033B5" w:rsidRDefault="00000000">
            <w:pPr>
              <w:pStyle w:val="Compact"/>
            </w:pPr>
            <w:r>
              <w:t>Explicit dorsal vs ventral chromatic bias context</w:t>
            </w:r>
          </w:p>
        </w:tc>
        <w:tc>
          <w:tcPr>
            <w:tcW w:w="0" w:type="auto"/>
          </w:tcPr>
          <w:p w14:paraId="532C6B52" w14:textId="77777777" w:rsidR="00D033B5" w:rsidRDefault="00000000">
            <w:pPr>
              <w:pStyle w:val="Compact"/>
            </w:pPr>
            <w:r>
              <w:t xml:space="preserve">Inhibitory amacrine processing mixes/balances chromatic information at retinal output relative to photoreceptor bias. </w:t>
            </w:r>
            <w:hyperlink r:id="rId81">
              <w:r>
                <w:rPr>
                  <w:rStyle w:val="Hyperlink"/>
                </w:rPr>
                <w:t>[48]</w:t>
              </w:r>
            </w:hyperlink>
          </w:p>
        </w:tc>
        <w:tc>
          <w:tcPr>
            <w:tcW w:w="0" w:type="auto"/>
          </w:tcPr>
          <w:p w14:paraId="6A1E06AC" w14:textId="77777777" w:rsidR="00D033B5" w:rsidRDefault="00000000">
            <w:pPr>
              <w:pStyle w:val="Compact"/>
            </w:pPr>
            <w:r>
              <w:t xml:space="preserve">Strongly tied to DV chromatic gradient. </w:t>
            </w:r>
            <w:hyperlink r:id="rId82">
              <w:r>
                <w:rPr>
                  <w:rStyle w:val="Hyperlink"/>
                </w:rPr>
                <w:t>[59]</w:t>
              </w:r>
            </w:hyperlink>
          </w:p>
        </w:tc>
        <w:tc>
          <w:tcPr>
            <w:tcW w:w="0" w:type="auto"/>
          </w:tcPr>
          <w:p w14:paraId="1CF2E52E" w14:textId="77777777" w:rsidR="00D033B5" w:rsidRDefault="00000000">
            <w:pPr>
              <w:pStyle w:val="Compact"/>
            </w:pPr>
            <w:r>
              <w:t xml:space="preserve">Under GABA/glycine block, expect stronger spatial segregation of chromatic tuning and potentially reduced “mixed chromatic” responses; MEA spectral protocols may show large DV effects. </w:t>
            </w:r>
            <w:hyperlink r:id="rId83">
              <w:r>
                <w:rPr>
                  <w:rStyle w:val="Hyperlink"/>
                </w:rPr>
                <w:t>[60]</w:t>
              </w:r>
            </w:hyperlink>
          </w:p>
        </w:tc>
      </w:tr>
    </w:tbl>
    <w:p w14:paraId="439CFBB2" w14:textId="77777777" w:rsidR="00D033B5" w:rsidRDefault="00000000">
      <w:pPr>
        <w:pStyle w:val="Heading2"/>
      </w:pPr>
      <w:bookmarkStart w:id="22" w:name="X3ff240cf5b00ab51cbe95276e3a9be16b0d8e5b"/>
      <w:bookmarkEnd w:id="17"/>
      <w:bookmarkEnd w:id="21"/>
      <w:r>
        <w:lastRenderedPageBreak/>
        <w:t>Cross-species comparisons: conserved principles and species-specific spatial specializations</w:t>
      </w:r>
    </w:p>
    <w:p w14:paraId="7870A910" w14:textId="77777777" w:rsidR="00D033B5" w:rsidRDefault="00000000">
      <w:pPr>
        <w:pStyle w:val="Heading3"/>
      </w:pPr>
      <w:bookmarkStart w:id="23" w:name="conserved-motifs-across-vertebrates"/>
      <w:r>
        <w:t>Conserved motifs across vertebrates</w:t>
      </w:r>
    </w:p>
    <w:p w14:paraId="1512BD02" w14:textId="77777777" w:rsidR="00D033B5" w:rsidRDefault="00000000">
      <w:pPr>
        <w:pStyle w:val="FirstParagraph"/>
      </w:pPr>
      <w:r>
        <w:t xml:space="preserve">Across vertebrates, several design features recur: (i) multiple parallel RGC output channels; (ii) local mosaics for many types; (iii) center–surround RF organization supporting predictive/efficient coding; (iv) ON/OFF pathway separation with inhibitory crossover interactions; and (v) specialized inhibitory circuits for motion computations, including starburst-associated DS mechanisms (classically established in rabbit and extended mechanistically in mouse). </w:t>
      </w:r>
      <w:hyperlink r:id="rId84">
        <w:r>
          <w:rPr>
            <w:rStyle w:val="Hyperlink"/>
          </w:rPr>
          <w:t>[61]</w:t>
        </w:r>
      </w:hyperlink>
    </w:p>
    <w:p w14:paraId="0AE9A250" w14:textId="77777777" w:rsidR="00D033B5" w:rsidRDefault="00000000">
      <w:pPr>
        <w:pStyle w:val="Heading3"/>
      </w:pPr>
      <w:bookmarkStart w:id="24" w:name="X11d84202d78913a8aaada7198207c4ee0436be0"/>
      <w:bookmarkEnd w:id="23"/>
      <w:r>
        <w:t>Species-specific forms of spatial specialization</w:t>
      </w:r>
    </w:p>
    <w:p w14:paraId="40048D76" w14:textId="77777777" w:rsidR="00D033B5" w:rsidRDefault="00000000">
      <w:pPr>
        <w:pStyle w:val="FirstParagraph"/>
      </w:pPr>
      <w:r>
        <w:rPr>
          <w:b/>
          <w:bCs/>
        </w:rPr>
        <w:t>Primates (including human):</w:t>
      </w:r>
      <w:r>
        <w:t xml:space="preserve"> The central retina shows extreme specialization: ganglion cell densities reach </w:t>
      </w:r>
      <m:oMath>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000</m:t>
        </m:r>
      </m:oMath>
      <w:r>
        <w:t>–</w:t>
      </w:r>
      <m:oMath>
        <m:r>
          <w:rPr>
            <w:rFonts w:ascii="Cambria Math" w:hAnsi="Cambria Math"/>
          </w:rPr>
          <m:t>38</m:t>
        </m:r>
        <m:r>
          <m:rPr>
            <m:sty m:val="p"/>
          </m:rPr>
          <w:rPr>
            <w:rFonts w:ascii="Cambria Math" w:hAnsi="Cambria Math"/>
          </w:rPr>
          <m:t>,</m:t>
        </m:r>
        <m:r>
          <w:rPr>
            <w:rFonts w:ascii="Cambria Math" w:hAnsi="Cambria Math"/>
          </w:rPr>
          <m:t>000 </m:t>
        </m:r>
        <m:r>
          <m:rPr>
            <m:sty m:val="p"/>
          </m:rPr>
          <w:rPr>
            <w:rFonts w:ascii="Cambria Math" w:hAnsi="Cambria Math"/>
          </w:rPr>
          <m:t>cells/m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 xml:space="preserve"> near the foveal region and fall dramatically toward periphery; nasal–temporal and superior–inferior asymmetries are large at matched eccentricities. This supports the macula/fovea system where central sampling, convergence ratios, and cell-type compositions differ fundamentally from peripheral retina. </w:t>
      </w:r>
      <w:hyperlink r:id="rId85">
        <w:r>
          <w:rPr>
            <w:rStyle w:val="Hyperlink"/>
          </w:rPr>
          <w:t>[62]</w:t>
        </w:r>
      </w:hyperlink>
    </w:p>
    <w:p w14:paraId="09B3BCC4" w14:textId="77777777" w:rsidR="00D033B5" w:rsidRDefault="00000000">
      <w:pPr>
        <w:pStyle w:val="BodyText"/>
      </w:pPr>
      <w:r>
        <w:rPr>
          <w:b/>
          <w:bCs/>
        </w:rPr>
        <w:t>Rabbit:</w:t>
      </w:r>
      <w:r>
        <w:t xml:space="preserve"> A pronounced “visual streak” (high ganglion cell density aligned with the horizon) is a classic specialization, contrasting with mouse’s relatively weak global gradients and with mouse’s prominent subtype-specific biases. </w:t>
      </w:r>
      <w:hyperlink r:id="rId86">
        <w:r>
          <w:rPr>
            <w:rStyle w:val="Hyperlink"/>
          </w:rPr>
          <w:t>[63]</w:t>
        </w:r>
      </w:hyperlink>
    </w:p>
    <w:p w14:paraId="4F5D56F6" w14:textId="77777777" w:rsidR="00D033B5" w:rsidRDefault="00000000">
      <w:pPr>
        <w:pStyle w:val="BodyText"/>
      </w:pPr>
      <w:r>
        <w:rPr>
          <w:b/>
          <w:bCs/>
        </w:rPr>
        <w:t>Rat:</w:t>
      </w:r>
      <w:r>
        <w:t xml:space="preserve"> Rats lack a macula/fovea but are often described as having a visual streak with higher RGC and L/M-cone densities, again contrasting with mouse where subtype-specific topographies are a major story. </w:t>
      </w:r>
      <w:hyperlink r:id="rId87">
        <w:r>
          <w:rPr>
            <w:rStyle w:val="Hyperlink"/>
          </w:rPr>
          <w:t>[64]</w:t>
        </w:r>
      </w:hyperlink>
    </w:p>
    <w:p w14:paraId="4ADDF834" w14:textId="77777777" w:rsidR="00D033B5" w:rsidRDefault="00000000">
      <w:pPr>
        <w:pStyle w:val="BodyText"/>
      </w:pPr>
      <w:r>
        <w:rPr>
          <w:b/>
          <w:bCs/>
        </w:rPr>
        <w:t>Chicken (avian):</w:t>
      </w:r>
      <w:r>
        <w:t xml:space="preserve"> Birds can have a high-acuity area (HAA) and/or fovea-like specializations. A developmental characterization of chick HAA reports that the ganglion cell layer is thickest within the HAA from early stages, consistent with increased RGC production in that region to support acuity, even though other layer specializations (e.g., cone density, rod-free zone) mature later. </w:t>
      </w:r>
      <w:hyperlink r:id="rId88">
        <w:r>
          <w:rPr>
            <w:rStyle w:val="Hyperlink"/>
          </w:rPr>
          <w:t>[65]</w:t>
        </w:r>
      </w:hyperlink>
    </w:p>
    <w:p w14:paraId="4087BEC1" w14:textId="77777777" w:rsidR="00D033B5" w:rsidRDefault="00000000">
      <w:pPr>
        <w:pStyle w:val="BodyText"/>
      </w:pPr>
      <w:r>
        <w:rPr>
          <w:b/>
          <w:bCs/>
        </w:rPr>
        <w:t>Zebrafish:</w:t>
      </w:r>
      <w:r>
        <w:t xml:space="preserve"> RGCs show strong regionalization of spectral and temporal encoding across visual space; a large-scale analysis supports a “highly regionalized time–color code” sent to the brain, which is more extreme than typical descriptions for mouse and aligns with zebrafish ecology (prey capture, water optics, multi-cone systems). </w:t>
      </w:r>
      <w:hyperlink r:id="rId89">
        <w:r>
          <w:rPr>
            <w:rStyle w:val="Hyperlink"/>
          </w:rPr>
          <w:t>[66]</w:t>
        </w:r>
      </w:hyperlink>
    </w:p>
    <w:p w14:paraId="32ADC01D" w14:textId="77777777" w:rsidR="00D033B5" w:rsidRDefault="00000000">
      <w:pPr>
        <w:pStyle w:val="Heading3"/>
      </w:pPr>
      <w:bookmarkStart w:id="25" w:name="Xfb61f7315b6d402267be3edc9e344d492f5a333"/>
      <w:bookmarkEnd w:id="24"/>
      <w:r>
        <w:t>Cross-species synthesis for interpreting mouse MEA results under inhibition block</w:t>
      </w:r>
    </w:p>
    <w:p w14:paraId="4EAFF5BF" w14:textId="77777777" w:rsidR="00D033B5" w:rsidRDefault="00000000">
      <w:pPr>
        <w:pStyle w:val="FirstParagraph"/>
      </w:pPr>
      <w:r>
        <w:t xml:space="preserve">Mouse shares core inhibitory circuit motifs with other mammals (e.g., DS circuitry relying on asymmetric inhibition; crossover inhibition linking ON/OFF streams), so MEA effects of GABA/glycine blockers on </w:t>
      </w:r>
      <w:r>
        <w:rPr>
          <w:i/>
          <w:iCs/>
        </w:rPr>
        <w:t>feature tuning</w:t>
      </w:r>
      <w:r>
        <w:t xml:space="preserve"> are often conserved in sign (e.g., reduced DS tuning under GABA</w:t>
      </w:r>
      <m:oMath>
        <m:sSub>
          <m:sSubPr>
            <m:ctrlPr>
              <w:rPr>
                <w:rFonts w:ascii="Cambria Math" w:hAnsi="Cambria Math"/>
              </w:rPr>
            </m:ctrlPr>
          </m:sSubPr>
          <m:e>
            <m:r>
              <w:rPr>
                <w:rFonts w:ascii="Cambria Math" w:hAnsi="Cambria Math"/>
              </w:rPr>
              <m:t>​</m:t>
            </m:r>
          </m:e>
          <m:sub>
            <m:r>
              <m:rPr>
                <m:sty m:val="p"/>
              </m:rPr>
              <w:rPr>
                <w:rFonts w:ascii="Cambria Math" w:hAnsi="Cambria Math"/>
              </w:rPr>
              <m:t>A</m:t>
            </m:r>
          </m:sub>
        </m:sSub>
      </m:oMath>
      <w:r>
        <w:t xml:space="preserve"> blockade). </w:t>
      </w:r>
      <w:hyperlink r:id="rId90">
        <w:r>
          <w:rPr>
            <w:rStyle w:val="Hyperlink"/>
          </w:rPr>
          <w:t>[67]</w:t>
        </w:r>
      </w:hyperlink>
    </w:p>
    <w:p w14:paraId="4F7378BA" w14:textId="77777777" w:rsidR="00D033B5" w:rsidRDefault="00000000">
      <w:pPr>
        <w:pStyle w:val="BodyText"/>
      </w:pPr>
      <w:r>
        <w:t xml:space="preserve">What differs is the </w:t>
      </w:r>
      <w:r>
        <w:rPr>
          <w:b/>
          <w:bCs/>
        </w:rPr>
        <w:t>relative prominence</w:t>
      </w:r>
      <w:r>
        <w:t xml:space="preserve"> of spatial specializations: in primates/rabbits, global density specializations (fovea/streak) dominate; in mouse, many of the strongest spatial stories are </w:t>
      </w:r>
      <w:r>
        <w:rPr>
          <w:i/>
          <w:iCs/>
        </w:rPr>
        <w:t>type- and circuit-specific</w:t>
      </w:r>
      <w:r>
        <w:t xml:space="preserve">, including within-type regional response shifts and transcriptomic gradients without a macula-like anatomical structure. </w:t>
      </w:r>
      <w:hyperlink r:id="rId91">
        <w:r>
          <w:rPr>
            <w:rStyle w:val="Hyperlink"/>
          </w:rPr>
          <w:t>[68]</w:t>
        </w:r>
      </w:hyperlink>
    </w:p>
    <w:p w14:paraId="1BEB5755" w14:textId="77777777" w:rsidR="00D033B5" w:rsidRDefault="00000000">
      <w:pPr>
        <w:pStyle w:val="Heading2"/>
      </w:pPr>
      <w:bookmarkStart w:id="26" w:name="X5ce31e8f759080c188e844fb573a9f601264d8d"/>
      <w:bookmarkEnd w:id="22"/>
      <w:bookmarkEnd w:id="25"/>
      <w:r>
        <w:lastRenderedPageBreak/>
        <w:t>Gaps, contradictions, and open questions for large-scale MEA analyses with GABA and glycine blockers</w:t>
      </w:r>
    </w:p>
    <w:p w14:paraId="2E82109A" w14:textId="77777777" w:rsidR="00D033B5" w:rsidRDefault="00000000">
      <w:pPr>
        <w:pStyle w:val="FirstParagraph"/>
      </w:pPr>
      <w:r>
        <w:t xml:space="preserve">A major conceptual shift is that “mouse retina is homogeneous” has been replaced by “mouse retina is </w:t>
      </w:r>
      <w:r>
        <w:rPr>
          <w:i/>
          <w:iCs/>
        </w:rPr>
        <w:t>globally mild</w:t>
      </w:r>
      <w:r>
        <w:t xml:space="preserve"> but </w:t>
      </w:r>
      <w:r>
        <w:rPr>
          <w:i/>
          <w:iCs/>
        </w:rPr>
        <w:t>type- and circuit-wise heterogeneous</w:t>
      </w:r>
      <w:r>
        <w:t>.” Yet important uncertainties remain in how these spatial gradients map onto the functional clusters most MEA pipelines recover.</w:t>
      </w:r>
    </w:p>
    <w:p w14:paraId="4EC3AAAD" w14:textId="77777777" w:rsidR="00D033B5" w:rsidRDefault="00000000">
      <w:pPr>
        <w:pStyle w:val="BodyText"/>
      </w:pPr>
      <w:r>
        <w:t xml:space="preserve">One recurring contradiction concerns </w:t>
      </w:r>
      <w:r>
        <w:rPr>
          <w:b/>
          <w:bCs/>
        </w:rPr>
        <w:t>how far color opponency extends</w:t>
      </w:r>
      <w:r>
        <w:t xml:space="preserve"> across retina and output types. Ventral enrichment is consistently supported in many datasets and in behavior, but different stimulus designs (UV/green balance, adaptation state, mesopic vs photopic regime, and whether readout is spikes vs calcium) can yield differing estimates of opponency prevalence and its laminar/circuit origin. </w:t>
      </w:r>
      <w:hyperlink r:id="rId92">
        <w:r>
          <w:rPr>
            <w:rStyle w:val="Hyperlink"/>
          </w:rPr>
          <w:t>[69]</w:t>
        </w:r>
      </w:hyperlink>
    </w:p>
    <w:p w14:paraId="43779AAB" w14:textId="77777777" w:rsidR="00D033B5" w:rsidRDefault="00000000">
      <w:pPr>
        <w:pStyle w:val="BodyText"/>
      </w:pPr>
      <w:r>
        <w:t xml:space="preserve">Another open question is how often </w:t>
      </w:r>
      <w:r>
        <w:rPr>
          <w:b/>
          <w:bCs/>
        </w:rPr>
        <w:t>regional differences are mediated by inhibition versus excitation</w:t>
      </w:r>
      <w:r>
        <w:t xml:space="preserve">. There are clear cases implicating glycinergic circuitry in dorsoventral temporal reformatting and GABAergic circuitry in balancing chromatic outputs, but for many mapped spatial biases (including dorso-temporal “binocular zone” enrichments and perivascular niches), the mechanistic contribution of inhibitory tone, receptor expression, and inhibitory microcircuit wiring remains only partially characterized. </w:t>
      </w:r>
      <w:hyperlink r:id="rId93">
        <w:r>
          <w:rPr>
            <w:rStyle w:val="Hyperlink"/>
          </w:rPr>
          <w:t>[70]</w:t>
        </w:r>
      </w:hyperlink>
    </w:p>
    <w:p w14:paraId="5E757A92" w14:textId="77777777" w:rsidR="00D033B5" w:rsidRDefault="00000000">
      <w:pPr>
        <w:pStyle w:val="BodyText"/>
      </w:pPr>
      <w:r>
        <w:t xml:space="preserve">High-resolution mapping studies also point to </w:t>
      </w:r>
      <w:r>
        <w:rPr>
          <w:b/>
          <w:bCs/>
        </w:rPr>
        <w:t>within-type heterogeneity across location</w:t>
      </w:r>
      <w:r>
        <w:t xml:space="preserve"> (differential gene expression within a subtype, and “state-like” differences interacting with location). For MEA, this predicts that a single functional cluster might split into region-dependent subclusters </w:t>
      </w:r>
      <w:r>
        <w:rPr>
          <w:i/>
          <w:iCs/>
        </w:rPr>
        <w:t>especially under pharmacology</w:t>
      </w:r>
      <w:r>
        <w:t xml:space="preserve">, because removing inhibition can unmask latent response components or alter gain/kinetics in a way that depends on baseline circuit state. </w:t>
      </w:r>
      <w:hyperlink r:id="rId94">
        <w:r>
          <w:rPr>
            <w:rStyle w:val="Hyperlink"/>
          </w:rPr>
          <w:t>[71]</w:t>
        </w:r>
      </w:hyperlink>
    </w:p>
    <w:p w14:paraId="5BEC14D2" w14:textId="77777777" w:rsidR="00D033B5" w:rsidRDefault="00000000">
      <w:pPr>
        <w:pStyle w:val="BodyText"/>
      </w:pPr>
      <w:r>
        <w:t xml:space="preserve">Finally, several practical contradictions arise from methodology: early density maps, genetic-marker studies, physiology-based typing, and spatial-omics atlases do not always sample the same retinal regions, cell ages, strains, or stimulus regimes. The literature increasingly treats “spatial metadata + cell identity + light regime” as a three-way dependency rather than a nuisance variable. </w:t>
      </w:r>
      <w:hyperlink r:id="rId95">
        <w:r>
          <w:rPr>
            <w:rStyle w:val="Hyperlink"/>
          </w:rPr>
          <w:t>[72]</w:t>
        </w:r>
      </w:hyperlink>
    </w:p>
    <w:p w14:paraId="0AE797B5" w14:textId="77777777" w:rsidR="00D033B5" w:rsidRDefault="00000000">
      <w:pPr>
        <w:pStyle w:val="BodyText"/>
      </w:pPr>
      <w:r>
        <w:t>Your stated intention—to use inhibitory blockers as a systematic perturbation to interpret spatially distributed MEA-identified RGC outputs—aligns directly with the field’s current shift from “uniform retina” assumptions toward explicit location-aware circuit interpretation. fileciteturn0file0</w:t>
      </w:r>
    </w:p>
    <w:p w14:paraId="71B39EF1" w14:textId="77777777" w:rsidR="00D033B5" w:rsidRDefault="00000000">
      <w:pPr>
        <w:pStyle w:val="Heading3"/>
      </w:pPr>
      <w:bookmarkStart w:id="27" w:name="X3d09fb1dd17ef0b6de4d91405305438ef8680c5"/>
      <w:r>
        <w:t>Mechanistic flowchart for interpreting region-by-drug effects in MEA</w:t>
      </w:r>
    </w:p>
    <w:p w14:paraId="12E5797E" w14:textId="77777777" w:rsidR="00D033B5" w:rsidRDefault="00000000">
      <w:pPr>
        <w:pStyle w:val="SourceCode"/>
      </w:pPr>
      <w:r>
        <w:rPr>
          <w:rStyle w:val="VerbatimChar"/>
        </w:rPr>
        <w:t>flowchart TD</w:t>
      </w:r>
      <w:r>
        <w:br/>
      </w:r>
      <w:r>
        <w:rPr>
          <w:rStyle w:val="VerbatimChar"/>
        </w:rPr>
        <w:t xml:space="preserve">  A[Retinal location\n(dorsal/ventral/nasal/temporal;\ncentral/peripheral;\nvasculature proximity)] --&gt; B[Input statistics &amp; photoreceptor sampling\n(opsin gradients; rod/cone balance;\nscene statistics sky vs ground)]</w:t>
      </w:r>
      <w:r>
        <w:br/>
      </w:r>
      <w:r>
        <w:rPr>
          <w:rStyle w:val="VerbatimChar"/>
        </w:rPr>
        <w:t xml:space="preserve">  B --&gt; C[Regional interneuron/circuit state\n(BC subtype densities;\nON/OFF crossover balance;\namacrine inhibition routing)]</w:t>
      </w:r>
      <w:r>
        <w:br/>
      </w:r>
      <w:r>
        <w:rPr>
          <w:rStyle w:val="VerbatimChar"/>
        </w:rPr>
        <w:t xml:space="preserve">  C --&gt; D[RGC type identity\n(transcriptomic functional class;\nlocal mosaic context)]</w:t>
      </w:r>
      <w:r>
        <w:br/>
      </w:r>
      <w:r>
        <w:rPr>
          <w:rStyle w:val="VerbatimChar"/>
        </w:rPr>
        <w:t xml:space="preserve">  D --&gt; E[Baseline output phenotype in MEA\n(spike rate, polarity, RF size/shape,\nDS/OS tuning, contrast gain,\nadaptation)]</w:t>
      </w:r>
      <w:r>
        <w:br/>
      </w:r>
      <w:r>
        <w:rPr>
          <w:rStyle w:val="VerbatimChar"/>
        </w:rPr>
        <w:t xml:space="preserve">  C --&gt; F[Pharmacology\nGABA blockers;\nglycine blockers;\ncombined]</w:t>
      </w:r>
      <w:r>
        <w:br/>
      </w:r>
      <w:r>
        <w:rPr>
          <w:rStyle w:val="VerbatimChar"/>
        </w:rPr>
        <w:t xml:space="preserve">  F --&gt; E</w:t>
      </w:r>
      <w:r>
        <w:br/>
      </w:r>
      <w:r>
        <w:rPr>
          <w:rStyle w:val="VerbatimChar"/>
        </w:rPr>
        <w:t xml:space="preserve">  F --&gt; G[Unmasking &amp; reweighting\n(OFF components, surround strength,\nDS tuning loss, gain changes)]</w:t>
      </w:r>
      <w:r>
        <w:br/>
      </w:r>
      <w:r>
        <w:rPr>
          <w:rStyle w:val="VerbatimChar"/>
        </w:rPr>
        <w:t xml:space="preserve">  G --&gt; H[Observed MEA shifts\ncluster splitting/merging;\nregion-dependent effect sizes]</w:t>
      </w:r>
    </w:p>
    <w:p w14:paraId="08728682" w14:textId="77777777" w:rsidR="00D033B5" w:rsidRDefault="00000000">
      <w:pPr>
        <w:pStyle w:val="FirstParagraph"/>
      </w:pPr>
      <w:r>
        <w:lastRenderedPageBreak/>
        <w:t xml:space="preserve">This flow reflects the strongest evidence base in mouse: location-dependent spectral input and scene statistics can shape RF structure; inhibitory routing can modulate gain/kinetics, DS tuning, temporal filtering, and chromatic mixing; and modern atlases show that both type distributions and within-type expression profiles vary with location. </w:t>
      </w:r>
      <w:hyperlink r:id="rId96">
        <w:r>
          <w:rPr>
            <w:rStyle w:val="Hyperlink"/>
          </w:rPr>
          <w:t>[73]</w:t>
        </w:r>
      </w:hyperlink>
    </w:p>
    <w:bookmarkEnd w:id="1"/>
    <w:bookmarkEnd w:id="2"/>
    <w:bookmarkEnd w:id="26"/>
    <w:bookmarkEnd w:id="27"/>
    <w:p w14:paraId="2C9ED164" w14:textId="77777777" w:rsidR="00D033B5" w:rsidRDefault="00200AB4">
      <w:r>
        <w:rPr>
          <w:noProof/>
        </w:rPr>
      </w:r>
      <w:r>
        <w:pict w14:anchorId="1A26A303">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bookmarkStart w:id="28" w:name="citations"/>
    <w:p w14:paraId="63D3AA97" w14:textId="77777777" w:rsidR="00D033B5" w:rsidRDefault="00000000">
      <w:pPr>
        <w:pStyle w:val="FirstParagraph"/>
      </w:pPr>
      <w:r>
        <w:fldChar w:fldCharType="begin"/>
      </w:r>
      <w:r>
        <w:instrText>HYPERLINK "https://www.weizmann.ac.il/brain-sciences/labs/rivlin/sites/brain-sciences.labs.rivlin/files/2025-05/TopographicVariationsAnnualReview%202020.pdf" \h</w:instrText>
      </w:r>
      <w:r>
        <w:fldChar w:fldCharType="separate"/>
      </w:r>
      <w:r>
        <w:rPr>
          <w:rStyle w:val="Hyperlink"/>
        </w:rPr>
        <w:t>[1]</w:t>
      </w:r>
      <w:r>
        <w:fldChar w:fldCharType="end"/>
      </w:r>
      <w:r>
        <w:t xml:space="preserve"> </w:t>
      </w:r>
      <w:hyperlink r:id="rId97">
        <w:r>
          <w:rPr>
            <w:rStyle w:val="Hyperlink"/>
          </w:rPr>
          <w:t>[2]</w:t>
        </w:r>
      </w:hyperlink>
      <w:r>
        <w:t xml:space="preserve"> </w:t>
      </w:r>
      <w:hyperlink r:id="rId98">
        <w:r>
          <w:rPr>
            <w:rStyle w:val="Hyperlink"/>
          </w:rPr>
          <w:t>[9]</w:t>
        </w:r>
      </w:hyperlink>
      <w:r>
        <w:t xml:space="preserve"> </w:t>
      </w:r>
      <w:hyperlink r:id="rId99">
        <w:r>
          <w:rPr>
            <w:rStyle w:val="Hyperlink"/>
          </w:rPr>
          <w:t>[18]</w:t>
        </w:r>
      </w:hyperlink>
      <w:r>
        <w:t xml:space="preserve"> </w:t>
      </w:r>
      <w:hyperlink r:id="rId100">
        <w:r>
          <w:rPr>
            <w:rStyle w:val="Hyperlink"/>
          </w:rPr>
          <w:t>[25]</w:t>
        </w:r>
      </w:hyperlink>
      <w:r>
        <w:t xml:space="preserve"> </w:t>
      </w:r>
      <w:hyperlink r:id="rId101">
        <w:r>
          <w:rPr>
            <w:rStyle w:val="Hyperlink"/>
          </w:rPr>
          <w:t>[68]</w:t>
        </w:r>
      </w:hyperlink>
      <w:r>
        <w:t xml:space="preserve"> https://www.weizmann.ac.il/brain-sciences/labs/rivlin/sites/brain-sciences.labs.rivlin/files/2025-05/TopographicVariationsAnnualReview%202020.pdf</w:t>
      </w:r>
    </w:p>
    <w:p w14:paraId="4A4444B6" w14:textId="77777777" w:rsidR="00D033B5" w:rsidRDefault="00000000">
      <w:pPr>
        <w:pStyle w:val="BodyText"/>
      </w:pPr>
      <w:hyperlink r:id="rId102">
        <w:r>
          <w:rPr>
            <w:rStyle w:val="Hyperlink"/>
          </w:rPr>
          <w:t>https://www.weizmann.ac.il/brain-sciences/labs/rivlin/sites/brain-sciences.labs.rivlin/files/2025-05/TopographicVariationsAnnualReview%202020.pdf</w:t>
        </w:r>
      </w:hyperlink>
    </w:p>
    <w:p w14:paraId="380CDC80" w14:textId="77777777" w:rsidR="00D033B5" w:rsidRDefault="00000000">
      <w:pPr>
        <w:pStyle w:val="BodyText"/>
      </w:pPr>
      <w:hyperlink r:id="rId103">
        <w:r>
          <w:rPr>
            <w:rStyle w:val="Hyperlink"/>
          </w:rPr>
          <w:t>[3]</w:t>
        </w:r>
      </w:hyperlink>
      <w:r>
        <w:t xml:space="preserve"> </w:t>
      </w:r>
      <w:hyperlink r:id="rId104">
        <w:r>
          <w:rPr>
            <w:rStyle w:val="Hyperlink"/>
          </w:rPr>
          <w:t>[13]</w:t>
        </w:r>
      </w:hyperlink>
      <w:r>
        <w:t xml:space="preserve"> </w:t>
      </w:r>
      <w:hyperlink r:id="rId105">
        <w:r>
          <w:rPr>
            <w:rStyle w:val="Hyperlink"/>
          </w:rPr>
          <w:t>[20]</w:t>
        </w:r>
      </w:hyperlink>
      <w:r>
        <w:t xml:space="preserve"> https://pmc.ncbi.nlm.nih.gov/articles/PMC3990865/</w:t>
      </w:r>
    </w:p>
    <w:p w14:paraId="6073E0EE" w14:textId="77777777" w:rsidR="00D033B5" w:rsidRDefault="00000000">
      <w:pPr>
        <w:pStyle w:val="BodyText"/>
      </w:pPr>
      <w:hyperlink r:id="rId106">
        <w:r>
          <w:rPr>
            <w:rStyle w:val="Hyperlink"/>
          </w:rPr>
          <w:t>https://pmc.ncbi.nlm.nih.gov/articles/PMC3990865/</w:t>
        </w:r>
      </w:hyperlink>
    </w:p>
    <w:p w14:paraId="588900C6" w14:textId="77777777" w:rsidR="00D033B5" w:rsidRDefault="00000000">
      <w:pPr>
        <w:pStyle w:val="BodyText"/>
      </w:pPr>
      <w:hyperlink r:id="rId107">
        <w:r>
          <w:rPr>
            <w:rStyle w:val="Hyperlink"/>
          </w:rPr>
          <w:t>[4]</w:t>
        </w:r>
      </w:hyperlink>
      <w:r>
        <w:t xml:space="preserve"> </w:t>
      </w:r>
      <w:hyperlink r:id="rId108">
        <w:r>
          <w:rPr>
            <w:rStyle w:val="Hyperlink"/>
          </w:rPr>
          <w:t>[41]</w:t>
        </w:r>
      </w:hyperlink>
      <w:r>
        <w:t xml:space="preserve"> </w:t>
      </w:r>
      <w:hyperlink r:id="rId109">
        <w:r>
          <w:rPr>
            <w:rStyle w:val="Hyperlink"/>
          </w:rPr>
          <w:t>[52]</w:t>
        </w:r>
      </w:hyperlink>
      <w:r>
        <w:t xml:space="preserve"> </w:t>
      </w:r>
      <w:hyperlink r:id="rId110">
        <w:r>
          <w:rPr>
            <w:rStyle w:val="Hyperlink"/>
          </w:rPr>
          <w:t>[53]</w:t>
        </w:r>
      </w:hyperlink>
      <w:r>
        <w:t xml:space="preserve"> </w:t>
      </w:r>
      <w:hyperlink r:id="rId111">
        <w:r>
          <w:rPr>
            <w:rStyle w:val="Hyperlink"/>
          </w:rPr>
          <w:t>[70]</w:t>
        </w:r>
      </w:hyperlink>
      <w:r>
        <w:t xml:space="preserve"> Inhomogeneous Encoding of the Visual Field in the Mouse ...</w:t>
      </w:r>
    </w:p>
    <w:p w14:paraId="1AEF7E81" w14:textId="77777777" w:rsidR="00D033B5" w:rsidRDefault="00000000">
      <w:pPr>
        <w:pStyle w:val="BodyText"/>
      </w:pPr>
      <w:hyperlink r:id="rId112">
        <w:r>
          <w:rPr>
            <w:rStyle w:val="Hyperlink"/>
          </w:rPr>
          <w:t>https://www.cell.com/current-biology</w:t>
        </w:r>
        <w:r>
          <w:rPr>
            <w:rStyle w:val="Hyperlink"/>
          </w:rPr>
          <w:t>/</w:t>
        </w:r>
        <w:r>
          <w:rPr>
            <w:rStyle w:val="Hyperlink"/>
          </w:rPr>
          <w:t>pdf/S0960-9822%2818%2930018-6.pdf?utm_source=chatgpt.com</w:t>
        </w:r>
      </w:hyperlink>
    </w:p>
    <w:p w14:paraId="70D4D4C8" w14:textId="77777777" w:rsidR="00D033B5" w:rsidRDefault="00000000">
      <w:pPr>
        <w:pStyle w:val="BodyText"/>
      </w:pPr>
      <w:hyperlink r:id="rId113">
        <w:r>
          <w:rPr>
            <w:rStyle w:val="Hyperlink"/>
          </w:rPr>
          <w:t>[5]</w:t>
        </w:r>
      </w:hyperlink>
      <w:r>
        <w:t xml:space="preserve"> </w:t>
      </w:r>
      <w:hyperlink r:id="rId114">
        <w:r>
          <w:rPr>
            <w:rStyle w:val="Hyperlink"/>
          </w:rPr>
          <w:t>[62]</w:t>
        </w:r>
      </w:hyperlink>
      <w:r>
        <w:t xml:space="preserve"> https://christineacurcio.com/GanglionCellTopography/Curcio_JCompNeurol1990_GCtopo_searchable.pdf</w:t>
      </w:r>
    </w:p>
    <w:p w14:paraId="2FF3E628" w14:textId="77777777" w:rsidR="00D033B5" w:rsidRDefault="00000000">
      <w:pPr>
        <w:pStyle w:val="BodyText"/>
      </w:pPr>
      <w:hyperlink r:id="rId115">
        <w:r>
          <w:rPr>
            <w:rStyle w:val="Hyperlink"/>
          </w:rPr>
          <w:t>https://christineacurcio.com/GanglionCellTopography/Curcio_JCompNeurol1990_GCtopo_searchable.pdf</w:t>
        </w:r>
      </w:hyperlink>
    </w:p>
    <w:p w14:paraId="3AD15CC8" w14:textId="77777777" w:rsidR="00D033B5" w:rsidRDefault="00000000">
      <w:pPr>
        <w:pStyle w:val="BodyText"/>
      </w:pPr>
      <w:hyperlink r:id="rId116">
        <w:r>
          <w:rPr>
            <w:rStyle w:val="Hyperlink"/>
          </w:rPr>
          <w:t>[6]</w:t>
        </w:r>
      </w:hyperlink>
      <w:r>
        <w:t xml:space="preserve"> </w:t>
      </w:r>
      <w:hyperlink r:id="rId117">
        <w:r>
          <w:rPr>
            <w:rStyle w:val="Hyperlink"/>
          </w:rPr>
          <w:t>[7]</w:t>
        </w:r>
      </w:hyperlink>
      <w:r>
        <w:t xml:space="preserve"> </w:t>
      </w:r>
      <w:hyperlink r:id="rId118">
        <w:r>
          <w:rPr>
            <w:rStyle w:val="Hyperlink"/>
          </w:rPr>
          <w:t>[8]</w:t>
        </w:r>
      </w:hyperlink>
      <w:r>
        <w:t xml:space="preserve"> </w:t>
      </w:r>
      <w:hyperlink r:id="rId119">
        <w:r>
          <w:rPr>
            <w:rStyle w:val="Hyperlink"/>
          </w:rPr>
          <w:t>[12]</w:t>
        </w:r>
      </w:hyperlink>
      <w:r>
        <w:t xml:space="preserve"> </w:t>
      </w:r>
      <w:hyperlink r:id="rId120">
        <w:r>
          <w:rPr>
            <w:rStyle w:val="Hyperlink"/>
          </w:rPr>
          <w:t>[23]</w:t>
        </w:r>
      </w:hyperlink>
      <w:r>
        <w:t xml:space="preserve"> </w:t>
      </w:r>
      <w:hyperlink r:id="rId121">
        <w:r>
          <w:rPr>
            <w:rStyle w:val="Hyperlink"/>
          </w:rPr>
          <w:t>[43]</w:t>
        </w:r>
      </w:hyperlink>
      <w:r>
        <w:t xml:space="preserve">  A Complete Spatial Map of Mouse Retinal Ganglion Cells Reveals Density and Gene Expression Specializations - PMC </w:t>
      </w:r>
    </w:p>
    <w:p w14:paraId="0CE12CBE" w14:textId="77777777" w:rsidR="00D033B5" w:rsidRDefault="00000000">
      <w:pPr>
        <w:pStyle w:val="BodyText"/>
      </w:pPr>
      <w:hyperlink r:id="rId122">
        <w:r>
          <w:rPr>
            <w:rStyle w:val="Hyperlink"/>
          </w:rPr>
          <w:t>https://pmc.ncbi.nlm.nih.gov/articles/PMC11844403/</w:t>
        </w:r>
      </w:hyperlink>
    </w:p>
    <w:p w14:paraId="357E1E76" w14:textId="77777777" w:rsidR="00D033B5" w:rsidRDefault="00000000">
      <w:pPr>
        <w:pStyle w:val="BodyText"/>
      </w:pPr>
      <w:hyperlink r:id="rId123">
        <w:r>
          <w:rPr>
            <w:rStyle w:val="Hyperlink"/>
          </w:rPr>
          <w:t>[10]</w:t>
        </w:r>
      </w:hyperlink>
      <w:r>
        <w:t xml:space="preserve"> </w:t>
      </w:r>
      <w:hyperlink r:id="rId124">
        <w:r>
          <w:rPr>
            <w:rStyle w:val="Hyperlink"/>
          </w:rPr>
          <w:t>[19]</w:t>
        </w:r>
      </w:hyperlink>
      <w:r>
        <w:t xml:space="preserve"> </w:t>
      </w:r>
      <w:hyperlink r:id="rId125">
        <w:r>
          <w:rPr>
            <w:rStyle w:val="Hyperlink"/>
          </w:rPr>
          <w:t>[72]</w:t>
        </w:r>
      </w:hyperlink>
      <w:r>
        <w:t xml:space="preserve"> https://pmc.ncbi.nlm.nih.gov/articles/PMC9454702/</w:t>
      </w:r>
    </w:p>
    <w:p w14:paraId="42635980" w14:textId="77777777" w:rsidR="00D033B5" w:rsidRDefault="00000000">
      <w:pPr>
        <w:pStyle w:val="BodyText"/>
      </w:pPr>
      <w:hyperlink r:id="rId126">
        <w:r>
          <w:rPr>
            <w:rStyle w:val="Hyperlink"/>
          </w:rPr>
          <w:t>https://pmc.ncbi.nlm.nih.gov/articles/PMC9454702/</w:t>
        </w:r>
      </w:hyperlink>
    </w:p>
    <w:p w14:paraId="786D6C06" w14:textId="77777777" w:rsidR="00D033B5" w:rsidRDefault="00000000">
      <w:pPr>
        <w:pStyle w:val="BodyText"/>
      </w:pPr>
      <w:hyperlink r:id="rId127">
        <w:r>
          <w:rPr>
            <w:rStyle w:val="Hyperlink"/>
          </w:rPr>
          <w:t>[11]</w:t>
        </w:r>
      </w:hyperlink>
      <w:r>
        <w:t xml:space="preserve"> https://pmc.ncbi.nlm.nih.gov/articles/PMC7368823/</w:t>
      </w:r>
    </w:p>
    <w:p w14:paraId="18D60AEF" w14:textId="77777777" w:rsidR="00D033B5" w:rsidRDefault="00000000">
      <w:pPr>
        <w:pStyle w:val="BodyText"/>
      </w:pPr>
      <w:hyperlink r:id="rId128">
        <w:r>
          <w:rPr>
            <w:rStyle w:val="Hyperlink"/>
          </w:rPr>
          <w:t>https://pmc.ncbi.nlm.nih.gov/articles/PMC7368823/</w:t>
        </w:r>
      </w:hyperlink>
    </w:p>
    <w:p w14:paraId="666E23C0" w14:textId="77777777" w:rsidR="00D033B5" w:rsidRDefault="00000000">
      <w:pPr>
        <w:pStyle w:val="BodyText"/>
      </w:pPr>
      <w:hyperlink r:id="rId129">
        <w:r>
          <w:rPr>
            <w:rStyle w:val="Hyperlink"/>
          </w:rPr>
          <w:t>[14]</w:t>
        </w:r>
      </w:hyperlink>
      <w:r>
        <w:t xml:space="preserve"> https://pmc.ncbi.nlm.nih.gov/articles/PMC3437843/</w:t>
      </w:r>
    </w:p>
    <w:p w14:paraId="2A5E6E0B" w14:textId="77777777" w:rsidR="00D033B5" w:rsidRDefault="00000000">
      <w:pPr>
        <w:pStyle w:val="BodyText"/>
      </w:pPr>
      <w:hyperlink r:id="rId130">
        <w:r>
          <w:rPr>
            <w:rStyle w:val="Hyperlink"/>
          </w:rPr>
          <w:t>https://pmc.ncbi.nlm.nih.gov/articles/PMC3437843/</w:t>
        </w:r>
      </w:hyperlink>
    </w:p>
    <w:p w14:paraId="03B0680D" w14:textId="77777777" w:rsidR="00D033B5" w:rsidRDefault="00000000">
      <w:pPr>
        <w:pStyle w:val="BodyText"/>
      </w:pPr>
      <w:hyperlink r:id="rId131">
        <w:r>
          <w:rPr>
            <w:rStyle w:val="Hyperlink"/>
          </w:rPr>
          <w:t>[15]</w:t>
        </w:r>
      </w:hyperlink>
      <w:r>
        <w:t xml:space="preserve"> https://pmc.ncbi.nlm.nih.gov/articles/PMC3770899/</w:t>
      </w:r>
    </w:p>
    <w:p w14:paraId="21947C36" w14:textId="77777777" w:rsidR="00D033B5" w:rsidRDefault="00000000">
      <w:pPr>
        <w:pStyle w:val="BodyText"/>
      </w:pPr>
      <w:hyperlink r:id="rId132">
        <w:r>
          <w:rPr>
            <w:rStyle w:val="Hyperlink"/>
          </w:rPr>
          <w:t>https://pmc.ncbi.nlm.nih.gov/articles/PMC3770899/</w:t>
        </w:r>
      </w:hyperlink>
    </w:p>
    <w:p w14:paraId="586DF404" w14:textId="77777777" w:rsidR="00D033B5" w:rsidRDefault="00000000">
      <w:pPr>
        <w:pStyle w:val="BodyText"/>
      </w:pPr>
      <w:hyperlink r:id="rId133">
        <w:r>
          <w:rPr>
            <w:rStyle w:val="Hyperlink"/>
          </w:rPr>
          <w:t>[16]</w:t>
        </w:r>
      </w:hyperlink>
      <w:r>
        <w:t xml:space="preserve"> Molecular and spatial analysis of ganglion cells on retinal flatmounts identifies perivascular neurons resilient to glaucoma - ScienceDirect</w:t>
      </w:r>
    </w:p>
    <w:p w14:paraId="0D371379" w14:textId="77777777" w:rsidR="00D033B5" w:rsidRDefault="00000000">
      <w:pPr>
        <w:pStyle w:val="BodyText"/>
      </w:pPr>
      <w:hyperlink r:id="rId134">
        <w:r>
          <w:rPr>
            <w:rStyle w:val="Hyperlink"/>
          </w:rPr>
          <w:t>https://www.sciencedirect.com/science/article/pii/S0896627325005525</w:t>
        </w:r>
      </w:hyperlink>
    </w:p>
    <w:p w14:paraId="14F2D084" w14:textId="77777777" w:rsidR="00D033B5" w:rsidRDefault="00000000">
      <w:pPr>
        <w:pStyle w:val="BodyText"/>
      </w:pPr>
      <w:hyperlink r:id="rId135">
        <w:r>
          <w:rPr>
            <w:rStyle w:val="Hyperlink"/>
          </w:rPr>
          <w:t>[17]</w:t>
        </w:r>
      </w:hyperlink>
      <w:r>
        <w:t xml:space="preserve"> </w:t>
      </w:r>
      <w:hyperlink r:id="rId136">
        <w:r>
          <w:rPr>
            <w:rStyle w:val="Hyperlink"/>
          </w:rPr>
          <w:t>[24]</w:t>
        </w:r>
      </w:hyperlink>
      <w:r>
        <w:t xml:space="preserve"> </w:t>
      </w:r>
      <w:hyperlink r:id="rId137">
        <w:r>
          <w:rPr>
            <w:rStyle w:val="Hyperlink"/>
          </w:rPr>
          <w:t>[71]</w:t>
        </w:r>
      </w:hyperlink>
      <w:r>
        <w:t xml:space="preserve"> https://www.nature.com/articles/s41467-023-40674-3</w:t>
      </w:r>
    </w:p>
    <w:p w14:paraId="42361D56" w14:textId="77777777" w:rsidR="00D033B5" w:rsidRDefault="00000000">
      <w:pPr>
        <w:pStyle w:val="BodyText"/>
      </w:pPr>
      <w:hyperlink r:id="rId138">
        <w:r>
          <w:rPr>
            <w:rStyle w:val="Hyperlink"/>
          </w:rPr>
          <w:t>https://www.nature.com/articles/s41467-023-40674-3</w:t>
        </w:r>
      </w:hyperlink>
    </w:p>
    <w:p w14:paraId="31104DBA" w14:textId="77777777" w:rsidR="00D033B5" w:rsidRDefault="00000000">
      <w:pPr>
        <w:pStyle w:val="BodyText"/>
      </w:pPr>
      <w:hyperlink r:id="rId139">
        <w:r>
          <w:rPr>
            <w:rStyle w:val="Hyperlink"/>
          </w:rPr>
          <w:t>[21]</w:t>
        </w:r>
      </w:hyperlink>
      <w:r>
        <w:t xml:space="preserve"> </w:t>
      </w:r>
      <w:hyperlink r:id="rId140">
        <w:r>
          <w:rPr>
            <w:rStyle w:val="Hyperlink"/>
          </w:rPr>
          <w:t>[22]</w:t>
        </w:r>
      </w:hyperlink>
      <w:r>
        <w:t xml:space="preserve"> </w:t>
      </w:r>
      <w:hyperlink r:id="rId141">
        <w:r>
          <w:rPr>
            <w:rStyle w:val="Hyperlink"/>
          </w:rPr>
          <w:t>[42]</w:t>
        </w:r>
      </w:hyperlink>
      <w:r>
        <w:t xml:space="preserve">  Synaptic Convergence Patterns onto Retinal Ganglion Cells Are Preserved despite Topographic Variation in Pre- and Postsynaptic Territories - PMC </w:t>
      </w:r>
    </w:p>
    <w:p w14:paraId="5982981C" w14:textId="77777777" w:rsidR="00D033B5" w:rsidRDefault="00000000">
      <w:pPr>
        <w:pStyle w:val="BodyText"/>
      </w:pPr>
      <w:hyperlink r:id="rId142">
        <w:r>
          <w:rPr>
            <w:rStyle w:val="Hyperlink"/>
          </w:rPr>
          <w:t>https://pmc.ncbi.nlm.nih.gov/articles/PMC6317877/</w:t>
        </w:r>
      </w:hyperlink>
    </w:p>
    <w:p w14:paraId="02124537" w14:textId="77777777" w:rsidR="00D033B5" w:rsidRDefault="00000000">
      <w:pPr>
        <w:pStyle w:val="BodyText"/>
      </w:pPr>
      <w:hyperlink r:id="rId143">
        <w:r>
          <w:rPr>
            <w:rStyle w:val="Hyperlink"/>
          </w:rPr>
          <w:t>[26]</w:t>
        </w:r>
      </w:hyperlink>
      <w:r>
        <w:t xml:space="preserve"> https://pmc.ncbi.nlm.nih.gov/articles/PMC7308094/</w:t>
      </w:r>
    </w:p>
    <w:p w14:paraId="11F5F6B2" w14:textId="77777777" w:rsidR="00D033B5" w:rsidRDefault="00000000">
      <w:pPr>
        <w:pStyle w:val="BodyText"/>
      </w:pPr>
      <w:hyperlink r:id="rId144">
        <w:r>
          <w:rPr>
            <w:rStyle w:val="Hyperlink"/>
          </w:rPr>
          <w:t>https://pmc.ncbi.nlm.nih.gov/articles/PMC7308094/</w:t>
        </w:r>
      </w:hyperlink>
    </w:p>
    <w:p w14:paraId="2405C87C" w14:textId="77777777" w:rsidR="00D033B5" w:rsidRDefault="00000000">
      <w:pPr>
        <w:pStyle w:val="BodyText"/>
      </w:pPr>
      <w:hyperlink r:id="rId145">
        <w:r>
          <w:rPr>
            <w:rStyle w:val="Hyperlink"/>
          </w:rPr>
          <w:t>[27]</w:t>
        </w:r>
      </w:hyperlink>
      <w:r>
        <w:t xml:space="preserve"> https://pubmed.ncbi.nlm.nih.gov/23395380/</w:t>
      </w:r>
    </w:p>
    <w:p w14:paraId="0CE901E9" w14:textId="77777777" w:rsidR="00D033B5" w:rsidRDefault="00000000">
      <w:pPr>
        <w:pStyle w:val="BodyText"/>
      </w:pPr>
      <w:hyperlink r:id="rId146">
        <w:r>
          <w:rPr>
            <w:rStyle w:val="Hyperlink"/>
          </w:rPr>
          <w:t>https://pubmed.ncbi.nlm.nih.gov/23395380/</w:t>
        </w:r>
      </w:hyperlink>
    </w:p>
    <w:p w14:paraId="61FAF859" w14:textId="77777777" w:rsidR="00D033B5" w:rsidRDefault="00000000">
      <w:pPr>
        <w:pStyle w:val="BodyText"/>
      </w:pPr>
      <w:hyperlink r:id="rId147">
        <w:r>
          <w:rPr>
            <w:rStyle w:val="Hyperlink"/>
          </w:rPr>
          <w:t>[28]</w:t>
        </w:r>
      </w:hyperlink>
      <w:r>
        <w:t xml:space="preserve"> https://meisterlab.caltech.edu/documents/8193/joesch_2016_mouse_color_vision.pdf</w:t>
      </w:r>
    </w:p>
    <w:p w14:paraId="74164AB7" w14:textId="77777777" w:rsidR="00D033B5" w:rsidRDefault="00000000">
      <w:pPr>
        <w:pStyle w:val="BodyText"/>
      </w:pPr>
      <w:hyperlink r:id="rId148">
        <w:r>
          <w:rPr>
            <w:rStyle w:val="Hyperlink"/>
          </w:rPr>
          <w:t>https://meisterlab.caltech.edu/documents/8193/joesch_2016_mouse_color_vision.pdf</w:t>
        </w:r>
      </w:hyperlink>
    </w:p>
    <w:p w14:paraId="163D4D43" w14:textId="77777777" w:rsidR="00D033B5" w:rsidRDefault="00000000">
      <w:pPr>
        <w:pStyle w:val="BodyText"/>
      </w:pPr>
      <w:hyperlink r:id="rId149">
        <w:r>
          <w:rPr>
            <w:rStyle w:val="Hyperlink"/>
          </w:rPr>
          <w:t>[29]</w:t>
        </w:r>
      </w:hyperlink>
      <w:r>
        <w:t xml:space="preserve"> </w:t>
      </w:r>
      <w:hyperlink r:id="rId150">
        <w:r>
          <w:rPr>
            <w:rStyle w:val="Hyperlink"/>
          </w:rPr>
          <w:t>[69]</w:t>
        </w:r>
      </w:hyperlink>
      <w:r>
        <w:t xml:space="preserve"> https://pmc.ncbi.nlm.nih.gov/articles/PMC7359335/</w:t>
      </w:r>
    </w:p>
    <w:p w14:paraId="48C9C3B4" w14:textId="77777777" w:rsidR="00D033B5" w:rsidRDefault="00000000">
      <w:pPr>
        <w:pStyle w:val="BodyText"/>
      </w:pPr>
      <w:hyperlink r:id="rId151">
        <w:r>
          <w:rPr>
            <w:rStyle w:val="Hyperlink"/>
          </w:rPr>
          <w:t>https://pmc.ncbi.nlm.nih.gov/articles/PMC7359335/</w:t>
        </w:r>
      </w:hyperlink>
    </w:p>
    <w:p w14:paraId="7F65AB5A" w14:textId="77777777" w:rsidR="00D033B5" w:rsidRDefault="00000000">
      <w:pPr>
        <w:pStyle w:val="BodyText"/>
      </w:pPr>
      <w:hyperlink r:id="rId152">
        <w:r>
          <w:rPr>
            <w:rStyle w:val="Hyperlink"/>
          </w:rPr>
          <w:t>[30]</w:t>
        </w:r>
      </w:hyperlink>
      <w:r>
        <w:t xml:space="preserve"> https://www.scienceopen.com/document_file/06d6f053-10b6-44ac-9ffb-77754760b665/PubMedCentral/06d6f053-10b6-44ac-9ffb-77754760b665.pdf</w:t>
      </w:r>
    </w:p>
    <w:p w14:paraId="7A6B892A" w14:textId="77777777" w:rsidR="00D033B5" w:rsidRDefault="00000000">
      <w:pPr>
        <w:pStyle w:val="BodyText"/>
      </w:pPr>
      <w:hyperlink r:id="rId153">
        <w:r>
          <w:rPr>
            <w:rStyle w:val="Hyperlink"/>
          </w:rPr>
          <w:t>https://www.scienceopen.com/document_file/06d6f053-10b6-44ac-9ffb-77754760b665/PubMedCentral/06d6f053-10b6-44ac-9ffb-77754760b665.pdf</w:t>
        </w:r>
      </w:hyperlink>
    </w:p>
    <w:p w14:paraId="0A79F8A3" w14:textId="77777777" w:rsidR="00D033B5" w:rsidRDefault="00000000">
      <w:pPr>
        <w:pStyle w:val="BodyText"/>
      </w:pPr>
      <w:hyperlink r:id="rId154">
        <w:r>
          <w:rPr>
            <w:rStyle w:val="Hyperlink"/>
          </w:rPr>
          <w:t>[31]</w:t>
        </w:r>
      </w:hyperlink>
      <w:r>
        <w:t xml:space="preserve"> https://www.nature.com/articles/s41598-023-35885-z</w:t>
      </w:r>
    </w:p>
    <w:p w14:paraId="044439BE" w14:textId="77777777" w:rsidR="00D033B5" w:rsidRDefault="00000000">
      <w:pPr>
        <w:pStyle w:val="BodyText"/>
      </w:pPr>
      <w:hyperlink r:id="rId155">
        <w:r>
          <w:rPr>
            <w:rStyle w:val="Hyperlink"/>
          </w:rPr>
          <w:t>https://www.nature.com/articles/s41598-023-35885-z</w:t>
        </w:r>
      </w:hyperlink>
    </w:p>
    <w:p w14:paraId="4867EE29" w14:textId="77777777" w:rsidR="00D033B5" w:rsidRDefault="00000000">
      <w:pPr>
        <w:pStyle w:val="BodyText"/>
      </w:pPr>
      <w:hyperlink r:id="rId156">
        <w:r>
          <w:rPr>
            <w:rStyle w:val="Hyperlink"/>
          </w:rPr>
          <w:t>[32]</w:t>
        </w:r>
      </w:hyperlink>
      <w:r>
        <w:t xml:space="preserve"> https://pmc.ncbi.nlm.nih.gov/articles/PMC3108146/</w:t>
      </w:r>
    </w:p>
    <w:p w14:paraId="56288751" w14:textId="77777777" w:rsidR="00D033B5" w:rsidRDefault="00000000">
      <w:pPr>
        <w:pStyle w:val="BodyText"/>
      </w:pPr>
      <w:hyperlink r:id="rId157">
        <w:r>
          <w:rPr>
            <w:rStyle w:val="Hyperlink"/>
          </w:rPr>
          <w:t>https://pmc.ncbi.nlm.nih.gov/articles/PMC3108146/</w:t>
        </w:r>
      </w:hyperlink>
    </w:p>
    <w:p w14:paraId="6BDC01E5" w14:textId="77777777" w:rsidR="00D033B5" w:rsidRDefault="00000000">
      <w:pPr>
        <w:pStyle w:val="BodyText"/>
      </w:pPr>
      <w:hyperlink r:id="rId158">
        <w:r>
          <w:rPr>
            <w:rStyle w:val="Hyperlink"/>
          </w:rPr>
          <w:t>[33]</w:t>
        </w:r>
      </w:hyperlink>
      <w:r>
        <w:t xml:space="preserve"> </w:t>
      </w:r>
      <w:hyperlink r:id="rId159">
        <w:r>
          <w:rPr>
            <w:rStyle w:val="Hyperlink"/>
          </w:rPr>
          <w:t>[37]</w:t>
        </w:r>
      </w:hyperlink>
      <w:r>
        <w:t xml:space="preserve"> </w:t>
      </w:r>
      <w:hyperlink r:id="rId160">
        <w:r>
          <w:rPr>
            <w:rStyle w:val="Hyperlink"/>
          </w:rPr>
          <w:t>[44]</w:t>
        </w:r>
      </w:hyperlink>
      <w:r>
        <w:t xml:space="preserve"> </w:t>
      </w:r>
      <w:hyperlink r:id="rId161">
        <w:r>
          <w:rPr>
            <w:rStyle w:val="Hyperlink"/>
          </w:rPr>
          <w:t>[47]</w:t>
        </w:r>
      </w:hyperlink>
      <w:r>
        <w:t xml:space="preserve"> </w:t>
      </w:r>
      <w:hyperlink r:id="rId162">
        <w:r>
          <w:rPr>
            <w:rStyle w:val="Hyperlink"/>
          </w:rPr>
          <w:t>[49]</w:t>
        </w:r>
      </w:hyperlink>
      <w:r>
        <w:t xml:space="preserve"> </w:t>
      </w:r>
      <w:hyperlink r:id="rId163">
        <w:r>
          <w:rPr>
            <w:rStyle w:val="Hyperlink"/>
          </w:rPr>
          <w:t>[67]</w:t>
        </w:r>
      </w:hyperlink>
      <w:r>
        <w:t xml:space="preserve"> https://pmc.ncbi.nlm.nih.gov/articles/PMC5656295/</w:t>
      </w:r>
    </w:p>
    <w:p w14:paraId="7241955D" w14:textId="77777777" w:rsidR="00D033B5" w:rsidRDefault="00000000">
      <w:pPr>
        <w:pStyle w:val="BodyText"/>
      </w:pPr>
      <w:hyperlink r:id="rId164">
        <w:r>
          <w:rPr>
            <w:rStyle w:val="Hyperlink"/>
          </w:rPr>
          <w:t>https://pmc.ncbi.nlm.nih.gov/articles/PMC5656295/</w:t>
        </w:r>
      </w:hyperlink>
    </w:p>
    <w:p w14:paraId="590C15A2" w14:textId="77777777" w:rsidR="00D033B5" w:rsidRDefault="00000000">
      <w:pPr>
        <w:pStyle w:val="BodyText"/>
      </w:pPr>
      <w:hyperlink r:id="rId165">
        <w:r>
          <w:rPr>
            <w:rStyle w:val="Hyperlink"/>
          </w:rPr>
          <w:t>[34]</w:t>
        </w:r>
      </w:hyperlink>
      <w:r>
        <w:t xml:space="preserve"> Visual stimulation switches the polarity of excitatory input to ...</w:t>
      </w:r>
    </w:p>
    <w:p w14:paraId="3FA6C3A4" w14:textId="77777777" w:rsidR="00D033B5" w:rsidRDefault="00000000">
      <w:pPr>
        <w:pStyle w:val="BodyText"/>
      </w:pPr>
      <w:hyperlink r:id="rId166">
        <w:r>
          <w:rPr>
            <w:rStyle w:val="Hyperlink"/>
          </w:rPr>
          <w:t>https://pmc.ncbi.nlm.nih.gov/articles/PMC4161675/?utm_source=chatgpt.com</w:t>
        </w:r>
      </w:hyperlink>
    </w:p>
    <w:p w14:paraId="7BAC319B" w14:textId="77777777" w:rsidR="00D033B5" w:rsidRDefault="00000000">
      <w:pPr>
        <w:pStyle w:val="BodyText"/>
      </w:pPr>
      <w:hyperlink r:id="rId167">
        <w:r>
          <w:rPr>
            <w:rStyle w:val="Hyperlink"/>
          </w:rPr>
          <w:t>[3</w:t>
        </w:r>
        <w:r>
          <w:rPr>
            <w:rStyle w:val="Hyperlink"/>
          </w:rPr>
          <w:t>5</w:t>
        </w:r>
        <w:r>
          <w:rPr>
            <w:rStyle w:val="Hyperlink"/>
          </w:rPr>
          <w:t>]</w:t>
        </w:r>
      </w:hyperlink>
      <w:r>
        <w:t xml:space="preserve"> </w:t>
      </w:r>
      <w:hyperlink r:id="rId168">
        <w:r>
          <w:rPr>
            <w:rStyle w:val="Hyperlink"/>
          </w:rPr>
          <w:t>[54]</w:t>
        </w:r>
      </w:hyperlink>
      <w:r>
        <w:t xml:space="preserve"> https://pmc.ncbi.nlm.nih.gov/articles/PMC9172291/</w:t>
      </w:r>
    </w:p>
    <w:p w14:paraId="17F80F02" w14:textId="77777777" w:rsidR="00D033B5" w:rsidRDefault="00000000">
      <w:pPr>
        <w:pStyle w:val="BodyText"/>
      </w:pPr>
      <w:hyperlink r:id="rId169">
        <w:r>
          <w:rPr>
            <w:rStyle w:val="Hyperlink"/>
          </w:rPr>
          <w:t>https://pmc.ncbi.nlm.nih.gov/articles/PMC9172291/</w:t>
        </w:r>
      </w:hyperlink>
    </w:p>
    <w:p w14:paraId="22647168" w14:textId="77777777" w:rsidR="00D033B5" w:rsidRDefault="00000000">
      <w:pPr>
        <w:pStyle w:val="BodyText"/>
      </w:pPr>
      <w:hyperlink r:id="rId170">
        <w:r>
          <w:rPr>
            <w:rStyle w:val="Hyperlink"/>
          </w:rPr>
          <w:t>[36]</w:t>
        </w:r>
      </w:hyperlink>
      <w:r>
        <w:t xml:space="preserve"> </w:t>
      </w:r>
      <w:hyperlink r:id="rId171">
        <w:r>
          <w:rPr>
            <w:rStyle w:val="Hyperlink"/>
          </w:rPr>
          <w:t>[51]</w:t>
        </w:r>
      </w:hyperlink>
      <w:r>
        <w:t xml:space="preserve"> </w:t>
      </w:r>
      <w:hyperlink r:id="rId172">
        <w:r>
          <w:rPr>
            <w:rStyle w:val="Hyperlink"/>
          </w:rPr>
          <w:t>[56]</w:t>
        </w:r>
      </w:hyperlink>
      <w:r>
        <w:t xml:space="preserve"> https://pmc.ncbi.nlm.nih.gov/articles/PMC10941243/</w:t>
      </w:r>
    </w:p>
    <w:p w14:paraId="025F66AC" w14:textId="77777777" w:rsidR="00D033B5" w:rsidRDefault="00000000">
      <w:pPr>
        <w:pStyle w:val="BodyText"/>
      </w:pPr>
      <w:hyperlink r:id="rId173">
        <w:r>
          <w:rPr>
            <w:rStyle w:val="Hyperlink"/>
          </w:rPr>
          <w:t>https://pmc.ncbi.nlm.nih.gov/articles/PMC10941243/</w:t>
        </w:r>
      </w:hyperlink>
    </w:p>
    <w:p w14:paraId="20F27754" w14:textId="77777777" w:rsidR="00D033B5" w:rsidRDefault="00000000">
      <w:pPr>
        <w:pStyle w:val="BodyText"/>
      </w:pPr>
      <w:hyperlink r:id="rId174">
        <w:r>
          <w:rPr>
            <w:rStyle w:val="Hyperlink"/>
          </w:rPr>
          <w:t>[38]</w:t>
        </w:r>
      </w:hyperlink>
      <w:r>
        <w:t xml:space="preserve"> https://www.nature.com/articles/s41467-024-49206-z</w:t>
      </w:r>
    </w:p>
    <w:p w14:paraId="10D896C1" w14:textId="77777777" w:rsidR="00D033B5" w:rsidRDefault="00000000">
      <w:pPr>
        <w:pStyle w:val="BodyText"/>
      </w:pPr>
      <w:hyperlink r:id="rId175">
        <w:r>
          <w:rPr>
            <w:rStyle w:val="Hyperlink"/>
          </w:rPr>
          <w:t>https://www.nature.com/articles/s41467-024-49206-z</w:t>
        </w:r>
      </w:hyperlink>
    </w:p>
    <w:p w14:paraId="601C2E4C" w14:textId="77777777" w:rsidR="00D033B5" w:rsidRDefault="00000000">
      <w:pPr>
        <w:pStyle w:val="BodyText"/>
      </w:pPr>
      <w:hyperlink r:id="rId176">
        <w:r>
          <w:rPr>
            <w:rStyle w:val="Hyperlink"/>
          </w:rPr>
          <w:t>[39]</w:t>
        </w:r>
      </w:hyperlink>
      <w:r>
        <w:t xml:space="preserve"> </w:t>
      </w:r>
      <w:hyperlink r:id="rId177">
        <w:r>
          <w:rPr>
            <w:rStyle w:val="Hyperlink"/>
          </w:rPr>
          <w:t>[40]</w:t>
        </w:r>
      </w:hyperlink>
      <w:r>
        <w:t xml:space="preserve"> </w:t>
      </w:r>
      <w:hyperlink r:id="rId178">
        <w:r>
          <w:rPr>
            <w:rStyle w:val="Hyperlink"/>
          </w:rPr>
          <w:t>[73]</w:t>
        </w:r>
      </w:hyperlink>
      <w:r>
        <w:t xml:space="preserve">  Panoramic visual statistics shape retina-wide organization of receptive fields - PMC </w:t>
      </w:r>
    </w:p>
    <w:p w14:paraId="3428FEB0" w14:textId="77777777" w:rsidR="00D033B5" w:rsidRDefault="00000000">
      <w:pPr>
        <w:pStyle w:val="BodyText"/>
      </w:pPr>
      <w:hyperlink r:id="rId179">
        <w:r>
          <w:rPr>
            <w:rStyle w:val="Hyperlink"/>
          </w:rPr>
          <w:t>https://pmc.ncbi.nlm.nih.gov/articles/PMC10076217/</w:t>
        </w:r>
      </w:hyperlink>
    </w:p>
    <w:p w14:paraId="23BF810D" w14:textId="77777777" w:rsidR="00D033B5" w:rsidRDefault="00000000">
      <w:pPr>
        <w:pStyle w:val="BodyText"/>
      </w:pPr>
      <w:hyperlink r:id="rId180">
        <w:r>
          <w:rPr>
            <w:rStyle w:val="Hyperlink"/>
          </w:rPr>
          <w:t>[45]</w:t>
        </w:r>
      </w:hyperlink>
      <w:r>
        <w:t xml:space="preserve"> </w:t>
      </w:r>
      <w:hyperlink r:id="rId181">
        <w:r>
          <w:rPr>
            <w:rStyle w:val="Hyperlink"/>
          </w:rPr>
          <w:t>[46]</w:t>
        </w:r>
      </w:hyperlink>
      <w:r>
        <w:t xml:space="preserve"> https://pmc.ncbi.nlm.nih.gov/articles/PMC2990954/</w:t>
      </w:r>
    </w:p>
    <w:p w14:paraId="04C6A4C5" w14:textId="77777777" w:rsidR="00D033B5" w:rsidRDefault="00000000">
      <w:pPr>
        <w:pStyle w:val="BodyText"/>
      </w:pPr>
      <w:hyperlink r:id="rId182">
        <w:r>
          <w:rPr>
            <w:rStyle w:val="Hyperlink"/>
          </w:rPr>
          <w:t>https://pmc.ncbi.nlm.nih.gov/articles/PMC2990954/</w:t>
        </w:r>
      </w:hyperlink>
    </w:p>
    <w:p w14:paraId="53ABD343" w14:textId="77777777" w:rsidR="00D033B5" w:rsidRDefault="00000000">
      <w:pPr>
        <w:pStyle w:val="BodyText"/>
      </w:pPr>
      <w:hyperlink r:id="rId183">
        <w:r>
          <w:rPr>
            <w:rStyle w:val="Hyperlink"/>
          </w:rPr>
          <w:t>[48]</w:t>
        </w:r>
      </w:hyperlink>
      <w:r>
        <w:t xml:space="preserve"> </w:t>
      </w:r>
      <w:hyperlink r:id="rId184">
        <w:r>
          <w:rPr>
            <w:rStyle w:val="Hyperlink"/>
          </w:rPr>
          <w:t>[59]</w:t>
        </w:r>
      </w:hyperlink>
      <w:r>
        <w:t xml:space="preserve"> </w:t>
      </w:r>
      <w:hyperlink r:id="rId185">
        <w:r>
          <w:rPr>
            <w:rStyle w:val="Hyperlink"/>
          </w:rPr>
          <w:t>[60]</w:t>
        </w:r>
      </w:hyperlink>
      <w:r>
        <w:t xml:space="preserve"> GABAergic amacrine cells balance biased chromatic ...</w:t>
      </w:r>
    </w:p>
    <w:p w14:paraId="01D485F0" w14:textId="77777777" w:rsidR="00D033B5" w:rsidRDefault="00000000">
      <w:pPr>
        <w:pStyle w:val="BodyText"/>
      </w:pPr>
      <w:hyperlink r:id="rId186">
        <w:r>
          <w:rPr>
            <w:rStyle w:val="Hyperlink"/>
          </w:rPr>
          <w:t>https://www.sciencedirect.co</w:t>
        </w:r>
        <w:r>
          <w:rPr>
            <w:rStyle w:val="Hyperlink"/>
          </w:rPr>
          <w:t>m</w:t>
        </w:r>
        <w:r>
          <w:rPr>
            <w:rStyle w:val="Hyperlink"/>
          </w:rPr>
          <w:t>/science/article/pii/S2211124724013044?utm_source=chatgpt.com</w:t>
        </w:r>
      </w:hyperlink>
    </w:p>
    <w:p w14:paraId="5122FE6F" w14:textId="77777777" w:rsidR="00D033B5" w:rsidRDefault="00000000">
      <w:pPr>
        <w:pStyle w:val="BodyText"/>
      </w:pPr>
      <w:hyperlink r:id="rId187">
        <w:r>
          <w:rPr>
            <w:rStyle w:val="Hyperlink"/>
          </w:rPr>
          <w:t>[50]</w:t>
        </w:r>
      </w:hyperlink>
      <w:r>
        <w:t xml:space="preserve"> </w:t>
      </w:r>
      <w:hyperlink r:id="rId188">
        <w:r>
          <w:rPr>
            <w:rStyle w:val="Hyperlink"/>
          </w:rPr>
          <w:t>[57]</w:t>
        </w:r>
      </w:hyperlink>
      <w:r>
        <w:t xml:space="preserve"> </w:t>
      </w:r>
      <w:hyperlink r:id="rId189">
        <w:r>
          <w:rPr>
            <w:rStyle w:val="Hyperlink"/>
          </w:rPr>
          <w:t>[58]</w:t>
        </w:r>
      </w:hyperlink>
      <w:r>
        <w:t xml:space="preserve"> https://pmc.ncbi.nlm.nih.gov/articles/PMC8110304/</w:t>
      </w:r>
    </w:p>
    <w:p w14:paraId="4687D5A6" w14:textId="77777777" w:rsidR="00D033B5" w:rsidRDefault="00000000">
      <w:pPr>
        <w:pStyle w:val="BodyText"/>
      </w:pPr>
      <w:hyperlink r:id="rId190">
        <w:r>
          <w:rPr>
            <w:rStyle w:val="Hyperlink"/>
          </w:rPr>
          <w:t>https://pmc.ncbi.nlm.nih.gov/articles/PMC8110304/</w:t>
        </w:r>
      </w:hyperlink>
    </w:p>
    <w:p w14:paraId="641C0C4E" w14:textId="77777777" w:rsidR="00D033B5" w:rsidRDefault="00000000">
      <w:pPr>
        <w:pStyle w:val="BodyText"/>
      </w:pPr>
      <w:hyperlink r:id="rId191">
        <w:r>
          <w:rPr>
            <w:rStyle w:val="Hyperlink"/>
          </w:rPr>
          <w:t>[55]</w:t>
        </w:r>
      </w:hyperlink>
      <w:r>
        <w:t xml:space="preserve"> https://pubmed.ncbi.nlm.nih.gov/35474276/</w:t>
      </w:r>
    </w:p>
    <w:p w14:paraId="231105B9" w14:textId="77777777" w:rsidR="00D033B5" w:rsidRDefault="00000000">
      <w:pPr>
        <w:pStyle w:val="BodyText"/>
      </w:pPr>
      <w:hyperlink r:id="rId192">
        <w:r>
          <w:rPr>
            <w:rStyle w:val="Hyperlink"/>
          </w:rPr>
          <w:t>https://pubmed.ncbi.nlm.nih.gov/35474276/</w:t>
        </w:r>
      </w:hyperlink>
    </w:p>
    <w:p w14:paraId="5F154792" w14:textId="77777777" w:rsidR="00D033B5" w:rsidRDefault="00000000">
      <w:pPr>
        <w:pStyle w:val="BodyText"/>
      </w:pPr>
      <w:hyperlink r:id="rId193">
        <w:r>
          <w:rPr>
            <w:rStyle w:val="Hyperlink"/>
          </w:rPr>
          <w:t>[61]</w:t>
        </w:r>
      </w:hyperlink>
      <w:r>
        <w:t xml:space="preserve"> https://pubmed.ncbi.nlm.nih.gov/23083731/</w:t>
      </w:r>
    </w:p>
    <w:p w14:paraId="4E67A32D" w14:textId="77777777" w:rsidR="00D033B5" w:rsidRDefault="00000000">
      <w:pPr>
        <w:pStyle w:val="BodyText"/>
      </w:pPr>
      <w:hyperlink r:id="rId194">
        <w:r>
          <w:rPr>
            <w:rStyle w:val="Hyperlink"/>
          </w:rPr>
          <w:t>https://pubmed.ncbi.nlm.nih.gov/23083731/</w:t>
        </w:r>
      </w:hyperlink>
    </w:p>
    <w:p w14:paraId="78EBC7D7" w14:textId="77777777" w:rsidR="00D033B5" w:rsidRDefault="00000000">
      <w:pPr>
        <w:pStyle w:val="BodyText"/>
      </w:pPr>
      <w:hyperlink r:id="rId195">
        <w:r>
          <w:rPr>
            <w:rStyle w:val="Hyperlink"/>
          </w:rPr>
          <w:t>[63]</w:t>
        </w:r>
      </w:hyperlink>
      <w:r>
        <w:t xml:space="preserve"> https://pubmed.ncbi.nlm.nih.gov/7320749/</w:t>
      </w:r>
    </w:p>
    <w:p w14:paraId="085E82C9" w14:textId="77777777" w:rsidR="00D033B5" w:rsidRDefault="00000000">
      <w:pPr>
        <w:pStyle w:val="BodyText"/>
      </w:pPr>
      <w:hyperlink r:id="rId196">
        <w:r>
          <w:rPr>
            <w:rStyle w:val="Hyperlink"/>
          </w:rPr>
          <w:t>https://pubmed.ncbi.nlm.nih.gov/7320749/</w:t>
        </w:r>
      </w:hyperlink>
    </w:p>
    <w:p w14:paraId="2CCC2047" w14:textId="77777777" w:rsidR="00D033B5" w:rsidRDefault="00000000">
      <w:pPr>
        <w:pStyle w:val="BodyText"/>
      </w:pPr>
      <w:hyperlink r:id="rId197">
        <w:r>
          <w:rPr>
            <w:rStyle w:val="Hyperlink"/>
          </w:rPr>
          <w:t>[64]</w:t>
        </w:r>
      </w:hyperlink>
      <w:r>
        <w:t xml:space="preserve"> https://www.frontiersin.org/journals/neuroanatomy/articles/10.3389/fnana.2022.994890/full</w:t>
      </w:r>
    </w:p>
    <w:p w14:paraId="2DFF13AB" w14:textId="77777777" w:rsidR="00D033B5" w:rsidRDefault="00000000">
      <w:pPr>
        <w:pStyle w:val="BodyText"/>
      </w:pPr>
      <w:hyperlink r:id="rId198">
        <w:r>
          <w:rPr>
            <w:rStyle w:val="Hyperlink"/>
          </w:rPr>
          <w:t>https://www.frontiersin.org/journals/neuroanatomy/articles/10.3389/fnana.2022.994890/full</w:t>
        </w:r>
      </w:hyperlink>
    </w:p>
    <w:p w14:paraId="2DA252BA" w14:textId="77777777" w:rsidR="00D033B5" w:rsidRDefault="00000000">
      <w:pPr>
        <w:pStyle w:val="BodyText"/>
      </w:pPr>
      <w:hyperlink r:id="rId199">
        <w:r>
          <w:rPr>
            <w:rStyle w:val="Hyperlink"/>
          </w:rPr>
          <w:t>[65]</w:t>
        </w:r>
      </w:hyperlink>
      <w:r>
        <w:t xml:space="preserve"> https://pmc.ncbi.nlm.nih.gov/articles/PMC12512175/</w:t>
      </w:r>
    </w:p>
    <w:p w14:paraId="474C679C" w14:textId="77777777" w:rsidR="00D033B5" w:rsidRDefault="00000000">
      <w:pPr>
        <w:pStyle w:val="BodyText"/>
      </w:pPr>
      <w:hyperlink r:id="rId200">
        <w:r>
          <w:rPr>
            <w:rStyle w:val="Hyperlink"/>
          </w:rPr>
          <w:t>https://pmc.ncbi.nlm.nih.gov/articles/PMC12512175/</w:t>
        </w:r>
      </w:hyperlink>
    </w:p>
    <w:p w14:paraId="592FB4CC" w14:textId="77777777" w:rsidR="00D033B5" w:rsidRDefault="00000000">
      <w:pPr>
        <w:pStyle w:val="BodyText"/>
      </w:pPr>
      <w:hyperlink r:id="rId201">
        <w:r>
          <w:rPr>
            <w:rStyle w:val="Hyperlink"/>
          </w:rPr>
          <w:t>[66]</w:t>
        </w:r>
      </w:hyperlink>
      <w:r>
        <w:t xml:space="preserve"> https://pmc.ncbi.nlm.nih.gov/articles/PMC7416113/</w:t>
      </w:r>
    </w:p>
    <w:p w14:paraId="1637C9E2" w14:textId="77777777" w:rsidR="00D033B5" w:rsidRDefault="00000000">
      <w:pPr>
        <w:pStyle w:val="BodyText"/>
      </w:pPr>
      <w:hyperlink r:id="rId202">
        <w:r>
          <w:rPr>
            <w:rStyle w:val="Hyperlink"/>
          </w:rPr>
          <w:t>https://pmc.ncbi.nlm.nih.gov/articles/PMC7416113/</w:t>
        </w:r>
      </w:hyperlink>
      <w:bookmarkEnd w:id="28"/>
    </w:p>
    <w:sectPr w:rsidR="00D033B5" w:rsidSect="00E11FE7">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0BB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7E8C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21CD4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57928043">
    <w:abstractNumId w:val="0"/>
  </w:num>
  <w:num w:numId="2" w16cid:durableId="1400056081">
    <w:abstractNumId w:val="1"/>
  </w:num>
  <w:num w:numId="3" w16cid:durableId="2049985283">
    <w:abstractNumId w:val="1"/>
  </w:num>
  <w:num w:numId="4" w16cid:durableId="1208645896">
    <w:abstractNumId w:val="1"/>
  </w:num>
  <w:num w:numId="5" w16cid:durableId="1963152739">
    <w:abstractNumId w:val="1"/>
  </w:num>
  <w:num w:numId="6" w16cid:durableId="1269582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033B5"/>
    <w:rsid w:val="00200AB4"/>
    <w:rsid w:val="00D033B5"/>
    <w:rsid w:val="00D82E6C"/>
    <w:rsid w:val="00D9215B"/>
    <w:rsid w:val="00E11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30645B"/>
  <w15:docId w15:val="{6D1C4C8F-D30C-1342-92B7-AFA7C185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921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PMC11844403/" TargetMode="External"/><Relationship Id="rId21" Type="http://schemas.openxmlformats.org/officeDocument/2006/relationships/hyperlink" Target="https://www.sciencedirect.com/science/article/pii/S0896627325005525" TargetMode="External"/><Relationship Id="rId42" Type="http://schemas.openxmlformats.org/officeDocument/2006/relationships/hyperlink" Target="https://www.scienceopen.com/document_file/06d6f053-10b6-44ac-9ffb-77754760b665/PubMedCentral/06d6f053-10b6-44ac-9ffb-77754760b665.pdf" TargetMode="External"/><Relationship Id="rId63" Type="http://schemas.openxmlformats.org/officeDocument/2006/relationships/hyperlink" Target="https://pmc.ncbi.nlm.nih.gov/articles/PMC5656295/" TargetMode="External"/><Relationship Id="rId84" Type="http://schemas.openxmlformats.org/officeDocument/2006/relationships/hyperlink" Target="https://pubmed.ncbi.nlm.nih.gov/23083731/" TargetMode="External"/><Relationship Id="rId138" Type="http://schemas.openxmlformats.org/officeDocument/2006/relationships/hyperlink" Target="https://www.nature.com/articles/s41467-023-40674-3" TargetMode="External"/><Relationship Id="rId159" Type="http://schemas.openxmlformats.org/officeDocument/2006/relationships/hyperlink" Target="https://pmc.ncbi.nlm.nih.gov/articles/PMC5656295/" TargetMode="External"/><Relationship Id="rId170" Type="http://schemas.openxmlformats.org/officeDocument/2006/relationships/hyperlink" Target="https://pmc.ncbi.nlm.nih.gov/articles/PMC10941243/" TargetMode="External"/><Relationship Id="rId191" Type="http://schemas.openxmlformats.org/officeDocument/2006/relationships/hyperlink" Target="https://pubmed.ncbi.nlm.nih.gov/35474276/" TargetMode="External"/><Relationship Id="rId107" Type="http://schemas.openxmlformats.org/officeDocument/2006/relationships/hyperlink" Target="https://www.cell.com/current-biology/pdf/S0960-9822%2818%2930018-6.pdf?utm_source=chatgpt.com" TargetMode="External"/><Relationship Id="rId11" Type="http://schemas.openxmlformats.org/officeDocument/2006/relationships/hyperlink" Target="https://pmc.ncbi.nlm.nih.gov/articles/PMC11844403/" TargetMode="External"/><Relationship Id="rId32" Type="http://schemas.openxmlformats.org/officeDocument/2006/relationships/hyperlink" Target="https://pmc.ncbi.nlm.nih.gov/articles/PMC11844403/" TargetMode="External"/><Relationship Id="rId53" Type="http://schemas.openxmlformats.org/officeDocument/2006/relationships/hyperlink" Target="https://www.cell.com/current-biology/pdf/S0960-9822%2818%2930018-6.pdf?utm_source=chatgpt.com" TargetMode="External"/><Relationship Id="rId74" Type="http://schemas.openxmlformats.org/officeDocument/2006/relationships/hyperlink" Target="https://pubmed.ncbi.nlm.nih.gov/35474276/" TargetMode="External"/><Relationship Id="rId128" Type="http://schemas.openxmlformats.org/officeDocument/2006/relationships/hyperlink" Target="https://pmc.ncbi.nlm.nih.gov/articles/PMC7368823/" TargetMode="External"/><Relationship Id="rId149" Type="http://schemas.openxmlformats.org/officeDocument/2006/relationships/hyperlink" Target="https://pmc.ncbi.nlm.nih.gov/articles/PMC7359335/" TargetMode="External"/><Relationship Id="rId5" Type="http://schemas.openxmlformats.org/officeDocument/2006/relationships/hyperlink" Target="https://www.weizmann.ac.il/brain-sciences/labs/rivlin/sites/brain-sciences.labs.rivlin/files/2025-05/TopographicVariationsAnnualReview%202020.pdf" TargetMode="External"/><Relationship Id="rId95" Type="http://schemas.openxmlformats.org/officeDocument/2006/relationships/hyperlink" Target="https://pmc.ncbi.nlm.nih.gov/articles/PMC9454702/" TargetMode="External"/><Relationship Id="rId160" Type="http://schemas.openxmlformats.org/officeDocument/2006/relationships/hyperlink" Target="https://pmc.ncbi.nlm.nih.gov/articles/PMC5656295/" TargetMode="External"/><Relationship Id="rId181" Type="http://schemas.openxmlformats.org/officeDocument/2006/relationships/hyperlink" Target="https://pmc.ncbi.nlm.nih.gov/articles/PMC2990954/" TargetMode="External"/><Relationship Id="rId22" Type="http://schemas.openxmlformats.org/officeDocument/2006/relationships/hyperlink" Target="https://www.nature.com/articles/s41467-023-40674-3" TargetMode="External"/><Relationship Id="rId43" Type="http://schemas.openxmlformats.org/officeDocument/2006/relationships/hyperlink" Target="https://www.nature.com/articles/s41598-023-35885-z" TargetMode="External"/><Relationship Id="rId64" Type="http://schemas.openxmlformats.org/officeDocument/2006/relationships/hyperlink" Target="https://pmc.ncbi.nlm.nih.gov/articles/PMC8110304/" TargetMode="External"/><Relationship Id="rId118" Type="http://schemas.openxmlformats.org/officeDocument/2006/relationships/hyperlink" Target="https://pmc.ncbi.nlm.nih.gov/articles/PMC11844403/" TargetMode="External"/><Relationship Id="rId139" Type="http://schemas.openxmlformats.org/officeDocument/2006/relationships/hyperlink" Target="https://pmc.ncbi.nlm.nih.gov/articles/PMC6317877/" TargetMode="External"/><Relationship Id="rId85" Type="http://schemas.openxmlformats.org/officeDocument/2006/relationships/hyperlink" Target="https://christineacurcio.com/GanglionCellTopography/Curcio_JCompNeurol1990_GCtopo_searchable.pdf" TargetMode="External"/><Relationship Id="rId150" Type="http://schemas.openxmlformats.org/officeDocument/2006/relationships/hyperlink" Target="https://pmc.ncbi.nlm.nih.gov/articles/PMC7359335/" TargetMode="External"/><Relationship Id="rId171" Type="http://schemas.openxmlformats.org/officeDocument/2006/relationships/hyperlink" Target="https://pmc.ncbi.nlm.nih.gov/articles/PMC10941243/" TargetMode="External"/><Relationship Id="rId192" Type="http://schemas.openxmlformats.org/officeDocument/2006/relationships/hyperlink" Target="https://pubmed.ncbi.nlm.nih.gov/35474276/" TargetMode="External"/><Relationship Id="rId12" Type="http://schemas.openxmlformats.org/officeDocument/2006/relationships/hyperlink" Target="https://pmc.ncbi.nlm.nih.gov/articles/PMC11844403/" TargetMode="External"/><Relationship Id="rId33" Type="http://schemas.openxmlformats.org/officeDocument/2006/relationships/hyperlink" Target="https://www.sciencedirect.com/science/article/pii/S0896627325005525" TargetMode="External"/><Relationship Id="rId108" Type="http://schemas.openxmlformats.org/officeDocument/2006/relationships/hyperlink" Target="https://www.cell.com/current-biology/pdf/S0960-9822%2818%2930018-6.pdf?utm_source=chatgpt.com" TargetMode="External"/><Relationship Id="rId129" Type="http://schemas.openxmlformats.org/officeDocument/2006/relationships/hyperlink" Target="https://pmc.ncbi.nlm.nih.gov/articles/PMC3437843/" TargetMode="External"/><Relationship Id="rId54" Type="http://schemas.openxmlformats.org/officeDocument/2006/relationships/hyperlink" Target="https://pmc.ncbi.nlm.nih.gov/articles/PMC6317877/" TargetMode="External"/><Relationship Id="rId75" Type="http://schemas.openxmlformats.org/officeDocument/2006/relationships/hyperlink" Target="https://pmc.ncbi.nlm.nih.gov/articles/PMC10941243/" TargetMode="External"/><Relationship Id="rId96" Type="http://schemas.openxmlformats.org/officeDocument/2006/relationships/hyperlink" Target="https://pmc.ncbi.nlm.nih.gov/articles/PMC10076217/" TargetMode="External"/><Relationship Id="rId140" Type="http://schemas.openxmlformats.org/officeDocument/2006/relationships/hyperlink" Target="https://pmc.ncbi.nlm.nih.gov/articles/PMC6317877/" TargetMode="External"/><Relationship Id="rId161" Type="http://schemas.openxmlformats.org/officeDocument/2006/relationships/hyperlink" Target="https://pmc.ncbi.nlm.nih.gov/articles/PMC5656295/" TargetMode="External"/><Relationship Id="rId182" Type="http://schemas.openxmlformats.org/officeDocument/2006/relationships/hyperlink" Target="https://pmc.ncbi.nlm.nih.gov/articles/PMC2990954/" TargetMode="External"/><Relationship Id="rId6" Type="http://schemas.openxmlformats.org/officeDocument/2006/relationships/hyperlink" Target="https://www.weizmann.ac.il/brain-sciences/labs/rivlin/sites/brain-sciences.labs.rivlin/files/2025-05/TopographicVariationsAnnualReview%202020.pdf" TargetMode="External"/><Relationship Id="rId23" Type="http://schemas.openxmlformats.org/officeDocument/2006/relationships/hyperlink" Target="https://www.weizmann.ac.il/brain-sciences/labs/rivlin/sites/brain-sciences.labs.rivlin/files/2025-05/TopographicVariationsAnnualReview%202020.pdf" TargetMode="External"/><Relationship Id="rId119" Type="http://schemas.openxmlformats.org/officeDocument/2006/relationships/hyperlink" Target="https://pmc.ncbi.nlm.nih.gov/articles/PMC11844403/" TargetMode="External"/><Relationship Id="rId44" Type="http://schemas.openxmlformats.org/officeDocument/2006/relationships/hyperlink" Target="https://pmc.ncbi.nlm.nih.gov/articles/PMC3108146/" TargetMode="External"/><Relationship Id="rId65" Type="http://schemas.openxmlformats.org/officeDocument/2006/relationships/hyperlink" Target="https://pmc.ncbi.nlm.nih.gov/articles/PMC10941243/" TargetMode="External"/><Relationship Id="rId86" Type="http://schemas.openxmlformats.org/officeDocument/2006/relationships/hyperlink" Target="https://pubmed.ncbi.nlm.nih.gov/7320749/" TargetMode="External"/><Relationship Id="rId130" Type="http://schemas.openxmlformats.org/officeDocument/2006/relationships/hyperlink" Target="https://pmc.ncbi.nlm.nih.gov/articles/PMC3437843/" TargetMode="External"/><Relationship Id="rId151" Type="http://schemas.openxmlformats.org/officeDocument/2006/relationships/hyperlink" Target="https://pmc.ncbi.nlm.nih.gov/articles/PMC7359335/" TargetMode="External"/><Relationship Id="rId172" Type="http://schemas.openxmlformats.org/officeDocument/2006/relationships/hyperlink" Target="https://pmc.ncbi.nlm.nih.gov/articles/PMC10941243/" TargetMode="External"/><Relationship Id="rId193" Type="http://schemas.openxmlformats.org/officeDocument/2006/relationships/hyperlink" Target="https://pubmed.ncbi.nlm.nih.gov/23083731/" TargetMode="External"/><Relationship Id="rId13" Type="http://schemas.openxmlformats.org/officeDocument/2006/relationships/hyperlink" Target="https://www.weizmann.ac.il/brain-sciences/labs/rivlin/sites/brain-sciences.labs.rivlin/files/2025-05/TopographicVariationsAnnualReview%202020.pdf" TargetMode="External"/><Relationship Id="rId109" Type="http://schemas.openxmlformats.org/officeDocument/2006/relationships/hyperlink" Target="https://www.cell.com/current-biology/pdf/S0960-9822%2818%2930018-6.pdf?utm_source=chatgpt.com" TargetMode="External"/><Relationship Id="rId34" Type="http://schemas.openxmlformats.org/officeDocument/2006/relationships/hyperlink" Target="https://www.sciencedirect.com/science/article/pii/S0896627325005525" TargetMode="External"/><Relationship Id="rId55" Type="http://schemas.openxmlformats.org/officeDocument/2006/relationships/hyperlink" Target="https://pmc.ncbi.nlm.nih.gov/articles/PMC11844403/" TargetMode="External"/><Relationship Id="rId76" Type="http://schemas.openxmlformats.org/officeDocument/2006/relationships/hyperlink" Target="https://pmc.ncbi.nlm.nih.gov/articles/PMC10941243/" TargetMode="External"/><Relationship Id="rId97" Type="http://schemas.openxmlformats.org/officeDocument/2006/relationships/hyperlink" Target="https://www.weizmann.ac.il/brain-sciences/labs/rivlin/sites/brain-sciences.labs.rivlin/files/2025-05/TopographicVariationsAnnualReview%202020.pdf" TargetMode="External"/><Relationship Id="rId120" Type="http://schemas.openxmlformats.org/officeDocument/2006/relationships/hyperlink" Target="https://pmc.ncbi.nlm.nih.gov/articles/PMC11844403/" TargetMode="External"/><Relationship Id="rId141" Type="http://schemas.openxmlformats.org/officeDocument/2006/relationships/hyperlink" Target="https://pmc.ncbi.nlm.nih.gov/articles/PMC6317877/" TargetMode="External"/><Relationship Id="rId7" Type="http://schemas.openxmlformats.org/officeDocument/2006/relationships/hyperlink" Target="https://pmc.ncbi.nlm.nih.gov/articles/PMC3990865/" TargetMode="External"/><Relationship Id="rId162" Type="http://schemas.openxmlformats.org/officeDocument/2006/relationships/hyperlink" Target="https://pmc.ncbi.nlm.nih.gov/articles/PMC5656295/" TargetMode="External"/><Relationship Id="rId183" Type="http://schemas.openxmlformats.org/officeDocument/2006/relationships/hyperlink" Target="https://www.sciencedirect.com/science/article/pii/S2211124724013044?utm_source=chatgpt.com" TargetMode="External"/><Relationship Id="rId2" Type="http://schemas.openxmlformats.org/officeDocument/2006/relationships/styles" Target="styles.xml"/><Relationship Id="rId29" Type="http://schemas.openxmlformats.org/officeDocument/2006/relationships/hyperlink" Target="https://pmc.ncbi.nlm.nih.gov/articles/PMC6317877/" TargetMode="External"/><Relationship Id="rId24" Type="http://schemas.openxmlformats.org/officeDocument/2006/relationships/hyperlink" Target="https://www.weizmann.ac.il/brain-sciences/labs/rivlin/sites/brain-sciences.labs.rivlin/files/2025-05/TopographicVariationsAnnualReview%202020.pdf" TargetMode="External"/><Relationship Id="rId40" Type="http://schemas.openxmlformats.org/officeDocument/2006/relationships/hyperlink" Target="https://meisterlab.caltech.edu/documents/8193/joesch_2016_mouse_color_vision.pdf" TargetMode="External"/><Relationship Id="rId45" Type="http://schemas.openxmlformats.org/officeDocument/2006/relationships/hyperlink" Target="https://pmc.ncbi.nlm.nih.gov/articles/PMC5656295/" TargetMode="External"/><Relationship Id="rId66" Type="http://schemas.openxmlformats.org/officeDocument/2006/relationships/hyperlink" Target="https://pmc.ncbi.nlm.nih.gov/articles/PMC2990954/" TargetMode="External"/><Relationship Id="rId87" Type="http://schemas.openxmlformats.org/officeDocument/2006/relationships/hyperlink" Target="https://www.frontiersin.org/journals/neuroanatomy/articles/10.3389/fnana.2022.994890/full" TargetMode="External"/><Relationship Id="rId110" Type="http://schemas.openxmlformats.org/officeDocument/2006/relationships/hyperlink" Target="https://www.cell.com/current-biology/pdf/S0960-9822%2818%2930018-6.pdf?utm_source=chatgpt.com" TargetMode="External"/><Relationship Id="rId115" Type="http://schemas.openxmlformats.org/officeDocument/2006/relationships/hyperlink" Target="https://christineacurcio.com/GanglionCellTopography/Curcio_JCompNeurol1990_GCtopo_searchable.pdf" TargetMode="External"/><Relationship Id="rId131" Type="http://schemas.openxmlformats.org/officeDocument/2006/relationships/hyperlink" Target="https://pmc.ncbi.nlm.nih.gov/articles/PMC3770899/" TargetMode="External"/><Relationship Id="rId136" Type="http://schemas.openxmlformats.org/officeDocument/2006/relationships/hyperlink" Target="https://www.nature.com/articles/s41467-023-40674-3" TargetMode="External"/><Relationship Id="rId157" Type="http://schemas.openxmlformats.org/officeDocument/2006/relationships/hyperlink" Target="https://pmc.ncbi.nlm.nih.gov/articles/PMC3108146/" TargetMode="External"/><Relationship Id="rId178" Type="http://schemas.openxmlformats.org/officeDocument/2006/relationships/hyperlink" Target="https://pmc.ncbi.nlm.nih.gov/articles/PMC10076217/" TargetMode="External"/><Relationship Id="rId61" Type="http://schemas.openxmlformats.org/officeDocument/2006/relationships/hyperlink" Target="https://pmc.ncbi.nlm.nih.gov/articles/PMC9172291/" TargetMode="External"/><Relationship Id="rId82" Type="http://schemas.openxmlformats.org/officeDocument/2006/relationships/hyperlink" Target="https://www.sciencedirect.com/science/article/pii/S2211124724013044?utm_source=chatgpt.com" TargetMode="External"/><Relationship Id="rId152" Type="http://schemas.openxmlformats.org/officeDocument/2006/relationships/hyperlink" Target="https://www.scienceopen.com/document_file/06d6f053-10b6-44ac-9ffb-77754760b665/PubMedCentral/06d6f053-10b6-44ac-9ffb-77754760b665.pdf" TargetMode="External"/><Relationship Id="rId173" Type="http://schemas.openxmlformats.org/officeDocument/2006/relationships/hyperlink" Target="https://pmc.ncbi.nlm.nih.gov/articles/PMC10941243/" TargetMode="External"/><Relationship Id="rId194" Type="http://schemas.openxmlformats.org/officeDocument/2006/relationships/hyperlink" Target="https://pubmed.ncbi.nlm.nih.gov/23083731/" TargetMode="External"/><Relationship Id="rId199" Type="http://schemas.openxmlformats.org/officeDocument/2006/relationships/hyperlink" Target="https://pmc.ncbi.nlm.nih.gov/articles/PMC12512175/" TargetMode="External"/><Relationship Id="rId203" Type="http://schemas.openxmlformats.org/officeDocument/2006/relationships/fontTable" Target="fontTable.xml"/><Relationship Id="rId19" Type="http://schemas.openxmlformats.org/officeDocument/2006/relationships/hyperlink" Target="https://pmc.ncbi.nlm.nih.gov/articles/PMC3770899/" TargetMode="External"/><Relationship Id="rId14" Type="http://schemas.openxmlformats.org/officeDocument/2006/relationships/hyperlink" Target="https://pmc.ncbi.nlm.nih.gov/articles/PMC9454702/" TargetMode="External"/><Relationship Id="rId30" Type="http://schemas.openxmlformats.org/officeDocument/2006/relationships/hyperlink" Target="https://pmc.ncbi.nlm.nih.gov/articles/PMC6317877/" TargetMode="External"/><Relationship Id="rId35" Type="http://schemas.openxmlformats.org/officeDocument/2006/relationships/hyperlink" Target="https://www.nature.com/articles/s41467-023-40674-3" TargetMode="External"/><Relationship Id="rId56" Type="http://schemas.openxmlformats.org/officeDocument/2006/relationships/hyperlink" Target="https://pmc.ncbi.nlm.nih.gov/articles/PMC5656295/" TargetMode="External"/><Relationship Id="rId77" Type="http://schemas.openxmlformats.org/officeDocument/2006/relationships/hyperlink" Target="https://pmc.ncbi.nlm.nih.gov/articles/PMC10941243/" TargetMode="External"/><Relationship Id="rId100" Type="http://schemas.openxmlformats.org/officeDocument/2006/relationships/hyperlink" Target="https://www.weizmann.ac.il/brain-sciences/labs/rivlin/sites/brain-sciences.labs.rivlin/files/2025-05/TopographicVariationsAnnualReview%202020.pdf" TargetMode="External"/><Relationship Id="rId105" Type="http://schemas.openxmlformats.org/officeDocument/2006/relationships/hyperlink" Target="https://pmc.ncbi.nlm.nih.gov/articles/PMC3990865/" TargetMode="External"/><Relationship Id="rId126" Type="http://schemas.openxmlformats.org/officeDocument/2006/relationships/hyperlink" Target="https://pmc.ncbi.nlm.nih.gov/articles/PMC9454702/" TargetMode="External"/><Relationship Id="rId147" Type="http://schemas.openxmlformats.org/officeDocument/2006/relationships/hyperlink" Target="https://meisterlab.caltech.edu/documents/8193/joesch_2016_mouse_color_vision.pdf" TargetMode="External"/><Relationship Id="rId168" Type="http://schemas.openxmlformats.org/officeDocument/2006/relationships/hyperlink" Target="https://pmc.ncbi.nlm.nih.gov/articles/PMC9172291/" TargetMode="External"/><Relationship Id="rId8" Type="http://schemas.openxmlformats.org/officeDocument/2006/relationships/hyperlink" Target="https://www.cell.com/current-biology/pdf/S0960-9822%2818%2930018-6.pdf?utm_source=chatgpt.com" TargetMode="External"/><Relationship Id="rId51" Type="http://schemas.openxmlformats.org/officeDocument/2006/relationships/hyperlink" Target="https://pmc.ncbi.nlm.nih.gov/articles/PMC10076217/" TargetMode="External"/><Relationship Id="rId72" Type="http://schemas.openxmlformats.org/officeDocument/2006/relationships/hyperlink" Target="https://pmc.ncbi.nlm.nih.gov/articles/PMC9172291/" TargetMode="External"/><Relationship Id="rId93" Type="http://schemas.openxmlformats.org/officeDocument/2006/relationships/hyperlink" Target="https://www.cell.com/current-biology/pdf/S0960-9822%2818%2930018-6.pdf?utm_source=chatgpt.com" TargetMode="External"/><Relationship Id="rId98" Type="http://schemas.openxmlformats.org/officeDocument/2006/relationships/hyperlink" Target="https://www.weizmann.ac.il/brain-sciences/labs/rivlin/sites/brain-sciences.labs.rivlin/files/2025-05/TopographicVariationsAnnualReview%202020.pdf" TargetMode="External"/><Relationship Id="rId121" Type="http://schemas.openxmlformats.org/officeDocument/2006/relationships/hyperlink" Target="https://pmc.ncbi.nlm.nih.gov/articles/PMC11844403/" TargetMode="External"/><Relationship Id="rId142" Type="http://schemas.openxmlformats.org/officeDocument/2006/relationships/hyperlink" Target="https://pmc.ncbi.nlm.nih.gov/articles/PMC6317877/" TargetMode="External"/><Relationship Id="rId163" Type="http://schemas.openxmlformats.org/officeDocument/2006/relationships/hyperlink" Target="https://pmc.ncbi.nlm.nih.gov/articles/PMC5656295/" TargetMode="External"/><Relationship Id="rId184" Type="http://schemas.openxmlformats.org/officeDocument/2006/relationships/hyperlink" Target="https://www.sciencedirect.com/science/article/pii/S2211124724013044?utm_source=chatgpt.com" TargetMode="External"/><Relationship Id="rId189" Type="http://schemas.openxmlformats.org/officeDocument/2006/relationships/hyperlink" Target="https://pmc.ncbi.nlm.nih.gov/articles/PMC8110304/" TargetMode="External"/><Relationship Id="rId3" Type="http://schemas.openxmlformats.org/officeDocument/2006/relationships/settings" Target="settings.xml"/><Relationship Id="rId25" Type="http://schemas.openxmlformats.org/officeDocument/2006/relationships/hyperlink" Target="https://pmc.ncbi.nlm.nih.gov/articles/PMC9454702/" TargetMode="External"/><Relationship Id="rId46" Type="http://schemas.openxmlformats.org/officeDocument/2006/relationships/hyperlink" Target="https://pmc.ncbi.nlm.nih.gov/articles/PMC4161675/?utm_source=chatgpt.com" TargetMode="External"/><Relationship Id="rId67" Type="http://schemas.openxmlformats.org/officeDocument/2006/relationships/hyperlink" Target="https://pmc.ncbi.nlm.nih.gov/articles/PMC2990954/" TargetMode="External"/><Relationship Id="rId116" Type="http://schemas.openxmlformats.org/officeDocument/2006/relationships/hyperlink" Target="https://pmc.ncbi.nlm.nih.gov/articles/PMC11844403/" TargetMode="External"/><Relationship Id="rId137" Type="http://schemas.openxmlformats.org/officeDocument/2006/relationships/hyperlink" Target="https://www.nature.com/articles/s41467-023-40674-3" TargetMode="External"/><Relationship Id="rId158" Type="http://schemas.openxmlformats.org/officeDocument/2006/relationships/hyperlink" Target="https://pmc.ncbi.nlm.nih.gov/articles/PMC5656295/" TargetMode="External"/><Relationship Id="rId20" Type="http://schemas.openxmlformats.org/officeDocument/2006/relationships/hyperlink" Target="https://pmc.ncbi.nlm.nih.gov/articles/PMC11844403/" TargetMode="External"/><Relationship Id="rId41" Type="http://schemas.openxmlformats.org/officeDocument/2006/relationships/hyperlink" Target="https://pmc.ncbi.nlm.nih.gov/articles/PMC7359335/" TargetMode="External"/><Relationship Id="rId62" Type="http://schemas.openxmlformats.org/officeDocument/2006/relationships/hyperlink" Target="https://www.sciencedirect.com/science/article/pii/S2211124724013044?utm_source=chatgpt.com" TargetMode="External"/><Relationship Id="rId83" Type="http://schemas.openxmlformats.org/officeDocument/2006/relationships/hyperlink" Target="https://www.sciencedirect.com/science/article/pii/S2211124724013044?utm_source=chatgpt.com" TargetMode="External"/><Relationship Id="rId88" Type="http://schemas.openxmlformats.org/officeDocument/2006/relationships/hyperlink" Target="https://pmc.ncbi.nlm.nih.gov/articles/PMC12512175/" TargetMode="External"/><Relationship Id="rId111" Type="http://schemas.openxmlformats.org/officeDocument/2006/relationships/hyperlink" Target="https://www.cell.com/current-biology/pdf/S0960-9822%2818%2930018-6.pdf?utm_source=chatgpt.com" TargetMode="External"/><Relationship Id="rId132" Type="http://schemas.openxmlformats.org/officeDocument/2006/relationships/hyperlink" Target="https://pmc.ncbi.nlm.nih.gov/articles/PMC3770899/" TargetMode="External"/><Relationship Id="rId153" Type="http://schemas.openxmlformats.org/officeDocument/2006/relationships/hyperlink" Target="https://www.scienceopen.com/document_file/06d6f053-10b6-44ac-9ffb-77754760b665/PubMedCentral/06d6f053-10b6-44ac-9ffb-77754760b665.pdf" TargetMode="External"/><Relationship Id="rId174" Type="http://schemas.openxmlformats.org/officeDocument/2006/relationships/hyperlink" Target="https://www.nature.com/articles/s41467-024-49206-z" TargetMode="External"/><Relationship Id="rId179" Type="http://schemas.openxmlformats.org/officeDocument/2006/relationships/hyperlink" Target="https://pmc.ncbi.nlm.nih.gov/articles/PMC10076217/" TargetMode="External"/><Relationship Id="rId195" Type="http://schemas.openxmlformats.org/officeDocument/2006/relationships/hyperlink" Target="https://pubmed.ncbi.nlm.nih.gov/7320749/" TargetMode="External"/><Relationship Id="rId190" Type="http://schemas.openxmlformats.org/officeDocument/2006/relationships/hyperlink" Target="https://pmc.ncbi.nlm.nih.gov/articles/PMC8110304/" TargetMode="External"/><Relationship Id="rId204" Type="http://schemas.openxmlformats.org/officeDocument/2006/relationships/theme" Target="theme/theme1.xml"/><Relationship Id="rId15" Type="http://schemas.openxmlformats.org/officeDocument/2006/relationships/hyperlink" Target="https://pmc.ncbi.nlm.nih.gov/articles/PMC7368823/" TargetMode="External"/><Relationship Id="rId36" Type="http://schemas.openxmlformats.org/officeDocument/2006/relationships/hyperlink" Target="https://www.nature.com/articles/s41467-023-40674-3" TargetMode="External"/><Relationship Id="rId57" Type="http://schemas.openxmlformats.org/officeDocument/2006/relationships/hyperlink" Target="https://pmc.ncbi.nlm.nih.gov/articles/PMC2990954/" TargetMode="External"/><Relationship Id="rId106" Type="http://schemas.openxmlformats.org/officeDocument/2006/relationships/hyperlink" Target="https://pmc.ncbi.nlm.nih.gov/articles/PMC3990865/" TargetMode="External"/><Relationship Id="rId127" Type="http://schemas.openxmlformats.org/officeDocument/2006/relationships/hyperlink" Target="https://pmc.ncbi.nlm.nih.gov/articles/PMC7368823/" TargetMode="External"/><Relationship Id="rId10" Type="http://schemas.openxmlformats.org/officeDocument/2006/relationships/hyperlink" Target="https://pmc.ncbi.nlm.nih.gov/articles/PMC11844403/" TargetMode="External"/><Relationship Id="rId31" Type="http://schemas.openxmlformats.org/officeDocument/2006/relationships/hyperlink" Target="https://pmc.ncbi.nlm.nih.gov/articles/PMC11844403/" TargetMode="External"/><Relationship Id="rId52" Type="http://schemas.openxmlformats.org/officeDocument/2006/relationships/hyperlink" Target="https://pmc.ncbi.nlm.nih.gov/articles/PMC10076217/" TargetMode="External"/><Relationship Id="rId73" Type="http://schemas.openxmlformats.org/officeDocument/2006/relationships/hyperlink" Target="https://pmc.ncbi.nlm.nih.gov/articles/PMC9172291/" TargetMode="External"/><Relationship Id="rId78" Type="http://schemas.openxmlformats.org/officeDocument/2006/relationships/hyperlink" Target="https://pmc.ncbi.nlm.nih.gov/articles/PMC8110304/" TargetMode="External"/><Relationship Id="rId94" Type="http://schemas.openxmlformats.org/officeDocument/2006/relationships/hyperlink" Target="https://www.nature.com/articles/s41467-023-40674-3" TargetMode="External"/><Relationship Id="rId99" Type="http://schemas.openxmlformats.org/officeDocument/2006/relationships/hyperlink" Target="https://www.weizmann.ac.il/brain-sciences/labs/rivlin/sites/brain-sciences.labs.rivlin/files/2025-05/TopographicVariationsAnnualReview%202020.pdf" TargetMode="External"/><Relationship Id="rId101" Type="http://schemas.openxmlformats.org/officeDocument/2006/relationships/hyperlink" Target="https://www.weizmann.ac.il/brain-sciences/labs/rivlin/sites/brain-sciences.labs.rivlin/files/2025-05/TopographicVariationsAnnualReview%202020.pdf" TargetMode="External"/><Relationship Id="rId122" Type="http://schemas.openxmlformats.org/officeDocument/2006/relationships/hyperlink" Target="https://pmc.ncbi.nlm.nih.gov/articles/PMC11844403/" TargetMode="External"/><Relationship Id="rId143" Type="http://schemas.openxmlformats.org/officeDocument/2006/relationships/hyperlink" Target="https://pmc.ncbi.nlm.nih.gov/articles/PMC7308094/" TargetMode="External"/><Relationship Id="rId148" Type="http://schemas.openxmlformats.org/officeDocument/2006/relationships/hyperlink" Target="https://meisterlab.caltech.edu/documents/8193/joesch_2016_mouse_color_vision.pdf" TargetMode="External"/><Relationship Id="rId164" Type="http://schemas.openxmlformats.org/officeDocument/2006/relationships/hyperlink" Target="https://pmc.ncbi.nlm.nih.gov/articles/PMC5656295/" TargetMode="External"/><Relationship Id="rId169" Type="http://schemas.openxmlformats.org/officeDocument/2006/relationships/hyperlink" Target="https://pmc.ncbi.nlm.nih.gov/articles/PMC9172291/" TargetMode="External"/><Relationship Id="rId185" Type="http://schemas.openxmlformats.org/officeDocument/2006/relationships/hyperlink" Target="https://www.sciencedirect.com/science/article/pii/S2211124724013044?utm_source=chatgpt.com" TargetMode="External"/><Relationship Id="rId4" Type="http://schemas.openxmlformats.org/officeDocument/2006/relationships/webSettings" Target="webSettings.xml"/><Relationship Id="rId9" Type="http://schemas.openxmlformats.org/officeDocument/2006/relationships/hyperlink" Target="https://christineacurcio.com/GanglionCellTopography/Curcio_JCompNeurol1990_GCtopo_searchable.pdf" TargetMode="External"/><Relationship Id="rId180" Type="http://schemas.openxmlformats.org/officeDocument/2006/relationships/hyperlink" Target="https://pmc.ncbi.nlm.nih.gov/articles/PMC2990954/" TargetMode="External"/><Relationship Id="rId26" Type="http://schemas.openxmlformats.org/officeDocument/2006/relationships/hyperlink" Target="https://pmc.ncbi.nlm.nih.gov/articles/PMC9454702/" TargetMode="External"/><Relationship Id="rId47" Type="http://schemas.openxmlformats.org/officeDocument/2006/relationships/hyperlink" Target="https://pmc.ncbi.nlm.nih.gov/articles/PMC9172291/" TargetMode="External"/><Relationship Id="rId68" Type="http://schemas.openxmlformats.org/officeDocument/2006/relationships/hyperlink" Target="https://pmc.ncbi.nlm.nih.gov/articles/PMC2990954/" TargetMode="External"/><Relationship Id="rId89" Type="http://schemas.openxmlformats.org/officeDocument/2006/relationships/hyperlink" Target="https://pmc.ncbi.nlm.nih.gov/articles/PMC7416113/" TargetMode="External"/><Relationship Id="rId112" Type="http://schemas.openxmlformats.org/officeDocument/2006/relationships/hyperlink" Target="https://www.cell.com/current-biology/pdf/S0960-9822%2818%2930018-6.pdf?utm_source=chatgpt.com" TargetMode="External"/><Relationship Id="rId133" Type="http://schemas.openxmlformats.org/officeDocument/2006/relationships/hyperlink" Target="https://www.sciencedirect.com/science/article/pii/S0896627325005525" TargetMode="External"/><Relationship Id="rId154" Type="http://schemas.openxmlformats.org/officeDocument/2006/relationships/hyperlink" Target="https://www.nature.com/articles/s41598-023-35885-z" TargetMode="External"/><Relationship Id="rId175" Type="http://schemas.openxmlformats.org/officeDocument/2006/relationships/hyperlink" Target="https://www.nature.com/articles/s41467-024-49206-z" TargetMode="External"/><Relationship Id="rId196" Type="http://schemas.openxmlformats.org/officeDocument/2006/relationships/hyperlink" Target="https://pubmed.ncbi.nlm.nih.gov/7320749/" TargetMode="External"/><Relationship Id="rId200" Type="http://schemas.openxmlformats.org/officeDocument/2006/relationships/hyperlink" Target="https://pmc.ncbi.nlm.nih.gov/articles/PMC12512175/" TargetMode="External"/><Relationship Id="rId16" Type="http://schemas.openxmlformats.org/officeDocument/2006/relationships/hyperlink" Target="https://pmc.ncbi.nlm.nih.gov/articles/PMC11844403/" TargetMode="External"/><Relationship Id="rId37" Type="http://schemas.openxmlformats.org/officeDocument/2006/relationships/hyperlink" Target="https://www.weizmann.ac.il/brain-sciences/labs/rivlin/sites/brain-sciences.labs.rivlin/files/2025-05/TopographicVariationsAnnualReview%202020.pdf" TargetMode="External"/><Relationship Id="rId58" Type="http://schemas.openxmlformats.org/officeDocument/2006/relationships/hyperlink" Target="https://pmc.ncbi.nlm.nih.gov/articles/PMC2990954/" TargetMode="External"/><Relationship Id="rId79" Type="http://schemas.openxmlformats.org/officeDocument/2006/relationships/hyperlink" Target="https://pmc.ncbi.nlm.nih.gov/articles/PMC8110304/" TargetMode="External"/><Relationship Id="rId102" Type="http://schemas.openxmlformats.org/officeDocument/2006/relationships/hyperlink" Target="https://www.weizmann.ac.il/brain-sciences/labs/rivlin/sites/brain-sciences.labs.rivlin/files/2025-05/TopographicVariationsAnnualReview%202020.pdf" TargetMode="External"/><Relationship Id="rId123" Type="http://schemas.openxmlformats.org/officeDocument/2006/relationships/hyperlink" Target="https://pmc.ncbi.nlm.nih.gov/articles/PMC9454702/" TargetMode="External"/><Relationship Id="rId144" Type="http://schemas.openxmlformats.org/officeDocument/2006/relationships/hyperlink" Target="https://pmc.ncbi.nlm.nih.gov/articles/PMC7308094/" TargetMode="External"/><Relationship Id="rId90" Type="http://schemas.openxmlformats.org/officeDocument/2006/relationships/hyperlink" Target="https://pmc.ncbi.nlm.nih.gov/articles/PMC5656295/" TargetMode="External"/><Relationship Id="rId165" Type="http://schemas.openxmlformats.org/officeDocument/2006/relationships/hyperlink" Target="https://pmc.ncbi.nlm.nih.gov/articles/PMC4161675/?utm_source=chatgpt.com" TargetMode="External"/><Relationship Id="rId186" Type="http://schemas.openxmlformats.org/officeDocument/2006/relationships/hyperlink" Target="https://www.sciencedirect.com/science/article/pii/S2211124724013044?utm_source=chatgpt.com" TargetMode="External"/><Relationship Id="rId27" Type="http://schemas.openxmlformats.org/officeDocument/2006/relationships/hyperlink" Target="https://pmc.ncbi.nlm.nih.gov/articles/PMC3990865/" TargetMode="External"/><Relationship Id="rId48" Type="http://schemas.openxmlformats.org/officeDocument/2006/relationships/hyperlink" Target="https://pmc.ncbi.nlm.nih.gov/articles/PMC10941243/" TargetMode="External"/><Relationship Id="rId69" Type="http://schemas.openxmlformats.org/officeDocument/2006/relationships/hyperlink" Target="https://www.cell.com/current-biology/pdf/S0960-9822%2818%2930018-6.pdf?utm_source=chatgpt.com" TargetMode="External"/><Relationship Id="rId113" Type="http://schemas.openxmlformats.org/officeDocument/2006/relationships/hyperlink" Target="https://christineacurcio.com/GanglionCellTopography/Curcio_JCompNeurol1990_GCtopo_searchable.pdf" TargetMode="External"/><Relationship Id="rId134" Type="http://schemas.openxmlformats.org/officeDocument/2006/relationships/hyperlink" Target="https://www.sciencedirect.com/science/article/pii/S0896627325005525" TargetMode="External"/><Relationship Id="rId80" Type="http://schemas.openxmlformats.org/officeDocument/2006/relationships/hyperlink" Target="https://pmc.ncbi.nlm.nih.gov/articles/PMC8110304/" TargetMode="External"/><Relationship Id="rId155" Type="http://schemas.openxmlformats.org/officeDocument/2006/relationships/hyperlink" Target="https://www.nature.com/articles/s41598-023-35885-z" TargetMode="External"/><Relationship Id="rId176" Type="http://schemas.openxmlformats.org/officeDocument/2006/relationships/hyperlink" Target="https://pmc.ncbi.nlm.nih.gov/articles/PMC10076217/" TargetMode="External"/><Relationship Id="rId197" Type="http://schemas.openxmlformats.org/officeDocument/2006/relationships/hyperlink" Target="https://www.frontiersin.org/journals/neuroanatomy/articles/10.3389/fnana.2022.994890/full" TargetMode="External"/><Relationship Id="rId201" Type="http://schemas.openxmlformats.org/officeDocument/2006/relationships/hyperlink" Target="https://pmc.ncbi.nlm.nih.gov/articles/PMC7416113/" TargetMode="External"/><Relationship Id="rId17" Type="http://schemas.openxmlformats.org/officeDocument/2006/relationships/hyperlink" Target="https://pmc.ncbi.nlm.nih.gov/articles/PMC3990865/" TargetMode="External"/><Relationship Id="rId38" Type="http://schemas.openxmlformats.org/officeDocument/2006/relationships/hyperlink" Target="https://pmc.ncbi.nlm.nih.gov/articles/PMC7308094/" TargetMode="External"/><Relationship Id="rId59" Type="http://schemas.openxmlformats.org/officeDocument/2006/relationships/hyperlink" Target="https://pmc.ncbi.nlm.nih.gov/articles/PMC5656295/" TargetMode="External"/><Relationship Id="rId103" Type="http://schemas.openxmlformats.org/officeDocument/2006/relationships/hyperlink" Target="https://pmc.ncbi.nlm.nih.gov/articles/PMC3990865/" TargetMode="External"/><Relationship Id="rId124" Type="http://schemas.openxmlformats.org/officeDocument/2006/relationships/hyperlink" Target="https://pmc.ncbi.nlm.nih.gov/articles/PMC9454702/" TargetMode="External"/><Relationship Id="rId70" Type="http://schemas.openxmlformats.org/officeDocument/2006/relationships/hyperlink" Target="https://www.cell.com/current-biology/pdf/S0960-9822%2818%2930018-6.pdf?utm_source=chatgpt.com" TargetMode="External"/><Relationship Id="rId91" Type="http://schemas.openxmlformats.org/officeDocument/2006/relationships/hyperlink" Target="https://www.weizmann.ac.il/brain-sciences/labs/rivlin/sites/brain-sciences.labs.rivlin/files/2025-05/TopographicVariationsAnnualReview%202020.pdf" TargetMode="External"/><Relationship Id="rId145" Type="http://schemas.openxmlformats.org/officeDocument/2006/relationships/hyperlink" Target="https://pubmed.ncbi.nlm.nih.gov/23395380/" TargetMode="External"/><Relationship Id="rId166" Type="http://schemas.openxmlformats.org/officeDocument/2006/relationships/hyperlink" Target="https://pmc.ncbi.nlm.nih.gov/articles/PMC4161675/?utm_source=chatgpt.com" TargetMode="External"/><Relationship Id="rId187" Type="http://schemas.openxmlformats.org/officeDocument/2006/relationships/hyperlink" Target="https://pmc.ncbi.nlm.nih.gov/articles/PMC8110304/" TargetMode="External"/><Relationship Id="rId1" Type="http://schemas.openxmlformats.org/officeDocument/2006/relationships/numbering" Target="numbering.xml"/><Relationship Id="rId28" Type="http://schemas.openxmlformats.org/officeDocument/2006/relationships/hyperlink" Target="https://pmc.ncbi.nlm.nih.gov/articles/PMC3990865/" TargetMode="External"/><Relationship Id="rId49" Type="http://schemas.openxmlformats.org/officeDocument/2006/relationships/hyperlink" Target="https://pmc.ncbi.nlm.nih.gov/articles/PMC5656295/" TargetMode="External"/><Relationship Id="rId114" Type="http://schemas.openxmlformats.org/officeDocument/2006/relationships/hyperlink" Target="https://christineacurcio.com/GanglionCellTopography/Curcio_JCompNeurol1990_GCtopo_searchable.pdf" TargetMode="External"/><Relationship Id="rId60" Type="http://schemas.openxmlformats.org/officeDocument/2006/relationships/hyperlink" Target="https://www.cell.com/current-biology/pdf/S0960-9822%2818%2930018-6.pdf?utm_source=chatgpt.com" TargetMode="External"/><Relationship Id="rId81" Type="http://schemas.openxmlformats.org/officeDocument/2006/relationships/hyperlink" Target="https://www.sciencedirect.com/science/article/pii/S2211124724013044?utm_source=chatgpt.com" TargetMode="External"/><Relationship Id="rId135" Type="http://schemas.openxmlformats.org/officeDocument/2006/relationships/hyperlink" Target="https://www.nature.com/articles/s41467-023-40674-3" TargetMode="External"/><Relationship Id="rId156" Type="http://schemas.openxmlformats.org/officeDocument/2006/relationships/hyperlink" Target="https://pmc.ncbi.nlm.nih.gov/articles/PMC3108146/" TargetMode="External"/><Relationship Id="rId177" Type="http://schemas.openxmlformats.org/officeDocument/2006/relationships/hyperlink" Target="https://pmc.ncbi.nlm.nih.gov/articles/PMC10076217/" TargetMode="External"/><Relationship Id="rId198" Type="http://schemas.openxmlformats.org/officeDocument/2006/relationships/hyperlink" Target="https://www.frontiersin.org/journals/neuroanatomy/articles/10.3389/fnana.2022.994890/full" TargetMode="External"/><Relationship Id="rId202" Type="http://schemas.openxmlformats.org/officeDocument/2006/relationships/hyperlink" Target="https://pmc.ncbi.nlm.nih.gov/articles/PMC7416113/" TargetMode="External"/><Relationship Id="rId18" Type="http://schemas.openxmlformats.org/officeDocument/2006/relationships/hyperlink" Target="https://pmc.ncbi.nlm.nih.gov/articles/PMC3437843/" TargetMode="External"/><Relationship Id="rId39" Type="http://schemas.openxmlformats.org/officeDocument/2006/relationships/hyperlink" Target="https://pubmed.ncbi.nlm.nih.gov/23395380/" TargetMode="External"/><Relationship Id="rId50" Type="http://schemas.openxmlformats.org/officeDocument/2006/relationships/hyperlink" Target="https://www.nature.com/articles/s41467-024-49206-z" TargetMode="External"/><Relationship Id="rId104" Type="http://schemas.openxmlformats.org/officeDocument/2006/relationships/hyperlink" Target="https://pmc.ncbi.nlm.nih.gov/articles/PMC3990865/" TargetMode="External"/><Relationship Id="rId125" Type="http://schemas.openxmlformats.org/officeDocument/2006/relationships/hyperlink" Target="https://pmc.ncbi.nlm.nih.gov/articles/PMC9454702/" TargetMode="External"/><Relationship Id="rId146" Type="http://schemas.openxmlformats.org/officeDocument/2006/relationships/hyperlink" Target="https://pubmed.ncbi.nlm.nih.gov/23395380/" TargetMode="External"/><Relationship Id="rId167" Type="http://schemas.openxmlformats.org/officeDocument/2006/relationships/hyperlink" Target="https://pmc.ncbi.nlm.nih.gov/articles/PMC9172291/" TargetMode="External"/><Relationship Id="rId188" Type="http://schemas.openxmlformats.org/officeDocument/2006/relationships/hyperlink" Target="https://pmc.ncbi.nlm.nih.gov/articles/PMC8110304/" TargetMode="External"/><Relationship Id="rId71" Type="http://schemas.openxmlformats.org/officeDocument/2006/relationships/hyperlink" Target="https://pmc.ncbi.nlm.nih.gov/articles/PMC6317877/" TargetMode="External"/><Relationship Id="rId92" Type="http://schemas.openxmlformats.org/officeDocument/2006/relationships/hyperlink" Target="https://pmc.ncbi.nlm.nih.gov/articles/PMC7359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6392</Words>
  <Characters>47495</Characters>
  <Application>Microsoft Office Word</Application>
  <DocSecurity>0</DocSecurity>
  <Lines>1826</Lines>
  <Paragraphs>452</Paragraphs>
  <ScaleCrop>false</ScaleCrop>
  <Company/>
  <LinksUpToDate>false</LinksUpToDate>
  <CharactersWithSpaces>53435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Jiang, Zheng</cp:lastModifiedBy>
  <cp:revision>2</cp:revision>
  <dcterms:created xsi:type="dcterms:W3CDTF">2026-03-31T16:45:00Z</dcterms:created>
  <dcterms:modified xsi:type="dcterms:W3CDTF">2026-03-31T17:33:00Z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