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CA918">
      <w:pPr>
        <w:rPr>
          <w:rFonts w:hint="default" w:ascii="Times New Roman" w:hAnsi="Times New Roman" w:cs="Times New Roman"/>
          <w:lang w:val="en-US"/>
        </w:rPr>
      </w:pPr>
      <w:r>
        <w:rPr>
          <w:rFonts w:hint="default" w:ascii="Times New Roman" w:hAnsi="Times New Roman" w:cs="Times New Roman"/>
          <w:lang w:val="en-US"/>
        </w:rPr>
        <w:t xml:space="preserve">Homework for week 3, </w:t>
      </w:r>
      <w:r>
        <w:rPr>
          <w:rFonts w:hint="default" w:ascii="Times New Roman" w:hAnsi="Times New Roman" w:cs="Times New Roman"/>
          <w:b/>
          <w:bCs/>
          <w:color w:val="C00000"/>
          <w:sz w:val="36"/>
          <w:szCs w:val="36"/>
          <w:lang w:val="en-US"/>
        </w:rPr>
        <w:t>submission deadline 23:59 on Sunday night</w:t>
      </w:r>
      <w:r>
        <w:rPr>
          <w:rFonts w:hint="default" w:ascii="Times New Roman" w:hAnsi="Times New Roman" w:cs="Times New Roman"/>
          <w:lang w:val="en-US"/>
        </w:rPr>
        <w:t>.</w:t>
      </w:r>
    </w:p>
    <w:p w14:paraId="76150198">
      <w:pPr>
        <w:pStyle w:val="32"/>
        <w:numPr>
          <w:ilvl w:val="0"/>
          <w:numId w:val="1"/>
        </w:numPr>
        <w:rPr>
          <w:rFonts w:hint="default" w:ascii="Times New Roman" w:hAnsi="Times New Roman" w:cs="Times New Roman"/>
          <w:lang w:val="en-US"/>
        </w:rPr>
      </w:pPr>
      <w:r>
        <w:rPr>
          <w:rFonts w:hint="default" w:ascii="Times New Roman" w:hAnsi="Times New Roman" w:cs="Times New Roman"/>
        </w:rPr>
        <w:t>Use nature microbiology paper from</w:t>
      </w:r>
      <w:r>
        <w:rPr>
          <w:rFonts w:hint="default" w:ascii="Times New Roman" w:hAnsi="Times New Roman" w:cs="Times New Roman"/>
          <w:lang w:val="en-US"/>
        </w:rPr>
        <w:t xml:space="preserve"> last week and </w:t>
      </w:r>
      <w:r>
        <w:rPr>
          <w:rFonts w:hint="default" w:ascii="Times New Roman" w:hAnsi="Times New Roman" w:cs="Times New Roman"/>
        </w:rPr>
        <w:t xml:space="preserve">use a GSE identified from Week 2 homework, answer the question list in the </w:t>
      </w:r>
      <w:r>
        <w:rPr>
          <w:rFonts w:hint="default" w:ascii="Times New Roman" w:hAnsi="Times New Roman" w:cs="Times New Roman"/>
          <w:lang w:val="en-US"/>
        </w:rPr>
        <w:t xml:space="preserve">table below. </w:t>
      </w:r>
      <w:r>
        <w:rPr>
          <w:rFonts w:hint="default" w:ascii="Times New Roman" w:hAnsi="Times New Roman" w:cs="Times New Roman"/>
          <w:lang w:val="en-US"/>
        </w:rPr>
        <w:t>If</w:t>
      </w:r>
      <w:r>
        <w:rPr>
          <w:rFonts w:hint="default" w:ascii="Times New Roman" w:hAnsi="Times New Roman" w:cs="Times New Roman"/>
          <w:lang w:val="en-US"/>
        </w:rPr>
        <w:t xml:space="preserve"> you use AI-agent or R to facilitate this process, please paste code or script at the end.</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4659"/>
        <w:gridCol w:w="4201"/>
      </w:tblGrid>
      <w:tr w14:paraId="49FDE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621" w:type="dxa"/>
            <w:shd w:val="clear" w:color="auto" w:fill="5A2D91"/>
            <w:tcMar>
              <w:top w:w="55" w:type="dxa"/>
              <w:left w:w="65" w:type="dxa"/>
              <w:bottom w:w="55" w:type="dxa"/>
              <w:right w:w="65" w:type="dxa"/>
            </w:tcMar>
            <w:vAlign w:val="center"/>
          </w:tcPr>
          <w:p w14:paraId="60FB3C52">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b/>
                <w:color w:val="FFFFFF"/>
                <w:kern w:val="0"/>
                <w:sz w:val="24"/>
                <w:szCs w:val="24"/>
                <w:lang w:val="en-US" w:eastAsia="en-US"/>
                <w14:ligatures w14:val="none"/>
              </w:rPr>
              <w:t>Step</w:t>
            </w:r>
          </w:p>
        </w:tc>
        <w:tc>
          <w:tcPr>
            <w:tcW w:w="4590" w:type="dxa"/>
            <w:shd w:val="clear" w:color="auto" w:fill="5A2D91"/>
            <w:tcMar>
              <w:top w:w="55" w:type="dxa"/>
              <w:left w:w="65" w:type="dxa"/>
              <w:bottom w:w="55" w:type="dxa"/>
              <w:right w:w="65" w:type="dxa"/>
            </w:tcMar>
            <w:vAlign w:val="center"/>
          </w:tcPr>
          <w:p w14:paraId="401A31D0">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b/>
                <w:color w:val="FFFFFF"/>
                <w:kern w:val="0"/>
                <w:sz w:val="24"/>
                <w:szCs w:val="24"/>
                <w:lang w:val="en-US" w:eastAsia="en-US"/>
                <w14:ligatures w14:val="none"/>
              </w:rPr>
              <w:t>Student action</w:t>
            </w:r>
          </w:p>
        </w:tc>
        <w:tc>
          <w:tcPr>
            <w:tcW w:w="4139" w:type="dxa"/>
            <w:shd w:val="clear" w:color="auto" w:fill="5A2D91"/>
            <w:tcMar>
              <w:top w:w="55" w:type="dxa"/>
              <w:left w:w="65" w:type="dxa"/>
              <w:bottom w:w="55" w:type="dxa"/>
              <w:right w:w="65" w:type="dxa"/>
            </w:tcMar>
            <w:vAlign w:val="center"/>
          </w:tcPr>
          <w:p w14:paraId="5CA8BE48">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b/>
                <w:color w:val="FFFFFF"/>
                <w:kern w:val="0"/>
                <w:sz w:val="24"/>
                <w:szCs w:val="24"/>
                <w:lang w:val="en-US" w:eastAsia="en-US"/>
                <w14:ligatures w14:val="none"/>
              </w:rPr>
              <w:t>Evidence to record</w:t>
            </w:r>
          </w:p>
        </w:tc>
      </w:tr>
      <w:tr w14:paraId="618C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jc w:val="center"/>
        </w:trPr>
        <w:tc>
          <w:tcPr>
            <w:tcW w:w="621" w:type="dxa"/>
            <w:shd w:val="clear" w:color="auto" w:fill="FFFFFF"/>
            <w:tcMar>
              <w:top w:w="45" w:type="dxa"/>
              <w:left w:w="60" w:type="dxa"/>
              <w:bottom w:w="45" w:type="dxa"/>
              <w:right w:w="60" w:type="dxa"/>
            </w:tcMar>
            <w:vAlign w:val="center"/>
          </w:tcPr>
          <w:p w14:paraId="14B7D49F">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1</w:t>
            </w:r>
          </w:p>
        </w:tc>
        <w:tc>
          <w:tcPr>
            <w:tcW w:w="4590" w:type="dxa"/>
            <w:shd w:val="clear" w:color="auto" w:fill="FFFFFF"/>
            <w:tcMar>
              <w:top w:w="45" w:type="dxa"/>
              <w:left w:w="60" w:type="dxa"/>
              <w:bottom w:w="45" w:type="dxa"/>
              <w:right w:w="60" w:type="dxa"/>
            </w:tcMar>
            <w:vAlign w:val="center"/>
          </w:tcPr>
          <w:p w14:paraId="6C58C7AD">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State the Week 2 data-driven question.</w:t>
            </w:r>
          </w:p>
        </w:tc>
        <w:tc>
          <w:tcPr>
            <w:tcW w:w="4139" w:type="dxa"/>
            <w:shd w:val="clear" w:color="auto" w:fill="FFFFFF"/>
            <w:tcMar>
              <w:top w:w="45" w:type="dxa"/>
              <w:left w:w="60" w:type="dxa"/>
              <w:bottom w:w="45" w:type="dxa"/>
              <w:right w:w="60" w:type="dxa"/>
            </w:tcMar>
            <w:vAlign w:val="center"/>
          </w:tcPr>
          <w:p w14:paraId="512347FE">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One sentence with population/system, comparison, outcome, and data type.</w:t>
            </w:r>
          </w:p>
        </w:tc>
      </w:tr>
      <w:tr w14:paraId="6646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3F1F7"/>
            <w:tcMar>
              <w:top w:w="45" w:type="dxa"/>
              <w:left w:w="60" w:type="dxa"/>
              <w:bottom w:w="45" w:type="dxa"/>
              <w:right w:w="60" w:type="dxa"/>
            </w:tcMar>
            <w:vAlign w:val="center"/>
          </w:tcPr>
          <w:p w14:paraId="1F4E3C47">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2</w:t>
            </w:r>
          </w:p>
        </w:tc>
        <w:tc>
          <w:tcPr>
            <w:tcW w:w="4590" w:type="dxa"/>
            <w:shd w:val="clear" w:color="auto" w:fill="F3F1F7"/>
            <w:tcMar>
              <w:top w:w="45" w:type="dxa"/>
              <w:left w:w="60" w:type="dxa"/>
              <w:bottom w:w="45" w:type="dxa"/>
              <w:right w:w="60" w:type="dxa"/>
            </w:tcMar>
            <w:vAlign w:val="center"/>
          </w:tcPr>
          <w:p w14:paraId="285B40E1">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Confirm study identity.</w:t>
            </w:r>
          </w:p>
        </w:tc>
        <w:tc>
          <w:tcPr>
            <w:tcW w:w="4139" w:type="dxa"/>
            <w:shd w:val="clear" w:color="auto" w:fill="F3F1F7"/>
            <w:tcMar>
              <w:top w:w="45" w:type="dxa"/>
              <w:left w:w="60" w:type="dxa"/>
              <w:bottom w:w="45" w:type="dxa"/>
              <w:right w:w="60" w:type="dxa"/>
            </w:tcMar>
            <w:vAlign w:val="center"/>
          </w:tcPr>
          <w:p w14:paraId="343144F6">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GSE, title, organism, publication, and platform.</w:t>
            </w:r>
          </w:p>
        </w:tc>
      </w:tr>
      <w:tr w14:paraId="348E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FFFFF"/>
            <w:tcMar>
              <w:top w:w="45" w:type="dxa"/>
              <w:left w:w="60" w:type="dxa"/>
              <w:bottom w:w="45" w:type="dxa"/>
              <w:right w:w="60" w:type="dxa"/>
            </w:tcMar>
            <w:vAlign w:val="center"/>
          </w:tcPr>
          <w:p w14:paraId="4A2AC642">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3</w:t>
            </w:r>
          </w:p>
        </w:tc>
        <w:tc>
          <w:tcPr>
            <w:tcW w:w="4590" w:type="dxa"/>
            <w:shd w:val="clear" w:color="auto" w:fill="FFFFFF"/>
            <w:tcMar>
              <w:top w:w="45" w:type="dxa"/>
              <w:left w:w="60" w:type="dxa"/>
              <w:bottom w:w="45" w:type="dxa"/>
              <w:right w:w="60" w:type="dxa"/>
            </w:tcMar>
            <w:vAlign w:val="center"/>
          </w:tcPr>
          <w:p w14:paraId="1B35F2F3">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Map accessions.</w:t>
            </w:r>
          </w:p>
        </w:tc>
        <w:tc>
          <w:tcPr>
            <w:tcW w:w="4139" w:type="dxa"/>
            <w:shd w:val="clear" w:color="auto" w:fill="FFFFFF"/>
            <w:tcMar>
              <w:top w:w="45" w:type="dxa"/>
              <w:left w:w="60" w:type="dxa"/>
              <w:bottom w:w="45" w:type="dxa"/>
              <w:right w:w="60" w:type="dxa"/>
            </w:tcMar>
            <w:vAlign w:val="center"/>
          </w:tcPr>
          <w:p w14:paraId="0E2AD7B5">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At least one GSM and any linked BioProject/SRP/SRR.</w:t>
            </w:r>
          </w:p>
        </w:tc>
      </w:tr>
      <w:tr w14:paraId="765C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3F1F7"/>
            <w:tcMar>
              <w:top w:w="45" w:type="dxa"/>
              <w:left w:w="60" w:type="dxa"/>
              <w:bottom w:w="45" w:type="dxa"/>
              <w:right w:w="60" w:type="dxa"/>
            </w:tcMar>
            <w:vAlign w:val="center"/>
          </w:tcPr>
          <w:p w14:paraId="595DB758">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4</w:t>
            </w:r>
          </w:p>
        </w:tc>
        <w:tc>
          <w:tcPr>
            <w:tcW w:w="4590" w:type="dxa"/>
            <w:shd w:val="clear" w:color="auto" w:fill="F3F1F7"/>
            <w:tcMar>
              <w:top w:w="45" w:type="dxa"/>
              <w:left w:w="60" w:type="dxa"/>
              <w:bottom w:w="45" w:type="dxa"/>
              <w:right w:w="60" w:type="dxa"/>
            </w:tcMar>
            <w:vAlign w:val="center"/>
          </w:tcPr>
          <w:p w14:paraId="0AE122D3">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Identify available data layers.</w:t>
            </w:r>
          </w:p>
        </w:tc>
        <w:tc>
          <w:tcPr>
            <w:tcW w:w="4139" w:type="dxa"/>
            <w:shd w:val="clear" w:color="auto" w:fill="F3F1F7"/>
            <w:tcMar>
              <w:top w:w="45" w:type="dxa"/>
              <w:left w:w="60" w:type="dxa"/>
              <w:bottom w:w="45" w:type="dxa"/>
              <w:right w:w="60" w:type="dxa"/>
            </w:tcMar>
            <w:vAlign w:val="center"/>
          </w:tcPr>
          <w:p w14:paraId="68F07CED">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Series matrix, supplementary counts, raw reads, or single-cell files.</w:t>
            </w:r>
          </w:p>
        </w:tc>
      </w:tr>
      <w:tr w14:paraId="4E94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FFFFF"/>
            <w:tcMar>
              <w:top w:w="45" w:type="dxa"/>
              <w:left w:w="60" w:type="dxa"/>
              <w:bottom w:w="45" w:type="dxa"/>
              <w:right w:w="60" w:type="dxa"/>
            </w:tcMar>
            <w:vAlign w:val="center"/>
          </w:tcPr>
          <w:p w14:paraId="6AFA21B0">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5</w:t>
            </w:r>
          </w:p>
        </w:tc>
        <w:tc>
          <w:tcPr>
            <w:tcW w:w="4590" w:type="dxa"/>
            <w:shd w:val="clear" w:color="auto" w:fill="FFFFFF"/>
            <w:tcMar>
              <w:top w:w="45" w:type="dxa"/>
              <w:left w:w="60" w:type="dxa"/>
              <w:bottom w:w="45" w:type="dxa"/>
              <w:right w:w="60" w:type="dxa"/>
            </w:tcMar>
            <w:vAlign w:val="center"/>
          </w:tcPr>
          <w:p w14:paraId="3B4787D6">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Reconstruct the design.</w:t>
            </w:r>
          </w:p>
        </w:tc>
        <w:tc>
          <w:tcPr>
            <w:tcW w:w="4139" w:type="dxa"/>
            <w:shd w:val="clear" w:color="auto" w:fill="FFFFFF"/>
            <w:tcMar>
              <w:top w:w="45" w:type="dxa"/>
              <w:left w:w="60" w:type="dxa"/>
              <w:bottom w:w="45" w:type="dxa"/>
              <w:right w:w="60" w:type="dxa"/>
            </w:tcMar>
            <w:vAlign w:val="center"/>
          </w:tcPr>
          <w:p w14:paraId="3780CBB7">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Groups, n, subject/paired structure, major covariates, batch.</w:t>
            </w:r>
          </w:p>
        </w:tc>
      </w:tr>
    </w:tbl>
    <w:p w14:paraId="4CA18326">
      <w:pPr>
        <w:rPr>
          <w:rFonts w:hint="default" w:ascii="Times New Roman" w:hAnsi="Times New Roman" w:cs="Times New Roman"/>
        </w:rPr>
      </w:pPr>
    </w:p>
    <w:p w14:paraId="56B386C8">
      <w:pPr>
        <w:pStyle w:val="4"/>
        <w:keepNext w:val="0"/>
        <w:keepLines w:val="0"/>
        <w:widowControl/>
        <w:suppressLineNumbers w:val="0"/>
        <w:spacing w:before="422" w:beforeAutospacing="0" w:after="160" w:afterAutospacing="0" w:line="300" w:lineRule="atLeast"/>
        <w:ind w:left="440" w:right="440"/>
        <w:rPr>
          <w:rFonts w:hint="default" w:ascii="Times New Roman" w:hAnsi="Times New Roman" w:eastAsia="Segoe UI" w:cs="Times New Roman"/>
          <w:b/>
          <w:bCs/>
          <w:sz w:val="30"/>
          <w:szCs w:val="30"/>
        </w:rPr>
      </w:pPr>
      <w:r>
        <w:rPr>
          <w:rFonts w:hint="default" w:ascii="Times New Roman" w:hAnsi="Times New Roman" w:eastAsia="Segoe UI" w:cs="Times New Roman"/>
          <w:b/>
          <w:bCs/>
          <w:i w:val="0"/>
          <w:iCs w:val="0"/>
          <w:caps w:val="0"/>
          <w:color w:val="0F1115"/>
          <w:spacing w:val="0"/>
          <w:sz w:val="30"/>
          <w:szCs w:val="30"/>
          <w:shd w:val="clear" w:fill="FFFFFF"/>
        </w:rPr>
        <w:t>Step 1: State the Week 2 Data-Driven Question</w:t>
      </w:r>
    </w:p>
    <w:tbl>
      <w:tblPr>
        <w:tblW w:w="9331"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4"/>
        <w:gridCol w:w="8247"/>
      </w:tblGrid>
      <w:tr w14:paraId="708CC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874EF2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Item</w:t>
            </w:r>
          </w:p>
        </w:tc>
        <w:tc>
          <w:tcPr>
            <w:tcW w:w="0" w:type="auto"/>
            <w:tcBorders>
              <w:top w:val="nil"/>
            </w:tcBorders>
            <w:shd w:val="clear"/>
            <w:tcMar>
              <w:top w:w="150" w:type="dxa"/>
              <w:left w:w="240" w:type="dxa"/>
              <w:bottom w:w="150" w:type="dxa"/>
              <w:right w:w="240" w:type="dxa"/>
            </w:tcMar>
            <w:vAlign w:val="center"/>
          </w:tcPr>
          <w:p w14:paraId="253BC0F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Evidence</w:t>
            </w:r>
          </w:p>
        </w:tc>
      </w:tr>
      <w:tr w14:paraId="101FB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57C91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Question</w:t>
            </w:r>
          </w:p>
        </w:tc>
        <w:tc>
          <w:tcPr>
            <w:tcW w:w="0" w:type="auto"/>
            <w:shd w:val="clear"/>
            <w:tcMar>
              <w:top w:w="150" w:type="dxa"/>
              <w:left w:w="240" w:type="dxa"/>
              <w:bottom w:w="150" w:type="dxa"/>
              <w:right w:w="0" w:type="dxa"/>
            </w:tcMar>
            <w:vAlign w:val="center"/>
          </w:tcPr>
          <w:p w14:paraId="4C4F77C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In patients with colorectal cancer (CRC), inflammatory bowel disease (IBD), and irritable bowel syndrome (IBS), are specific mucosal gut microbial taxa significantly associated with host colonic epithelial gene expression, and do these associations exhibit shared patterns across diseases as well as disease-specific differences?</w:t>
            </w:r>
          </w:p>
        </w:tc>
      </w:tr>
    </w:tbl>
    <w:p w14:paraId="73135343">
      <w:pPr>
        <w:pStyle w:val="4"/>
        <w:keepNext w:val="0"/>
        <w:keepLines w:val="0"/>
        <w:widowControl/>
        <w:suppressLineNumbers w:val="0"/>
        <w:spacing w:before="422" w:beforeAutospacing="0" w:after="160" w:afterAutospacing="0" w:line="300" w:lineRule="atLeast"/>
        <w:ind w:left="440" w:right="440"/>
        <w:rPr>
          <w:rFonts w:hint="default" w:ascii="Times New Roman" w:hAnsi="Times New Roman" w:eastAsia="Segoe UI" w:cs="Times New Roman"/>
          <w:b/>
          <w:bCs/>
          <w:sz w:val="30"/>
          <w:szCs w:val="30"/>
        </w:rPr>
      </w:pPr>
      <w:r>
        <w:rPr>
          <w:rFonts w:hint="default" w:ascii="Times New Roman" w:hAnsi="Times New Roman" w:eastAsia="Segoe UI" w:cs="Times New Roman"/>
          <w:b/>
          <w:bCs/>
          <w:i w:val="0"/>
          <w:iCs w:val="0"/>
          <w:caps w:val="0"/>
          <w:color w:val="0F1115"/>
          <w:spacing w:val="0"/>
          <w:sz w:val="30"/>
          <w:szCs w:val="30"/>
          <w:shd w:val="clear" w:fill="FFFFFF"/>
        </w:rPr>
        <w:t>Step 2: Confirm Study Identity</w:t>
      </w:r>
    </w:p>
    <w:tbl>
      <w:tblPr>
        <w:tblW w:w="9331"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5"/>
        <w:gridCol w:w="7586"/>
      </w:tblGrid>
      <w:tr w14:paraId="793BE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046A38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Item</w:t>
            </w:r>
          </w:p>
        </w:tc>
        <w:tc>
          <w:tcPr>
            <w:tcW w:w="0" w:type="auto"/>
            <w:tcBorders>
              <w:top w:val="nil"/>
            </w:tcBorders>
            <w:shd w:val="clear"/>
            <w:tcMar>
              <w:top w:w="150" w:type="dxa"/>
              <w:left w:w="240" w:type="dxa"/>
              <w:bottom w:w="150" w:type="dxa"/>
              <w:right w:w="240" w:type="dxa"/>
            </w:tcMar>
            <w:vAlign w:val="center"/>
          </w:tcPr>
          <w:p w14:paraId="6F53A70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Evidence</w:t>
            </w:r>
          </w:p>
        </w:tc>
      </w:tr>
      <w:tr w14:paraId="7A444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2DD77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GSE (host RNA-seq)</w:t>
            </w:r>
          </w:p>
        </w:tc>
        <w:tc>
          <w:tcPr>
            <w:tcW w:w="0" w:type="auto"/>
            <w:shd w:val="clear"/>
            <w:tcMar>
              <w:top w:w="150" w:type="dxa"/>
              <w:left w:w="240" w:type="dxa"/>
              <w:bottom w:w="150" w:type="dxa"/>
              <w:right w:w="0" w:type="dxa"/>
            </w:tcMar>
            <w:vAlign w:val="center"/>
          </w:tcPr>
          <w:p w14:paraId="297360A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GSE111889 (IBD cohort host RNA-seq)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"https://www.ncbi.nlm.nih.gov/gds/?term=GSM3043382[Accession]"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3BA6B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67375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GSE (16S rRNA)</w:t>
            </w:r>
          </w:p>
        </w:tc>
        <w:tc>
          <w:tcPr>
            <w:tcW w:w="0" w:type="auto"/>
            <w:shd w:val="clear"/>
            <w:tcMar>
              <w:top w:w="150" w:type="dxa"/>
              <w:left w:w="240" w:type="dxa"/>
              <w:bottom w:w="150" w:type="dxa"/>
              <w:right w:w="0" w:type="dxa"/>
            </w:tcMar>
            <w:vAlign w:val="center"/>
          </w:tcPr>
          <w:p w14:paraId="40FA99C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Not in GEO; available via SRA BioProject </w:t>
            </w:r>
            <w:r>
              <w:rPr>
                <w:rFonts w:hint="default" w:ascii="Times New Roman" w:hAnsi="Times New Roman" w:eastAsia="Segoe UI" w:cs="Times New Roman"/>
                <w:b/>
                <w:bCs/>
                <w:kern w:val="0"/>
                <w:sz w:val="22"/>
                <w:szCs w:val="22"/>
                <w:bdr w:val="none" w:color="auto" w:sz="0" w:space="0"/>
                <w:lang w:val="en-US" w:eastAsia="zh-CN" w:bidi="ar"/>
                <w14:ligatures w14:val="standardContextual"/>
              </w:rPr>
              <w:t>PRJNA398089</w:t>
            </w:r>
            <w:r>
              <w:rPr>
                <w:rFonts w:hint="default" w:ascii="Times New Roman" w:hAnsi="Times New Roman" w:eastAsia="Segoe UI" w:cs="Times New Roman"/>
                <w:kern w:val="0"/>
                <w:sz w:val="22"/>
                <w:szCs w:val="22"/>
                <w:bdr w:val="none" w:color="auto" w:sz="0" w:space="0"/>
                <w:lang w:val="en-US" w:eastAsia="zh-CN" w:bidi="ar"/>
                <w14:ligatures w14:val="standardContextual"/>
              </w:rPr>
              <w:t> (IBD cohort 16S rRNA)</w:t>
            </w:r>
          </w:p>
        </w:tc>
      </w:tr>
      <w:tr w14:paraId="778D5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1BBA5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Title</w:t>
            </w:r>
          </w:p>
        </w:tc>
        <w:tc>
          <w:tcPr>
            <w:tcW w:w="0" w:type="auto"/>
            <w:shd w:val="clear"/>
            <w:tcMar>
              <w:top w:w="150" w:type="dxa"/>
              <w:left w:w="240" w:type="dxa"/>
              <w:bottom w:w="150" w:type="dxa"/>
              <w:right w:w="0" w:type="dxa"/>
            </w:tcMar>
            <w:vAlign w:val="center"/>
          </w:tcPr>
          <w:p w14:paraId="3074597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“Identification of shared and disease-specific host gene–microbiome associations across human diseases using multi-omic integration”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"https://ouci.dntb.gov.ua/?backlinks_to=10.1007/s11033-012-2300-x" \l "1"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"https://www.mendeley.com/catalogue/84292753-dd95-3566-b69f-3e5e1c21a354/"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221D0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98DD5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Organism</w:t>
            </w:r>
          </w:p>
        </w:tc>
        <w:tc>
          <w:tcPr>
            <w:tcW w:w="0" w:type="auto"/>
            <w:shd w:val="clear"/>
            <w:tcMar>
              <w:top w:w="150" w:type="dxa"/>
              <w:left w:w="240" w:type="dxa"/>
              <w:bottom w:w="150" w:type="dxa"/>
              <w:right w:w="0" w:type="dxa"/>
            </w:tcMar>
            <w:vAlign w:val="center"/>
          </w:tcPr>
          <w:p w14:paraId="7AF98CD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Homo sapiens (colonic mucosal biopsies)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"https://ouci.dntb.gov.ua/?backlinks_to=10.1007/s11033-012-2300-x" \l "1"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2B172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90D9F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Publication</w:t>
            </w:r>
          </w:p>
        </w:tc>
        <w:tc>
          <w:tcPr>
            <w:tcW w:w="0" w:type="auto"/>
            <w:shd w:val="clear"/>
            <w:tcMar>
              <w:top w:w="150" w:type="dxa"/>
              <w:left w:w="240" w:type="dxa"/>
              <w:bottom w:w="150" w:type="dxa"/>
              <w:right w:w="0" w:type="dxa"/>
            </w:tcMar>
            <w:vAlign w:val="center"/>
          </w:tcPr>
          <w:p w14:paraId="6415258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Priya et al., Nature Microbiology, 2022; 7(6): 780–795. DOI: 10.1038/s41564-022-01121-z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"https://www.mendeley.com/catalogue/84292753-dd95-3566-b69f-3e5e1c21a354/"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60F26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85818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Platform</w:t>
            </w:r>
          </w:p>
        </w:tc>
        <w:tc>
          <w:tcPr>
            <w:tcW w:w="0" w:type="auto"/>
            <w:shd w:val="clear"/>
            <w:tcMar>
              <w:top w:w="150" w:type="dxa"/>
              <w:left w:w="240" w:type="dxa"/>
              <w:bottom w:w="150" w:type="dxa"/>
              <w:right w:w="0" w:type="dxa"/>
            </w:tcMar>
            <w:vAlign w:val="center"/>
          </w:tcPr>
          <w:p w14:paraId="5466FA5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Host RNA-seq: Illumina HiSeq 2500 (paired-end, 101 bp)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"https://www.ncbi.nlm.nih.gov/geo/query/acc.cgi?acc=GSM4914054"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kern w:val="0"/>
                <w:sz w:val="22"/>
                <w:szCs w:val="22"/>
                <w:bdr w:val="none" w:color="auto" w:sz="0" w:space="0"/>
                <w:lang w:val="en-US" w:eastAsia="zh-CN" w:bidi="ar"/>
                <w14:ligatures w14:val="standardContextual"/>
              </w:rPr>
              <w:t>; 16S: Illumina MiSeq (V4 region, 2×250 bp)</w:t>
            </w:r>
          </w:p>
        </w:tc>
      </w:tr>
    </w:tbl>
    <w:p w14:paraId="4036556D">
      <w:pPr>
        <w:pStyle w:val="13"/>
        <w:keepNext w:val="0"/>
        <w:keepLines w:val="0"/>
        <w:widowControl/>
        <w:suppressLineNumbers w:val="0"/>
        <w:spacing w:before="0" w:beforeAutospacing="0" w:after="0" w:afterAutospacing="0" w:line="280" w:lineRule="atLeast"/>
        <w:ind w:left="1160" w:right="1160"/>
        <w:rPr>
          <w:rFonts w:hint="default" w:ascii="Times New Roman" w:hAnsi="Times New Roman" w:cs="Times New Roman"/>
        </w:rPr>
      </w:pPr>
      <w:r>
        <w:rPr>
          <w:rFonts w:hint="default" w:ascii="Times New Roman" w:hAnsi="Times New Roman" w:eastAsia="宋体" w:cs="Times New Roman"/>
          <w:b/>
          <w:bCs/>
          <w:i w:val="0"/>
          <w:iCs w:val="0"/>
          <w:caps w:val="0"/>
          <w:color w:val="0F1115"/>
          <w:spacing w:val="0"/>
          <w:sz w:val="24"/>
          <w:szCs w:val="24"/>
          <w:shd w:val="clear" w:fill="FFFFFF"/>
        </w:rPr>
        <w:t>Note</w:t>
      </w:r>
      <w:r>
        <w:rPr>
          <w:rFonts w:hint="default" w:ascii="Times New Roman" w:hAnsi="Times New Roman" w:eastAsia="宋体" w:cs="Times New Roman"/>
          <w:i w:val="0"/>
          <w:iCs w:val="0"/>
          <w:caps w:val="0"/>
          <w:color w:val="0F1115"/>
          <w:spacing w:val="0"/>
          <w:sz w:val="24"/>
          <w:szCs w:val="24"/>
          <w:shd w:val="clear" w:fill="FFFFFF"/>
        </w:rPr>
        <w:t>: The paper used three disease cohorts (CRC, IBD, IBS). Each cohort has distinct accessions. The IBD cohort is uniquely suited for GSE-based reuse because its host transcriptomic data is deposited in GEO (GSE111889), while its microbiome data is in SRA (PRJNA398089).</w:t>
      </w:r>
    </w:p>
    <w:p w14:paraId="16593B47">
      <w:pPr>
        <w:pStyle w:val="4"/>
        <w:keepNext w:val="0"/>
        <w:keepLines w:val="0"/>
        <w:widowControl/>
        <w:suppressLineNumbers w:val="0"/>
        <w:spacing w:before="422" w:beforeAutospacing="0" w:after="160" w:afterAutospacing="0" w:line="300" w:lineRule="atLeast"/>
        <w:ind w:left="440" w:right="440"/>
        <w:rPr>
          <w:rFonts w:hint="default" w:ascii="Times New Roman" w:hAnsi="Times New Roman" w:eastAsia="Segoe UI" w:cs="Times New Roman"/>
          <w:b/>
          <w:bCs/>
          <w:sz w:val="30"/>
          <w:szCs w:val="30"/>
        </w:rPr>
      </w:pPr>
      <w:r>
        <w:rPr>
          <w:rFonts w:hint="default" w:ascii="Times New Roman" w:hAnsi="Times New Roman" w:eastAsia="Segoe UI" w:cs="Times New Roman"/>
          <w:b/>
          <w:bCs/>
          <w:i w:val="0"/>
          <w:iCs w:val="0"/>
          <w:caps w:val="0"/>
          <w:color w:val="0F1115"/>
          <w:spacing w:val="0"/>
          <w:sz w:val="30"/>
          <w:szCs w:val="30"/>
          <w:shd w:val="clear" w:fill="FFFFFF"/>
        </w:rPr>
        <w:t>Step 3: Map Accessions</w:t>
      </w:r>
    </w:p>
    <w:tbl>
      <w:tblPr>
        <w:tblW w:w="9331"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59"/>
        <w:gridCol w:w="2287"/>
        <w:gridCol w:w="4485"/>
      </w:tblGrid>
      <w:tr w14:paraId="57711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F9D9B5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Accession Type</w:t>
            </w:r>
          </w:p>
        </w:tc>
        <w:tc>
          <w:tcPr>
            <w:tcW w:w="0" w:type="auto"/>
            <w:tcBorders>
              <w:top w:val="nil"/>
            </w:tcBorders>
            <w:shd w:val="clear"/>
            <w:tcMar>
              <w:top w:w="150" w:type="dxa"/>
              <w:left w:w="240" w:type="dxa"/>
              <w:bottom w:w="150" w:type="dxa"/>
              <w:right w:w="240" w:type="dxa"/>
            </w:tcMar>
            <w:vAlign w:val="center"/>
          </w:tcPr>
          <w:p w14:paraId="482F324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Identifier</w:t>
            </w:r>
          </w:p>
        </w:tc>
        <w:tc>
          <w:tcPr>
            <w:tcW w:w="0" w:type="auto"/>
            <w:tcBorders>
              <w:top w:val="nil"/>
            </w:tcBorders>
            <w:shd w:val="clear"/>
            <w:tcMar>
              <w:top w:w="150" w:type="dxa"/>
              <w:left w:w="240" w:type="dxa"/>
              <w:bottom w:w="150" w:type="dxa"/>
              <w:right w:w="240" w:type="dxa"/>
            </w:tcMar>
            <w:vAlign w:val="center"/>
          </w:tcPr>
          <w:p w14:paraId="4DC7B43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Notes</w:t>
            </w:r>
          </w:p>
        </w:tc>
      </w:tr>
      <w:tr w14:paraId="2F498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A9356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GSE (host RNA-seq)</w:t>
            </w:r>
          </w:p>
        </w:tc>
        <w:tc>
          <w:tcPr>
            <w:tcW w:w="0" w:type="auto"/>
            <w:shd w:val="clear"/>
            <w:tcMar>
              <w:top w:w="150" w:type="dxa"/>
              <w:left w:w="240" w:type="dxa"/>
              <w:bottom w:w="150" w:type="dxa"/>
              <w:right w:w="240" w:type="dxa"/>
            </w:tcMar>
            <w:vAlign w:val="center"/>
          </w:tcPr>
          <w:p w14:paraId="2D6BC0E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GSE111889</w:t>
            </w:r>
          </w:p>
        </w:tc>
        <w:tc>
          <w:tcPr>
            <w:tcW w:w="0" w:type="auto"/>
            <w:shd w:val="clear"/>
            <w:tcMar>
              <w:top w:w="150" w:type="dxa"/>
              <w:left w:w="240" w:type="dxa"/>
              <w:bottom w:w="150" w:type="dxa"/>
              <w:right w:w="0" w:type="dxa"/>
            </w:tcMar>
            <w:vAlign w:val="center"/>
          </w:tcPr>
          <w:p w14:paraId="7C43CE8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IBD cohort host transcriptomic data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"https://www.ncbi.nlm.nih.gov/gds/?term=GSM3043382[Accession]"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54148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86490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GSM (example)</w:t>
            </w:r>
          </w:p>
        </w:tc>
        <w:tc>
          <w:tcPr>
            <w:tcW w:w="0" w:type="auto"/>
            <w:shd w:val="clear"/>
            <w:tcMar>
              <w:top w:w="150" w:type="dxa"/>
              <w:left w:w="240" w:type="dxa"/>
              <w:bottom w:w="150" w:type="dxa"/>
              <w:right w:w="240" w:type="dxa"/>
            </w:tcMar>
            <w:vAlign w:val="center"/>
          </w:tcPr>
          <w:p w14:paraId="6B2D72F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GSM3043382</w:t>
            </w:r>
          </w:p>
        </w:tc>
        <w:tc>
          <w:tcPr>
            <w:tcW w:w="0" w:type="auto"/>
            <w:shd w:val="clear"/>
            <w:tcMar>
              <w:top w:w="150" w:type="dxa"/>
              <w:left w:w="240" w:type="dxa"/>
              <w:bottom w:w="150" w:type="dxa"/>
              <w:right w:w="0" w:type="dxa"/>
            </w:tcMar>
            <w:vAlign w:val="center"/>
          </w:tcPr>
          <w:p w14:paraId="55C08D1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 representative sample accession within GSE111889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"https://www.ncbi.nlm.nih.gov/gds/?term=GSM3043382[Accession]"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4D59D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4DB2E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BioProject (16S rRNA)</w:t>
            </w:r>
          </w:p>
        </w:tc>
        <w:tc>
          <w:tcPr>
            <w:tcW w:w="0" w:type="auto"/>
            <w:shd w:val="clear"/>
            <w:tcMar>
              <w:top w:w="150" w:type="dxa"/>
              <w:left w:w="240" w:type="dxa"/>
              <w:bottom w:w="150" w:type="dxa"/>
              <w:right w:w="240" w:type="dxa"/>
            </w:tcMar>
            <w:vAlign w:val="center"/>
          </w:tcPr>
          <w:p w14:paraId="1929107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PRJNA398089</w:t>
            </w:r>
          </w:p>
        </w:tc>
        <w:tc>
          <w:tcPr>
            <w:tcW w:w="0" w:type="auto"/>
            <w:shd w:val="clear"/>
            <w:tcMar>
              <w:top w:w="150" w:type="dxa"/>
              <w:left w:w="240" w:type="dxa"/>
              <w:bottom w:w="150" w:type="dxa"/>
              <w:right w:w="0" w:type="dxa"/>
            </w:tcMar>
            <w:vAlign w:val="center"/>
          </w:tcPr>
          <w:p w14:paraId="04F7EE0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IBD cohort mucosal 16S rRNA sequencing data</w:t>
            </w:r>
          </w:p>
        </w:tc>
      </w:tr>
      <w:tr w14:paraId="06EB2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F96A9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SRP/SRR (16S rRNA)</w:t>
            </w:r>
          </w:p>
        </w:tc>
        <w:tc>
          <w:tcPr>
            <w:tcW w:w="0" w:type="auto"/>
            <w:shd w:val="clear"/>
            <w:tcMar>
              <w:top w:w="150" w:type="dxa"/>
              <w:left w:w="240" w:type="dxa"/>
              <w:bottom w:w="150" w:type="dxa"/>
              <w:right w:w="240" w:type="dxa"/>
            </w:tcMar>
            <w:vAlign w:val="center"/>
          </w:tcPr>
          <w:p w14:paraId="1B1AF8E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Within PRJNA398089</w:t>
            </w:r>
          </w:p>
        </w:tc>
        <w:tc>
          <w:tcPr>
            <w:tcW w:w="0" w:type="auto"/>
            <w:shd w:val="clear"/>
            <w:tcMar>
              <w:top w:w="150" w:type="dxa"/>
              <w:left w:w="240" w:type="dxa"/>
              <w:bottom w:w="150" w:type="dxa"/>
              <w:right w:w="0" w:type="dxa"/>
            </w:tcMar>
            <w:vAlign w:val="center"/>
          </w:tcPr>
          <w:p w14:paraId="2666B89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Raw sequence reads accessible via SRA</w:t>
            </w:r>
          </w:p>
        </w:tc>
      </w:tr>
      <w:tr w14:paraId="538EE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B0565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Additional (IBS host RNA-seq)</w:t>
            </w:r>
          </w:p>
        </w:tc>
        <w:tc>
          <w:tcPr>
            <w:tcW w:w="0" w:type="auto"/>
            <w:shd w:val="clear"/>
            <w:tcMar>
              <w:top w:w="150" w:type="dxa"/>
              <w:left w:w="240" w:type="dxa"/>
              <w:bottom w:w="150" w:type="dxa"/>
              <w:right w:w="240" w:type="dxa"/>
            </w:tcMar>
            <w:vAlign w:val="center"/>
          </w:tcPr>
          <w:p w14:paraId="5F2785B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GSE146853</w:t>
            </w:r>
          </w:p>
        </w:tc>
        <w:tc>
          <w:tcPr>
            <w:tcW w:w="0" w:type="auto"/>
            <w:shd w:val="clear"/>
            <w:tcMar>
              <w:top w:w="150" w:type="dxa"/>
              <w:left w:w="240" w:type="dxa"/>
              <w:bottom w:w="150" w:type="dxa"/>
              <w:right w:w="0" w:type="dxa"/>
            </w:tcMar>
            <w:vAlign w:val="center"/>
          </w:tcPr>
          <w:p w14:paraId="4F0CAE0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IBS cohort host transcriptomic data (if needed for comparison)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"https://www.ncbi.nlm.nih.gov/geo/query/acc.cgi?acc=GSM4914054"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"https://pmc.ncbi.nlm.nih.gov/articles/PMC8109273/table/T1/"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bl>
    <w:p w14:paraId="11BF5087">
      <w:pPr>
        <w:pStyle w:val="4"/>
        <w:keepNext w:val="0"/>
        <w:keepLines w:val="0"/>
        <w:widowControl/>
        <w:suppressLineNumbers w:val="0"/>
        <w:spacing w:before="422" w:beforeAutospacing="0" w:after="160" w:afterAutospacing="0" w:line="300" w:lineRule="atLeast"/>
        <w:ind w:left="440" w:right="440"/>
        <w:rPr>
          <w:rFonts w:hint="default" w:ascii="Times New Roman" w:hAnsi="Times New Roman" w:eastAsia="Segoe UI" w:cs="Times New Roman"/>
          <w:b/>
          <w:bCs/>
          <w:sz w:val="30"/>
          <w:szCs w:val="30"/>
        </w:rPr>
      </w:pPr>
      <w:r>
        <w:rPr>
          <w:rFonts w:hint="default" w:ascii="Times New Roman" w:hAnsi="Times New Roman" w:eastAsia="Segoe UI" w:cs="Times New Roman"/>
          <w:b/>
          <w:bCs/>
          <w:i w:val="0"/>
          <w:iCs w:val="0"/>
          <w:caps w:val="0"/>
          <w:color w:val="0F1115"/>
          <w:spacing w:val="0"/>
          <w:sz w:val="30"/>
          <w:szCs w:val="30"/>
          <w:shd w:val="clear" w:fill="FFFFFF"/>
        </w:rPr>
        <w:t>Step 4: Identify Available Data Layers</w:t>
      </w:r>
    </w:p>
    <w:tbl>
      <w:tblPr>
        <w:tblW w:w="9331"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72"/>
        <w:gridCol w:w="1590"/>
        <w:gridCol w:w="5569"/>
      </w:tblGrid>
      <w:tr w14:paraId="6AF79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A1260F5">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Data Layer</w:t>
            </w:r>
          </w:p>
        </w:tc>
        <w:tc>
          <w:tcPr>
            <w:tcW w:w="0" w:type="auto"/>
            <w:tcBorders>
              <w:top w:val="nil"/>
            </w:tcBorders>
            <w:shd w:val="clear"/>
            <w:tcMar>
              <w:top w:w="150" w:type="dxa"/>
              <w:left w:w="240" w:type="dxa"/>
              <w:bottom w:w="150" w:type="dxa"/>
              <w:right w:w="240" w:type="dxa"/>
            </w:tcMar>
            <w:vAlign w:val="center"/>
          </w:tcPr>
          <w:p w14:paraId="1164DA5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Availability</w:t>
            </w:r>
          </w:p>
        </w:tc>
        <w:tc>
          <w:tcPr>
            <w:tcW w:w="0" w:type="auto"/>
            <w:tcBorders>
              <w:top w:val="nil"/>
            </w:tcBorders>
            <w:shd w:val="clear"/>
            <w:tcMar>
              <w:top w:w="150" w:type="dxa"/>
              <w:left w:w="240" w:type="dxa"/>
              <w:bottom w:w="150" w:type="dxa"/>
              <w:right w:w="240" w:type="dxa"/>
            </w:tcMar>
            <w:vAlign w:val="center"/>
          </w:tcPr>
          <w:p w14:paraId="1124933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Accession/Location</w:t>
            </w:r>
          </w:p>
        </w:tc>
      </w:tr>
      <w:tr w14:paraId="0035D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2F37A5">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Series matrix</w:t>
            </w:r>
          </w:p>
        </w:tc>
        <w:tc>
          <w:tcPr>
            <w:tcW w:w="0" w:type="auto"/>
            <w:shd w:val="clear"/>
            <w:tcMar>
              <w:top w:w="150" w:type="dxa"/>
              <w:left w:w="240" w:type="dxa"/>
              <w:bottom w:w="150" w:type="dxa"/>
              <w:right w:w="240" w:type="dxa"/>
            </w:tcMar>
            <w:vAlign w:val="center"/>
          </w:tcPr>
          <w:p w14:paraId="194D41F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Available</w:t>
            </w:r>
          </w:p>
        </w:tc>
        <w:tc>
          <w:tcPr>
            <w:tcW w:w="0" w:type="auto"/>
            <w:shd w:val="clear"/>
            <w:tcMar>
              <w:top w:w="150" w:type="dxa"/>
              <w:left w:w="240" w:type="dxa"/>
              <w:bottom w:w="150" w:type="dxa"/>
              <w:right w:w="0" w:type="dxa"/>
            </w:tcMar>
            <w:vAlign w:val="center"/>
          </w:tcPr>
          <w:p w14:paraId="7332217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GSE111889 (GEO)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"https://www.ncbi.nlm.nih.gov/gds/?term=GSM3043382[Accession]"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1E069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FB4D1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Supplementary counts</w:t>
            </w:r>
          </w:p>
        </w:tc>
        <w:tc>
          <w:tcPr>
            <w:tcW w:w="0" w:type="auto"/>
            <w:shd w:val="clear"/>
            <w:tcMar>
              <w:top w:w="150" w:type="dxa"/>
              <w:left w:w="240" w:type="dxa"/>
              <w:bottom w:w="150" w:type="dxa"/>
              <w:right w:w="240" w:type="dxa"/>
            </w:tcMar>
            <w:vAlign w:val="center"/>
          </w:tcPr>
          <w:p w14:paraId="12751C4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Available</w:t>
            </w:r>
          </w:p>
        </w:tc>
        <w:tc>
          <w:tcPr>
            <w:tcW w:w="0" w:type="auto"/>
            <w:shd w:val="clear"/>
            <w:tcMar>
              <w:top w:w="150" w:type="dxa"/>
              <w:left w:w="240" w:type="dxa"/>
              <w:bottom w:w="150" w:type="dxa"/>
              <w:right w:w="0" w:type="dxa"/>
            </w:tcMar>
            <w:vAlign w:val="center"/>
          </w:tcPr>
          <w:p w14:paraId="714EE80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GSE111889 supplementary files (gene count matrices)</w:t>
            </w:r>
          </w:p>
        </w:tc>
      </w:tr>
      <w:tr w14:paraId="42D11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21742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Raw reads (host RNA-seq)</w:t>
            </w:r>
          </w:p>
        </w:tc>
        <w:tc>
          <w:tcPr>
            <w:tcW w:w="0" w:type="auto"/>
            <w:shd w:val="clear"/>
            <w:tcMar>
              <w:top w:w="150" w:type="dxa"/>
              <w:left w:w="240" w:type="dxa"/>
              <w:bottom w:w="150" w:type="dxa"/>
              <w:right w:w="240" w:type="dxa"/>
            </w:tcMar>
            <w:vAlign w:val="center"/>
          </w:tcPr>
          <w:p w14:paraId="2257C5A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Available</w:t>
            </w:r>
          </w:p>
        </w:tc>
        <w:tc>
          <w:tcPr>
            <w:tcW w:w="0" w:type="auto"/>
            <w:shd w:val="clear"/>
            <w:tcMar>
              <w:top w:w="150" w:type="dxa"/>
              <w:left w:w="240" w:type="dxa"/>
              <w:bottom w:w="150" w:type="dxa"/>
              <w:right w:w="0" w:type="dxa"/>
            </w:tcMar>
            <w:vAlign w:val="center"/>
          </w:tcPr>
          <w:p w14:paraId="104C104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SRA within GSE111889</w:t>
            </w:r>
          </w:p>
        </w:tc>
      </w:tr>
      <w:tr w14:paraId="25EE1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7DDE9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Raw reads (16S rRNA)</w:t>
            </w:r>
          </w:p>
        </w:tc>
        <w:tc>
          <w:tcPr>
            <w:tcW w:w="0" w:type="auto"/>
            <w:shd w:val="clear"/>
            <w:tcMar>
              <w:top w:w="150" w:type="dxa"/>
              <w:left w:w="240" w:type="dxa"/>
              <w:bottom w:w="150" w:type="dxa"/>
              <w:right w:w="240" w:type="dxa"/>
            </w:tcMar>
            <w:vAlign w:val="center"/>
          </w:tcPr>
          <w:p w14:paraId="26733D3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Available</w:t>
            </w:r>
          </w:p>
        </w:tc>
        <w:tc>
          <w:tcPr>
            <w:tcW w:w="0" w:type="auto"/>
            <w:shd w:val="clear"/>
            <w:tcMar>
              <w:top w:w="150" w:type="dxa"/>
              <w:left w:w="240" w:type="dxa"/>
              <w:bottom w:w="150" w:type="dxa"/>
              <w:right w:w="0" w:type="dxa"/>
            </w:tcMar>
            <w:vAlign w:val="center"/>
          </w:tcPr>
          <w:p w14:paraId="7A83C73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SRA BioProject PRJNA398089</w:t>
            </w:r>
          </w:p>
        </w:tc>
      </w:tr>
      <w:tr w14:paraId="6184B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AE3AC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Processed data tables</w:t>
            </w:r>
          </w:p>
        </w:tc>
        <w:tc>
          <w:tcPr>
            <w:tcW w:w="0" w:type="auto"/>
            <w:shd w:val="clear"/>
            <w:tcMar>
              <w:top w:w="150" w:type="dxa"/>
              <w:left w:w="240" w:type="dxa"/>
              <w:bottom w:w="150" w:type="dxa"/>
              <w:right w:w="240" w:type="dxa"/>
            </w:tcMar>
            <w:vAlign w:val="center"/>
          </w:tcPr>
          <w:p w14:paraId="1F48EB1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Available</w:t>
            </w:r>
          </w:p>
        </w:tc>
        <w:tc>
          <w:tcPr>
            <w:tcW w:w="0" w:type="auto"/>
            <w:shd w:val="clear"/>
            <w:tcMar>
              <w:top w:w="150" w:type="dxa"/>
              <w:left w:w="240" w:type="dxa"/>
              <w:bottom w:w="150" w:type="dxa"/>
              <w:right w:w="0" w:type="dxa"/>
            </w:tcMar>
            <w:vAlign w:val="center"/>
          </w:tcPr>
          <w:p w14:paraId="15C1E8C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Supplementary Tables S12–S17 of the paper (host transcriptomics and microbiome data for each cohort)</w:t>
            </w:r>
          </w:p>
        </w:tc>
      </w:tr>
      <w:tr w14:paraId="24D61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D9E8D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Single-cell files</w:t>
            </w:r>
          </w:p>
        </w:tc>
        <w:tc>
          <w:tcPr>
            <w:tcW w:w="0" w:type="auto"/>
            <w:shd w:val="clear"/>
            <w:tcMar>
              <w:top w:w="150" w:type="dxa"/>
              <w:left w:w="240" w:type="dxa"/>
              <w:bottom w:w="150" w:type="dxa"/>
              <w:right w:w="240" w:type="dxa"/>
            </w:tcMar>
            <w:vAlign w:val="center"/>
          </w:tcPr>
          <w:p w14:paraId="72F8B9F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Not available</w:t>
            </w:r>
          </w:p>
        </w:tc>
        <w:tc>
          <w:tcPr>
            <w:tcW w:w="0" w:type="auto"/>
            <w:shd w:val="clear"/>
            <w:tcMar>
              <w:top w:w="150" w:type="dxa"/>
              <w:left w:w="240" w:type="dxa"/>
              <w:bottom w:w="150" w:type="dxa"/>
              <w:right w:w="0" w:type="dxa"/>
            </w:tcMar>
            <w:vAlign w:val="center"/>
          </w:tcPr>
          <w:p w14:paraId="009C58D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This study used bulk RNA-seq, not single-cell</w:t>
            </w:r>
          </w:p>
        </w:tc>
      </w:tr>
    </w:tbl>
    <w:p w14:paraId="615B33C4">
      <w:pPr>
        <w:pStyle w:val="4"/>
        <w:keepNext w:val="0"/>
        <w:keepLines w:val="0"/>
        <w:widowControl/>
        <w:suppressLineNumbers w:val="0"/>
        <w:spacing w:before="422" w:beforeAutospacing="0" w:after="160" w:afterAutospacing="0" w:line="300" w:lineRule="atLeast"/>
        <w:ind w:left="440" w:right="440"/>
        <w:rPr>
          <w:rFonts w:hint="default" w:ascii="Times New Roman" w:hAnsi="Times New Roman" w:eastAsia="Segoe UI" w:cs="Times New Roman"/>
          <w:b/>
          <w:bCs/>
          <w:sz w:val="30"/>
          <w:szCs w:val="30"/>
        </w:rPr>
      </w:pPr>
      <w:r>
        <w:rPr>
          <w:rFonts w:hint="default" w:ascii="Times New Roman" w:hAnsi="Times New Roman" w:eastAsia="Segoe UI" w:cs="Times New Roman"/>
          <w:b/>
          <w:bCs/>
          <w:i w:val="0"/>
          <w:iCs w:val="0"/>
          <w:caps w:val="0"/>
          <w:color w:val="0F1115"/>
          <w:spacing w:val="0"/>
          <w:sz w:val="30"/>
          <w:szCs w:val="30"/>
          <w:shd w:val="clear" w:fill="FFFFFF"/>
        </w:rPr>
        <w:t>Step 5: Reconstruct the Design</w:t>
      </w:r>
    </w:p>
    <w:tbl>
      <w:tblPr>
        <w:tblW w:w="9331"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0"/>
        <w:gridCol w:w="7321"/>
      </w:tblGrid>
      <w:tr w14:paraId="24D8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tcMar>
              <w:top w:w="150" w:type="dxa"/>
              <w:left w:w="0" w:type="dxa"/>
              <w:bottom w:w="150" w:type="dxa"/>
              <w:right w:w="240" w:type="dxa"/>
            </w:tcMar>
            <w:vAlign w:val="center"/>
          </w:tcPr>
          <w:p w14:paraId="51069F5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Design Element</w:t>
            </w:r>
          </w:p>
        </w:tc>
        <w:tc>
          <w:tcPr>
            <w:tcW w:w="0" w:type="auto"/>
            <w:tcBorders>
              <w:top w:val="nil"/>
            </w:tcBorders>
            <w:shd w:val="clear"/>
            <w:tcMar>
              <w:top w:w="150" w:type="dxa"/>
              <w:left w:w="240" w:type="dxa"/>
              <w:bottom w:w="150" w:type="dxa"/>
              <w:right w:w="240" w:type="dxa"/>
            </w:tcMar>
            <w:vAlign w:val="center"/>
          </w:tcPr>
          <w:p w14:paraId="7DE8654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Evidence</w:t>
            </w:r>
          </w:p>
        </w:tc>
      </w:tr>
      <w:tr w14:paraId="1F24A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BAA07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Groups</w:t>
            </w:r>
          </w:p>
        </w:tc>
        <w:tc>
          <w:tcPr>
            <w:tcW w:w="0" w:type="auto"/>
            <w:shd w:val="clear"/>
            <w:tcMar>
              <w:top w:w="150" w:type="dxa"/>
              <w:left w:w="240" w:type="dxa"/>
              <w:bottom w:w="150" w:type="dxa"/>
              <w:right w:w="0" w:type="dxa"/>
            </w:tcMar>
            <w:vAlign w:val="center"/>
          </w:tcPr>
          <w:p w14:paraId="3884F3F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IBD cohort: 56 patients with IBD (34 Crohn‘s disease + 22 ulcerative colitis) and 22 non-IBD controls; total n = 78 individuals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"https://ouci.dntb.gov.ua/?backlinks_to=10.1007/s11033-012-2300-x" \l "1"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364D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63A73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n</w:t>
            </w:r>
          </w:p>
        </w:tc>
        <w:tc>
          <w:tcPr>
            <w:tcW w:w="0" w:type="auto"/>
            <w:shd w:val="clear"/>
            <w:tcMar>
              <w:top w:w="150" w:type="dxa"/>
              <w:left w:w="240" w:type="dxa"/>
              <w:bottom w:w="150" w:type="dxa"/>
              <w:right w:w="0" w:type="dxa"/>
            </w:tcMar>
            <w:vAlign w:val="center"/>
          </w:tcPr>
          <w:p w14:paraId="0D6D920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78 paired samples (host RNA-seq + 16S rRNA) from the IBD cohort; across all three cohorts: 208 paired samples (CRC: 88; IBD: 78; IBS: 42)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"https://ouci.dntb.gov.ua/?backlinks_to=10.1007/s11033-012-2300-x" \l "1"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667F3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18C9A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Subject/paired structure</w:t>
            </w:r>
          </w:p>
        </w:tc>
        <w:tc>
          <w:tcPr>
            <w:tcW w:w="0" w:type="auto"/>
            <w:shd w:val="clear"/>
            <w:tcMar>
              <w:top w:w="150" w:type="dxa"/>
              <w:left w:w="240" w:type="dxa"/>
              <w:bottom w:w="150" w:type="dxa"/>
              <w:right w:w="0" w:type="dxa"/>
            </w:tcMar>
            <w:vAlign w:val="center"/>
          </w:tcPr>
          <w:p w14:paraId="3501FA9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Paired data: each individual contributed one microbiome sample and one host gene expression sample from colonic mucosal biopsies</w:t>
            </w:r>
          </w:p>
        </w:tc>
      </w:tr>
      <w:tr w14:paraId="29605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4B986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Major covariates</w:t>
            </w:r>
          </w:p>
        </w:tc>
        <w:tc>
          <w:tcPr>
            <w:tcW w:w="0" w:type="auto"/>
            <w:shd w:val="clear"/>
            <w:tcMar>
              <w:top w:w="150" w:type="dxa"/>
              <w:left w:w="240" w:type="dxa"/>
              <w:bottom w:w="150" w:type="dxa"/>
              <w:right w:w="0" w:type="dxa"/>
            </w:tcMar>
            <w:vAlign w:val="center"/>
          </w:tcPr>
          <w:p w14:paraId="3D3E2D8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Gender (male/female); disease subtype for IBD (CD vs. UC) </w: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instrText xml:space="preserve"> HYPERLINK "https://ouci.dntb.gov.ua/?backlinks_to=10.1007/s11033-012-2300-x" \l "1" \t "https://chat.deepseek.com/a/chat/s/_blank" </w:instrText>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color w:val="3964FE"/>
                <w:kern w:val="0"/>
                <w:sz w:val="22"/>
                <w:szCs w:val="22"/>
                <w:u w:val="none"/>
                <w:bdr w:val="single" w:color="auto" w:sz="12" w:space="0"/>
                <w:lang w:val="en-US" w:eastAsia="zh-CN" w:bidi="ar"/>
                <w14:ligatures w14:val="standardContextual"/>
              </w:rPr>
              <w:fldChar w:fldCharType="end"/>
            </w:r>
          </w:p>
        </w:tc>
      </w:tr>
      <w:tr w14:paraId="44D13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6AA71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Batch</w:t>
            </w:r>
          </w:p>
        </w:tc>
        <w:tc>
          <w:tcPr>
            <w:tcW w:w="0" w:type="auto"/>
            <w:shd w:val="clear"/>
            <w:tcMar>
              <w:top w:w="150" w:type="dxa"/>
              <w:left w:w="240" w:type="dxa"/>
              <w:bottom w:w="150" w:type="dxa"/>
              <w:right w:w="0" w:type="dxa"/>
            </w:tcMar>
            <w:vAlign w:val="center"/>
          </w:tcPr>
          <w:p w14:paraId="7D80B17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Cross-cohort batch effects were minimized via meta-analysis approach; analyses were performed separately within each cohort, and results were combined at the final step</w:t>
            </w:r>
          </w:p>
        </w:tc>
      </w:tr>
    </w:tbl>
    <w:p w14:paraId="76AFA756">
      <w:pPr>
        <w:pStyle w:val="4"/>
        <w:keepNext w:val="0"/>
        <w:keepLines w:val="0"/>
        <w:widowControl/>
        <w:suppressLineNumbers w:val="0"/>
        <w:spacing w:before="422" w:beforeAutospacing="0" w:after="160" w:afterAutospacing="0" w:line="300" w:lineRule="atLeast"/>
        <w:ind w:left="440" w:right="440"/>
        <w:rPr>
          <w:rFonts w:hint="default" w:ascii="Times New Roman" w:hAnsi="Times New Roman" w:eastAsia="Segoe UI" w:cs="Times New Roman"/>
          <w:b/>
          <w:bCs/>
          <w:sz w:val="30"/>
          <w:szCs w:val="30"/>
        </w:rPr>
      </w:pPr>
      <w:r>
        <w:rPr>
          <w:rFonts w:hint="default" w:ascii="Times New Roman" w:hAnsi="Times New Roman" w:eastAsia="Segoe UI" w:cs="Times New Roman"/>
          <w:b/>
          <w:bCs/>
          <w:i w:val="0"/>
          <w:iCs w:val="0"/>
          <w:caps w:val="0"/>
          <w:color w:val="0F1115"/>
          <w:spacing w:val="0"/>
          <w:sz w:val="30"/>
          <w:szCs w:val="30"/>
          <w:shd w:val="clear" w:fill="FFFFFF"/>
        </w:rPr>
        <w:t>Code / Script Used to Facilitate This Process</w:t>
      </w:r>
    </w:p>
    <w:p w14:paraId="48A008CC">
      <w:pPr>
        <w:pStyle w:val="13"/>
        <w:keepNext w:val="0"/>
        <w:keepLines w:val="0"/>
        <w:widowControl/>
        <w:suppressLineNumbers w:val="0"/>
        <w:spacing w:before="160" w:beforeAutospacing="0" w:after="160" w:afterAutospacing="0" w:line="280" w:lineRule="atLeast"/>
        <w:ind w:left="440" w:right="44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Below is the R script used to query GEO for study identity and data layers (for reproducibility):</w:t>
      </w:r>
    </w:p>
    <w:sdt>
      <w:sdtPr>
        <w:rPr>
          <w:rFonts w:hint="default" w:ascii="Consolas" w:hAnsi="Times New Roman" w:eastAsia="宋体" w:cs="Times New Roman"/>
          <w:i w:val="0"/>
          <w:iCs w:val="0"/>
          <w:caps w:val="0"/>
          <w:color w:val="0F1115"/>
          <w:spacing w:val="0"/>
          <w:kern w:val="2"/>
          <w:sz w:val="21"/>
          <w:szCs w:val="24"/>
          <w:shd w:val="clear"/>
          <w:lang w:val="zh-CN" w:eastAsia="zh-CN" w:bidi="ar-SA"/>
          <w14:ligatures w14:val="standardContextual"/>
        </w:rPr>
        <w:id w:val="147460071"/>
        <w:placeholder>
          <w:docPart w:val="{52aa462e-f3dc-48e9-a44d-828d528861f4}"/>
        </w:placeholder>
        <w15:appearance w15:val="hidden"/>
      </w:sdtPr>
      <w:sdtEndPr>
        <w:rPr>
          <w:rFonts w:hint="default" w:ascii="Consolas" w:hAnsi="Times New Roman" w:eastAsia="宋体" w:cs="Times New Roman"/>
          <w:i w:val="0"/>
          <w:iCs w:val="0"/>
          <w:caps w:val="0"/>
          <w:color w:val="0F1115"/>
          <w:spacing w:val="0"/>
          <w:kern w:val="2"/>
          <w:sz w:val="21"/>
          <w:szCs w:val="24"/>
          <w:shd w:val="clear"/>
          <w:lang w:val="zh-CN" w:eastAsia="zh-CN" w:bidi="ar-SA"/>
          <w14:ligatures w14:val="standardContextual"/>
        </w:rPr>
      </w:sdtEndPr>
      <w:sdtContent>
        <w:p w14:paraId="7E366DCC">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Load required packages</w:t>
          </w:r>
        </w:p>
        <w:p w14:paraId="51512267">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library</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GEOquery</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3A9B3EDC">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library</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rentrez</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4FBBAD97">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p>
        <w:p w14:paraId="7CABCE4B">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Step 1: Fetch GSE111889 metadata from GEO</w:t>
          </w:r>
        </w:p>
        <w:p w14:paraId="04265054">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gse_ibd</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&lt;- </w:t>
          </w: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getGEO</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C48200"/>
              <w:spacing w:val="0"/>
              <w:kern w:val="2"/>
              <w:sz w:val="21"/>
              <w:szCs w:val="24"/>
              <w:shd w:val="clear"/>
              <w:lang w:val="zh-CN" w:eastAsia="zh-CN" w:bidi="ar-SA"/>
              <w14:ligatures w14:val="standardContextual"/>
            </w:rPr>
            <w:t>"GSE111889"</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GSEMatrix</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 </w:t>
          </w:r>
          <w:r>
            <w:rPr>
              <w:rFonts w:hint="default" w:ascii="Consolas" w:hAnsi="Times New Roman" w:eastAsia="宋体" w:cs="Times New Roman"/>
              <w:i w:val="0"/>
              <w:iCs w:val="0"/>
              <w:caps w:val="0"/>
              <w:color w:val="1E5FC7"/>
              <w:spacing w:val="0"/>
              <w:kern w:val="2"/>
              <w:sz w:val="21"/>
              <w:szCs w:val="24"/>
              <w:shd w:val="clear"/>
              <w:lang w:val="zh-CN" w:eastAsia="zh-CN" w:bidi="ar-SA"/>
              <w14:ligatures w14:val="standardContextual"/>
            </w:rPr>
            <w:t>TRUE</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1BE1D210">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show</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gse_ibd</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w:t>
          </w: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View platform, sample count, etc.</w:t>
          </w:r>
        </w:p>
        <w:p w14:paraId="3A7D6035">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p>
        <w:p w14:paraId="5FA800CE">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Step 2: Extract sample-level metadata (GSM accessions)</w:t>
          </w:r>
        </w:p>
        <w:p w14:paraId="36776815">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pdata</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&lt;- </w:t>
          </w: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pData</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phenoData</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gse_ibd</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C48200"/>
              <w:spacing w:val="0"/>
              <w:kern w:val="2"/>
              <w:sz w:val="21"/>
              <w:szCs w:val="24"/>
              <w:shd w:val="clear"/>
              <w:lang w:val="zh-CN" w:eastAsia="zh-CN" w:bidi="ar-SA"/>
              <w14:ligatures w14:val="standardContextual"/>
            </w:rPr>
            <w:t>1</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11A5B513">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gsm_accessions</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&lt;- </w:t>
          </w: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rownames</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pdata</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1887E144">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head</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gsm_accessions</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w:t>
          </w: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e.g., GSM3043382</w:t>
          </w:r>
        </w:p>
        <w:p w14:paraId="29EB4AEC">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p>
        <w:p w14:paraId="30313BB3">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Step 3: Query SRA for linked BioProject</w:t>
          </w:r>
        </w:p>
        <w:p w14:paraId="26F380B1">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Note: GSE111889 host RNA-seq; 16S rRNA for IBD cohort is in PRJNA398089</w:t>
          </w:r>
        </w:p>
        <w:p w14:paraId="2263521B">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sra_search</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&lt;- </w:t>
          </w: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entrez_search</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db</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 </w:t>
          </w:r>
          <w:r>
            <w:rPr>
              <w:rFonts w:hint="default" w:ascii="Consolas" w:hAnsi="Times New Roman" w:eastAsia="宋体" w:cs="Times New Roman"/>
              <w:i w:val="0"/>
              <w:iCs w:val="0"/>
              <w:caps w:val="0"/>
              <w:color w:val="C48200"/>
              <w:spacing w:val="0"/>
              <w:kern w:val="2"/>
              <w:sz w:val="21"/>
              <w:szCs w:val="24"/>
              <w:shd w:val="clear"/>
              <w:lang w:val="zh-CN" w:eastAsia="zh-CN" w:bidi="ar-SA"/>
              <w14:ligatures w14:val="standardContextual"/>
            </w:rPr>
            <w:t>"sra"</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term</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 </w:t>
          </w:r>
          <w:r>
            <w:rPr>
              <w:rFonts w:hint="default" w:ascii="Consolas" w:hAnsi="Times New Roman" w:eastAsia="宋体" w:cs="Times New Roman"/>
              <w:i w:val="0"/>
              <w:iCs w:val="0"/>
              <w:caps w:val="0"/>
              <w:color w:val="C48200"/>
              <w:spacing w:val="0"/>
              <w:kern w:val="2"/>
              <w:sz w:val="21"/>
              <w:szCs w:val="24"/>
              <w:shd w:val="clear"/>
              <w:lang w:val="zh-CN" w:eastAsia="zh-CN" w:bidi="ar-SA"/>
              <w14:ligatures w14:val="standardContextual"/>
            </w:rPr>
            <w:t>"PRJNA398089"</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29583A39">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sra_summary</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&lt;- </w:t>
          </w: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entrez_summary</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db</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 </w:t>
          </w:r>
          <w:r>
            <w:rPr>
              <w:rFonts w:hint="default" w:ascii="Consolas" w:hAnsi="Times New Roman" w:eastAsia="宋体" w:cs="Times New Roman"/>
              <w:i w:val="0"/>
              <w:iCs w:val="0"/>
              <w:caps w:val="0"/>
              <w:color w:val="C48200"/>
              <w:spacing w:val="0"/>
              <w:kern w:val="2"/>
              <w:sz w:val="21"/>
              <w:szCs w:val="24"/>
              <w:shd w:val="clear"/>
              <w:lang w:val="zh-CN" w:eastAsia="zh-CN" w:bidi="ar-SA"/>
              <w14:ligatures w14:val="standardContextual"/>
            </w:rPr>
            <w:t>"sra"</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id</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 xml:space="preserve"> = </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sra_search</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ids</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637AACE4">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print</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BB2726"/>
              <w:spacing w:val="0"/>
              <w:kern w:val="2"/>
              <w:sz w:val="21"/>
              <w:szCs w:val="24"/>
              <w:shd w:val="clear"/>
              <w:lang w:val="zh-CN" w:eastAsia="zh-CN" w:bidi="ar-SA"/>
              <w14:ligatures w14:val="standardContextual"/>
            </w:rPr>
            <w:t>sra_summary</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309BA708">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p>
        <w:p w14:paraId="17CCAA09">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909090"/>
              <w:spacing w:val="0"/>
              <w:kern w:val="2"/>
              <w:sz w:val="21"/>
              <w:szCs w:val="24"/>
              <w:shd w:val="clear"/>
              <w:lang w:val="zh-CN" w:eastAsia="zh-CN" w:bidi="ar-SA"/>
              <w14:ligatures w14:val="standardContextual"/>
            </w:rPr>
            <w:t># Step 4: List supplementary files</w:t>
          </w:r>
        </w:p>
        <w:p w14:paraId="1AA54D19">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pP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getGEOSuppFiles</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C48200"/>
              <w:spacing w:val="0"/>
              <w:kern w:val="2"/>
              <w:sz w:val="21"/>
              <w:szCs w:val="24"/>
              <w:shd w:val="clear"/>
              <w:lang w:val="zh-CN" w:eastAsia="zh-CN" w:bidi="ar-SA"/>
              <w14:ligatures w14:val="standardContextual"/>
            </w:rPr>
            <w:t>"GSE111889"</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p w14:paraId="2E873613">
          <w:pPr>
            <w:pStyle w:val="13"/>
            <w:keepNext w:val="0"/>
            <w:keepLines w:val="0"/>
            <w:widowControl/>
            <w:suppressLineNumbers w:val="0"/>
            <w:shd w:val="clear" w:fill="F5F5F5"/>
            <w:spacing w:before="160" w:beforeAutospacing="0" w:after="160" w:afterAutospacing="0" w:line="240" w:lineRule="auto"/>
            <w:ind w:left="480" w:leftChars="200" w:right="440"/>
            <w:rPr>
              <w:rFonts w:hint="default" w:ascii="Consolas" w:hAnsi="Times New Roman" w:eastAsia="宋体" w:cs="Times New Roman"/>
              <w:i w:val="0"/>
              <w:iCs w:val="0"/>
              <w:caps w:val="0"/>
              <w:color w:val="0F1115"/>
              <w:spacing w:val="0"/>
              <w:sz w:val="21"/>
              <w:szCs w:val="24"/>
              <w:shd w:val="clear"/>
            </w:rPr>
          </w:pPr>
          <w:r>
            <w:rPr>
              <w:rFonts w:hint="default" w:ascii="Consolas" w:hAnsi="Times New Roman" w:eastAsia="宋体" w:cs="Times New Roman"/>
              <w:i w:val="0"/>
              <w:iCs w:val="0"/>
              <w:caps w:val="0"/>
              <w:color w:val="682AEF"/>
              <w:spacing w:val="0"/>
              <w:kern w:val="2"/>
              <w:sz w:val="21"/>
              <w:szCs w:val="24"/>
              <w:shd w:val="clear"/>
              <w:lang w:val="zh-CN" w:eastAsia="zh-CN" w:bidi="ar-SA"/>
              <w14:ligatures w14:val="standardContextual"/>
            </w:rPr>
            <w:t>list.files</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r>
            <w:rPr>
              <w:rFonts w:hint="default" w:ascii="Consolas" w:hAnsi="Times New Roman" w:eastAsia="宋体" w:cs="Times New Roman"/>
              <w:i w:val="0"/>
              <w:iCs w:val="0"/>
              <w:caps w:val="0"/>
              <w:color w:val="C48200"/>
              <w:spacing w:val="0"/>
              <w:kern w:val="2"/>
              <w:sz w:val="21"/>
              <w:szCs w:val="24"/>
              <w:shd w:val="clear"/>
              <w:lang w:val="zh-CN" w:eastAsia="zh-CN" w:bidi="ar-SA"/>
              <w14:ligatures w14:val="standardContextual"/>
            </w:rPr>
            <w:t>"GSE111889"</w:t>
          </w:r>
          <w:r>
            <w:rPr>
              <w:rFonts w:hint="default" w:ascii="Consolas" w:hAnsi="Times New Roman" w:eastAsia="宋体" w:cs="Times New Roman"/>
              <w:i w:val="0"/>
              <w:iCs w:val="0"/>
              <w:caps w:val="0"/>
              <w:color w:val="252525"/>
              <w:spacing w:val="0"/>
              <w:kern w:val="2"/>
              <w:sz w:val="21"/>
              <w:szCs w:val="24"/>
              <w:shd w:val="clear"/>
              <w:lang w:val="zh-CN" w:eastAsia="zh-CN" w:bidi="ar-SA"/>
              <w14:ligatures w14:val="standardContextual"/>
            </w:rPr>
            <w:t>)</w:t>
          </w:r>
        </w:p>
      </w:sdtContent>
    </w:sdt>
    <w:p w14:paraId="23544961">
      <w:pPr>
        <w:pStyle w:val="13"/>
        <w:keepNext w:val="0"/>
        <w:keepLines w:val="0"/>
        <w:widowControl/>
        <w:suppressLineNumbers w:val="0"/>
        <w:spacing w:before="160" w:beforeAutospacing="0" w:after="0" w:afterAutospacing="0" w:line="280" w:lineRule="atLeast"/>
        <w:ind w:left="440" w:right="440"/>
        <w:rPr>
          <w:rFonts w:hint="default" w:ascii="Times New Roman" w:hAnsi="Times New Roman" w:cs="Times New Roman"/>
        </w:rPr>
      </w:pPr>
      <w:r>
        <w:rPr>
          <w:rFonts w:hint="default" w:ascii="Times New Roman" w:hAnsi="Times New Roman" w:eastAsia="Segoe UI" w:cs="Times New Roman"/>
          <w:b/>
          <w:bCs/>
          <w:i w:val="0"/>
          <w:iCs w:val="0"/>
          <w:caps w:val="0"/>
          <w:color w:val="0F1115"/>
          <w:spacing w:val="0"/>
          <w:sz w:val="24"/>
          <w:szCs w:val="24"/>
          <w:shd w:val="clear" w:fill="FFFFFF"/>
        </w:rPr>
        <w:t>Script source</w:t>
      </w:r>
      <w:r>
        <w:rPr>
          <w:rFonts w:hint="default" w:ascii="Times New Roman" w:hAnsi="Times New Roman" w:eastAsia="Segoe UI" w:cs="Times New Roman"/>
          <w:i w:val="0"/>
          <w:iCs w:val="0"/>
          <w:caps w:val="0"/>
          <w:color w:val="0F1115"/>
          <w:spacing w:val="0"/>
          <w:sz w:val="24"/>
          <w:szCs w:val="24"/>
          <w:shd w:val="clear" w:fill="FFFFFF"/>
        </w:rPr>
        <w:t>: Adapted from GEOquery and rentrez documentation for the IBD cohort accessions identified in the Nature Microbiology paper.</w:t>
      </w:r>
    </w:p>
    <w:p w14:paraId="1D279B48">
      <w:pPr>
        <w:rPr>
          <w:rFonts w:hint="default" w:ascii="Times New Roman" w:hAnsi="Times New Roman" w:cs="Times New Roman"/>
        </w:rPr>
      </w:pPr>
    </w:p>
    <w:p w14:paraId="09AC96D3">
      <w:pPr>
        <w:pStyle w:val="32"/>
        <w:numPr>
          <w:ilvl w:val="0"/>
          <w:numId w:val="1"/>
        </w:numPr>
        <w:rPr>
          <w:rFonts w:hint="default" w:ascii="Times New Roman" w:hAnsi="Times New Roman" w:cs="Times New Roman"/>
          <w:lang w:val="en-US"/>
        </w:rPr>
      </w:pPr>
      <w:r>
        <w:rPr>
          <w:rFonts w:hint="default" w:ascii="Times New Roman" w:hAnsi="Times New Roman" w:cs="Times New Roman"/>
        </w:rPr>
        <w:t>GSE87487 is a human bulk RNA-seq study of 20 liver allograft biopsies, with pre- and post-reperfusion sampling and a 3.7 MB supplementary count matrix. The Series links to SRA project SRP090633</w:t>
      </w:r>
      <w:r>
        <w:rPr>
          <w:rFonts w:hint="default" w:ascii="Times New Roman" w:hAnsi="Times New Roman" w:cs="Times New Roman"/>
          <w:lang w:val="en-US"/>
        </w:rPr>
        <w:t xml:space="preserve">. </w:t>
      </w:r>
      <w:r>
        <w:rPr>
          <w:rFonts w:hint="default" w:ascii="Times New Roman" w:hAnsi="Times New Roman" w:cs="Times New Roman"/>
          <w:lang w:val="en-US"/>
        </w:rPr>
        <w:t>If</w:t>
      </w:r>
      <w:r>
        <w:rPr>
          <w:rFonts w:hint="default" w:ascii="Times New Roman" w:hAnsi="Times New Roman" w:cs="Times New Roman"/>
          <w:lang w:val="en-US"/>
        </w:rPr>
        <w:t xml:space="preserve"> you use AI-agent or R to facilitate this process, please paste code or script at the end.</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5011"/>
      </w:tblGrid>
      <w:tr w14:paraId="2601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pct"/>
            <w:shd w:val="clear" w:color="auto" w:fill="5A2D91"/>
            <w:tcMar>
              <w:top w:w="55" w:type="dxa"/>
              <w:left w:w="65" w:type="dxa"/>
              <w:bottom w:w="55" w:type="dxa"/>
              <w:right w:w="65" w:type="dxa"/>
            </w:tcMar>
            <w:vAlign w:val="center"/>
          </w:tcPr>
          <w:p w14:paraId="22B29F28">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b/>
                <w:color w:val="FFFFFF"/>
                <w:kern w:val="0"/>
                <w:sz w:val="24"/>
                <w:szCs w:val="24"/>
                <w:lang w:val="en-US" w:eastAsia="en-US"/>
                <w14:ligatures w14:val="none"/>
              </w:rPr>
              <w:t>Question</w:t>
            </w:r>
          </w:p>
        </w:tc>
        <w:tc>
          <w:tcPr>
            <w:tcW w:w="2640" w:type="pct"/>
            <w:shd w:val="clear" w:color="auto" w:fill="5A2D91"/>
            <w:tcMar>
              <w:top w:w="55" w:type="dxa"/>
              <w:left w:w="65" w:type="dxa"/>
              <w:bottom w:w="55" w:type="dxa"/>
              <w:right w:w="65" w:type="dxa"/>
            </w:tcMar>
            <w:vAlign w:val="center"/>
          </w:tcPr>
          <w:p w14:paraId="0FD635BA">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b/>
                <w:color w:val="FFFFFF"/>
                <w:kern w:val="0"/>
                <w:sz w:val="24"/>
                <w:szCs w:val="24"/>
                <w:lang w:val="en-US" w:eastAsia="en-US"/>
                <w14:ligatures w14:val="none"/>
              </w:rPr>
              <w:t>Student decision</w:t>
            </w:r>
          </w:p>
        </w:tc>
      </w:tr>
      <w:tr w14:paraId="5F4A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FFFFF"/>
            <w:tcMar>
              <w:top w:w="45" w:type="dxa"/>
              <w:left w:w="60" w:type="dxa"/>
              <w:bottom w:w="45" w:type="dxa"/>
              <w:right w:w="60" w:type="dxa"/>
            </w:tcMar>
            <w:vAlign w:val="center"/>
          </w:tcPr>
          <w:p w14:paraId="76861BFD">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Are the values counts?</w:t>
            </w:r>
          </w:p>
        </w:tc>
        <w:tc>
          <w:tcPr>
            <w:tcW w:w="2640" w:type="pct"/>
            <w:shd w:val="clear" w:color="auto" w:fill="FFFFFF"/>
            <w:tcMar>
              <w:top w:w="45" w:type="dxa"/>
              <w:left w:w="60" w:type="dxa"/>
              <w:bottom w:w="45" w:type="dxa"/>
              <w:right w:w="60" w:type="dxa"/>
            </w:tcMar>
            <w:vAlign w:val="center"/>
          </w:tcPr>
          <w:p w14:paraId="1F1AC3CD">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Verify integer values after download.</w:t>
            </w:r>
          </w:p>
        </w:tc>
      </w:tr>
      <w:tr w14:paraId="6BC9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3F1F7"/>
            <w:tcMar>
              <w:top w:w="45" w:type="dxa"/>
              <w:left w:w="60" w:type="dxa"/>
              <w:bottom w:w="45" w:type="dxa"/>
              <w:right w:w="60" w:type="dxa"/>
            </w:tcMar>
            <w:vAlign w:val="center"/>
          </w:tcPr>
          <w:p w14:paraId="2A0593EA">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Are samples independent?</w:t>
            </w:r>
          </w:p>
        </w:tc>
        <w:tc>
          <w:tcPr>
            <w:tcW w:w="2640" w:type="pct"/>
            <w:shd w:val="clear" w:color="auto" w:fill="F3F1F7"/>
            <w:tcMar>
              <w:top w:w="45" w:type="dxa"/>
              <w:left w:w="60" w:type="dxa"/>
              <w:bottom w:w="45" w:type="dxa"/>
              <w:right w:w="60" w:type="dxa"/>
            </w:tcMar>
            <w:vAlign w:val="center"/>
          </w:tcPr>
          <w:p w14:paraId="67AD7730">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Preserve subject pairing in metadata and design.</w:t>
            </w:r>
          </w:p>
        </w:tc>
      </w:tr>
      <w:tr w14:paraId="03AB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FFFFF"/>
            <w:tcMar>
              <w:top w:w="45" w:type="dxa"/>
              <w:left w:w="60" w:type="dxa"/>
              <w:bottom w:w="45" w:type="dxa"/>
              <w:right w:w="60" w:type="dxa"/>
            </w:tcMar>
            <w:vAlign w:val="center"/>
          </w:tcPr>
          <w:p w14:paraId="1848E203">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Can all 20 samples be compared directly?</w:t>
            </w:r>
          </w:p>
        </w:tc>
        <w:tc>
          <w:tcPr>
            <w:tcW w:w="2640" w:type="pct"/>
            <w:shd w:val="clear" w:color="auto" w:fill="FFFFFF"/>
            <w:tcMar>
              <w:top w:w="45" w:type="dxa"/>
              <w:left w:w="60" w:type="dxa"/>
              <w:bottom w:w="45" w:type="dxa"/>
              <w:right w:w="60" w:type="dxa"/>
            </w:tcMar>
            <w:vAlign w:val="center"/>
          </w:tcPr>
          <w:p w14:paraId="6CC057A2">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Define a specific contrast before analysis.</w:t>
            </w:r>
          </w:p>
        </w:tc>
      </w:tr>
      <w:tr w14:paraId="7726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3F1F7"/>
            <w:tcMar>
              <w:top w:w="45" w:type="dxa"/>
              <w:left w:w="60" w:type="dxa"/>
              <w:bottom w:w="45" w:type="dxa"/>
              <w:right w:w="60" w:type="dxa"/>
            </w:tcMar>
            <w:vAlign w:val="center"/>
          </w:tcPr>
          <w:p w14:paraId="7CDAAD8E">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Is full raw-read reprocessing possible?</w:t>
            </w:r>
          </w:p>
        </w:tc>
        <w:tc>
          <w:tcPr>
            <w:tcW w:w="2640" w:type="pct"/>
            <w:shd w:val="clear" w:color="auto" w:fill="F3F1F7"/>
            <w:tcMar>
              <w:top w:w="45" w:type="dxa"/>
              <w:left w:w="60" w:type="dxa"/>
              <w:bottom w:w="45" w:type="dxa"/>
              <w:right w:w="60" w:type="dxa"/>
            </w:tcMar>
            <w:vAlign w:val="center"/>
          </w:tcPr>
          <w:p w14:paraId="72820019">
            <w:pPr>
              <w:rPr>
                <w:rFonts w:hint="default" w:ascii="Times New Roman" w:hAnsi="Times New Roman" w:cs="Times New Roman"/>
                <w:kern w:val="0"/>
                <w:sz w:val="24"/>
                <w:szCs w:val="24"/>
                <w:lang w:val="en-US" w:eastAsia="en-US"/>
                <w14:ligatures w14:val="none"/>
              </w:rPr>
            </w:pPr>
            <w:r>
              <w:rPr>
                <w:rFonts w:hint="default" w:ascii="Times New Roman" w:hAnsi="Times New Roman" w:cs="Times New Roman"/>
                <w:color w:val="1D1F24"/>
                <w:kern w:val="0"/>
                <w:sz w:val="24"/>
                <w:szCs w:val="24"/>
                <w:lang w:val="en-US" w:eastAsia="en-US"/>
                <w14:ligatures w14:val="none"/>
              </w:rPr>
              <w:t>Possible, but beyond a one-hour homework.</w:t>
            </w:r>
          </w:p>
        </w:tc>
      </w:tr>
    </w:tbl>
    <w:p w14:paraId="0D2C5E3E">
      <w:pPr>
        <w:rPr>
          <w:rFonts w:hint="default" w:ascii="Times New Roman" w:hAnsi="Times New Roman" w:cs="Times New Roman"/>
        </w:rPr>
      </w:pPr>
    </w:p>
    <w:tbl>
      <w:tblPr>
        <w:tblW w:w="93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8"/>
        <w:gridCol w:w="7393"/>
      </w:tblGrid>
      <w:tr w14:paraId="58C4E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50" w:type="dxa"/>
              <w:left w:w="0" w:type="dxa"/>
              <w:bottom w:w="150" w:type="dxa"/>
              <w:right w:w="240" w:type="dxa"/>
            </w:tcMar>
            <w:vAlign w:val="center"/>
          </w:tcPr>
          <w:p w14:paraId="3ADD2FA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Question</w:t>
            </w:r>
          </w:p>
        </w:tc>
        <w:tc>
          <w:tcPr>
            <w:tcW w:w="0" w:type="auto"/>
            <w:tcBorders>
              <w:top w:val="nil"/>
            </w:tcBorders>
            <w:shd w:val="clear" w:color="auto" w:fill="FFFFFF"/>
            <w:tcMar>
              <w:top w:w="150" w:type="dxa"/>
              <w:left w:w="240" w:type="dxa"/>
              <w:bottom w:w="150" w:type="dxa"/>
              <w:right w:w="240" w:type="dxa"/>
            </w:tcMar>
            <w:vAlign w:val="center"/>
          </w:tcPr>
          <w:p w14:paraId="49F13CB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Student decision for GSE87487</w:t>
            </w:r>
          </w:p>
        </w:tc>
      </w:tr>
      <w:tr w14:paraId="2D62B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3492428">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Are the values counts?</w:t>
            </w:r>
          </w:p>
        </w:tc>
        <w:tc>
          <w:tcPr>
            <w:tcW w:w="0" w:type="auto"/>
            <w:shd w:val="clear" w:color="auto" w:fill="FFFFFF"/>
            <w:tcMar>
              <w:top w:w="150" w:type="dxa"/>
              <w:left w:w="240" w:type="dxa"/>
              <w:bottom w:w="150" w:type="dxa"/>
              <w:right w:w="0" w:type="dxa"/>
            </w:tcMar>
            <w:vAlign w:val="center"/>
          </w:tcPr>
          <w:p w14:paraId="0B1FF938">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Yes. The supplementary file </w:t>
            </w:r>
            <w:r>
              <w:rPr>
                <w:rStyle w:val="18"/>
                <w:rFonts w:hint="default" w:ascii="Times New Roman" w:hAnsi="Times New Roman" w:eastAsia="Consolas" w:cs="Times New Roman"/>
                <w:i w:val="0"/>
                <w:iCs w:val="0"/>
                <w:caps w:val="0"/>
                <w:color w:val="0F1115"/>
                <w:spacing w:val="0"/>
                <w:kern w:val="0"/>
                <w:sz w:val="19"/>
                <w:szCs w:val="19"/>
                <w:bdr w:val="none" w:color="auto" w:sz="0" w:space="0"/>
                <w:shd w:val="clear" w:fill="EBEEF2"/>
                <w:lang w:val="en-US" w:eastAsia="zh-CN" w:bidi="ar"/>
                <w14:ligatures w14:val="standardContextual"/>
              </w:rPr>
              <w:t>GSE87487_counts.20samples.txt.gz</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is a featureCounts-derived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count matrix</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(3.7 MB), and the study methods confirm reads were aligned to hg38 with STAR and counted with featureCounts</w: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instrText xml:space="preserve"> HYPERLINK "https://maayanlab.cloud/datasets2tools/landing/dataset/GSE87487" \t "https://chat.deepseek.com/a/chat/s/_blank" </w:instrTex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instrText xml:space="preserve"> HYPERLINK "https://www.ncbi.xyz/geo/query/acc.cgi?acc=GSE87487" \l "1" \t "https://chat.deepseek.com/a/chat/s/_blank" </w:instrTex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Verify integer values after download.</w:t>
            </w:r>
          </w:p>
        </w:tc>
      </w:tr>
      <w:tr w14:paraId="4BF66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4C1A525">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Are samples independent?</w:t>
            </w:r>
          </w:p>
        </w:tc>
        <w:tc>
          <w:tcPr>
            <w:tcW w:w="0" w:type="auto"/>
            <w:shd w:val="clear" w:color="auto" w:fill="FFFFFF"/>
            <w:tcMar>
              <w:top w:w="150" w:type="dxa"/>
              <w:left w:w="240" w:type="dxa"/>
              <w:bottom w:w="150" w:type="dxa"/>
              <w:right w:w="0" w:type="dxa"/>
            </w:tcMar>
            <w:vAlign w:val="center"/>
          </w:tcPr>
          <w:p w14:paraId="7B92B665">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No. This is a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paired design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with pre- and post-reperfusion biopsies from the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same donor liver</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Preserve the subject/paired structure in metadata and use paired statistical models (e.g., paired t-test or mixed-effects model) rather than treating samples as independent</w: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instrText xml:space="preserve"> HYPERLINK "https://maayanlab.cloud/datasets2tools/landing/dataset/GSE87487" \t "https://chat.deepseek.com/a/chat/s/_blank" </w:instrTex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instrText xml:space="preserve"> HYPERLINK "https://www.sciencedirect.com/science/article/abs/pii/S1600613526026389" \l "1" \t "https://chat.deepseek.com/a/chat/s/_blank" </w:instrTex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w:t>
            </w:r>
          </w:p>
        </w:tc>
      </w:tr>
      <w:tr w14:paraId="69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C061D30">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Can all 20 samples be compared directly?</w:t>
            </w:r>
          </w:p>
        </w:tc>
        <w:tc>
          <w:tcPr>
            <w:tcW w:w="0" w:type="auto"/>
            <w:shd w:val="clear" w:color="auto" w:fill="FFFFFF"/>
            <w:tcMar>
              <w:top w:w="150" w:type="dxa"/>
              <w:left w:w="240" w:type="dxa"/>
              <w:bottom w:w="150" w:type="dxa"/>
              <w:right w:w="0" w:type="dxa"/>
            </w:tcMar>
            <w:vAlign w:val="center"/>
          </w:tcPr>
          <w:p w14:paraId="0E8D0FCC">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Not as a single unstratified comparison. The 20 samples comprise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pre- and post-reperfusion pairs</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across IRI+ and IRI− patients. You must define a specific contrast (e.g., the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Time × IRI interaction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ΔΔ = (Post−Pre)IRI+ − (Post−Pre)IRI−) before analysis, as performed in subsequent reuses of this dataset</w: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begin"/>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instrText xml:space="preserve"> HYPERLINK "https://www.sciencedirect.com/science/article/abs/pii/S1600613526026389" \l "1" \t "https://chat.deepseek.com/a/chat/s/_blank" </w:instrText>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separate"/>
            </w:r>
            <w:r>
              <w:rPr>
                <w:rFonts w:hint="default" w:ascii="Times New Roman" w:hAnsi="Times New Roman" w:eastAsia="Segoe UI" w:cs="Times New Roman"/>
                <w:i w:val="0"/>
                <w:iCs w:val="0"/>
                <w:caps w:val="0"/>
                <w:color w:val="3964FE"/>
                <w:spacing w:val="0"/>
                <w:kern w:val="0"/>
                <w:sz w:val="22"/>
                <w:szCs w:val="22"/>
                <w:u w:val="none"/>
                <w:bdr w:val="single" w:color="auto" w:sz="12" w:space="0"/>
                <w:lang w:val="en-US" w:eastAsia="zh-CN" w:bidi="ar"/>
                <w14:ligatures w14:val="standardContextual"/>
              </w:rPr>
              <w:fldChar w:fldCharType="end"/>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w:t>
            </w:r>
          </w:p>
        </w:tc>
      </w:tr>
      <w:tr w14:paraId="7AD9E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9393FB7">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Is full raw-read reprocessing possible?</w:t>
            </w:r>
          </w:p>
        </w:tc>
        <w:tc>
          <w:tcPr>
            <w:tcW w:w="0" w:type="auto"/>
            <w:shd w:val="clear" w:color="auto" w:fill="FFFFFF"/>
            <w:tcMar>
              <w:top w:w="150" w:type="dxa"/>
              <w:left w:w="240" w:type="dxa"/>
              <w:bottom w:w="150" w:type="dxa"/>
              <w:right w:w="0" w:type="dxa"/>
            </w:tcMar>
            <w:vAlign w:val="center"/>
          </w:tcPr>
          <w:p w14:paraId="1A27CE50">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Technically yes (raw data are in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SRA project SRP090633</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but likely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beyond a one-hour homework</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The provided count matrix is sufficient for most downstream analyses; raw-read reprocessing would only be needed for specialized tasks like alignment QC or isoform-level quantification</w:t>
            </w:r>
          </w:p>
        </w:tc>
      </w:tr>
    </w:tbl>
    <w:sdt>
      <w:sdtPr>
        <w:rPr>
          <w:rFonts w:hint="default" w:ascii="Consolas" w:hAnsi="Times New Roman" w:eastAsia="宋体" w:cs="Times New Roman"/>
          <w:kern w:val="2"/>
          <w:sz w:val="21"/>
          <w:szCs w:val="24"/>
          <w:shd w:val="clear"/>
          <w:lang w:val="en-US" w:eastAsia="zh-CN" w:bidi="ar-SA"/>
          <w14:ligatures w14:val="standardContextual"/>
        </w:rPr>
        <w:id w:val="147459389"/>
        <w:placeholder>
          <w:docPart w:val="{55124fd0-7cb6-4c63-931a-ed03fa2a4a95}"/>
        </w:placeholder>
        <w15:appearance w15:val="hidden"/>
      </w:sdtPr>
      <w:sdtEndPr>
        <w:rPr>
          <w:rFonts w:hint="default" w:ascii="Consolas" w:hAnsi="Times New Roman" w:eastAsia="宋体" w:cs="Times New Roman"/>
          <w:kern w:val="2"/>
          <w:sz w:val="21"/>
          <w:szCs w:val="24"/>
          <w:shd w:val="clear"/>
          <w:lang w:val="en-US" w:eastAsia="zh-CN" w:bidi="ar-SA"/>
          <w14:ligatures w14:val="standardContextual"/>
        </w:rPr>
      </w:sdtEndPr>
      <w:sdtContent>
        <w:p w14:paraId="1DA1F3B7">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909090"/>
              <w:kern w:val="2"/>
              <w:sz w:val="21"/>
              <w:szCs w:val="24"/>
              <w:shd w:val="clear"/>
              <w:lang w:val="en-US" w:eastAsia="zh-CN" w:bidi="ar-SA"/>
              <w14:ligatures w14:val="standardContextual"/>
            </w:rPr>
            <w:t># Load required packages</w:t>
          </w:r>
        </w:p>
        <w:p w14:paraId="299CA209">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682AEF"/>
              <w:kern w:val="2"/>
              <w:sz w:val="21"/>
              <w:szCs w:val="24"/>
              <w:shd w:val="clear"/>
              <w:lang w:val="en-US" w:eastAsia="zh-CN" w:bidi="ar-SA"/>
              <w14:ligatures w14:val="standardContextual"/>
            </w:rPr>
            <w:t>library</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BB2726"/>
              <w:kern w:val="2"/>
              <w:sz w:val="21"/>
              <w:szCs w:val="24"/>
              <w:shd w:val="clear"/>
              <w:lang w:val="en-US" w:eastAsia="zh-CN" w:bidi="ar-SA"/>
              <w14:ligatures w14:val="standardContextual"/>
            </w:rPr>
            <w:t>GEOquery</w:t>
          </w:r>
          <w:r>
            <w:rPr>
              <w:rFonts w:hint="default" w:ascii="Consolas" w:hAnsi="Times New Roman" w:eastAsia="宋体" w:cs="Times New Roman"/>
              <w:color w:val="252525"/>
              <w:kern w:val="2"/>
              <w:sz w:val="21"/>
              <w:szCs w:val="24"/>
              <w:shd w:val="clear"/>
              <w:lang w:val="en-US" w:eastAsia="zh-CN" w:bidi="ar-SA"/>
              <w14:ligatures w14:val="standardContextual"/>
            </w:rPr>
            <w:t>)</w:t>
          </w:r>
        </w:p>
        <w:p w14:paraId="52A8BA4A">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p>
        <w:p w14:paraId="7DE465A1">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909090"/>
              <w:kern w:val="2"/>
              <w:sz w:val="21"/>
              <w:szCs w:val="24"/>
              <w:shd w:val="clear"/>
              <w:lang w:val="en-US" w:eastAsia="zh-CN" w:bidi="ar-SA"/>
              <w14:ligatures w14:val="standardContextual"/>
            </w:rPr>
            <w:t># Fetch GSE87487 metadata</w:t>
          </w:r>
        </w:p>
        <w:p w14:paraId="06655137">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BB2726"/>
              <w:kern w:val="2"/>
              <w:sz w:val="21"/>
              <w:szCs w:val="24"/>
              <w:shd w:val="clear"/>
              <w:lang w:val="en-US" w:eastAsia="zh-CN" w:bidi="ar-SA"/>
              <w14:ligatures w14:val="standardContextual"/>
            </w:rPr>
            <w:t>gse</w:t>
          </w:r>
          <w:r>
            <w:rPr>
              <w:rFonts w:hint="default" w:ascii="Consolas" w:hAnsi="Times New Roman" w:eastAsia="宋体" w:cs="Times New Roman"/>
              <w:color w:val="252525"/>
              <w:kern w:val="2"/>
              <w:sz w:val="21"/>
              <w:szCs w:val="24"/>
              <w:shd w:val="clear"/>
              <w:lang w:val="en-US" w:eastAsia="zh-CN" w:bidi="ar-SA"/>
              <w14:ligatures w14:val="standardContextual"/>
            </w:rPr>
            <w:t xml:space="preserve"> &lt;- </w:t>
          </w:r>
          <w:r>
            <w:rPr>
              <w:rFonts w:hint="default" w:ascii="Consolas" w:hAnsi="Times New Roman" w:eastAsia="宋体" w:cs="Times New Roman"/>
              <w:color w:val="682AEF"/>
              <w:kern w:val="2"/>
              <w:sz w:val="21"/>
              <w:szCs w:val="24"/>
              <w:shd w:val="clear"/>
              <w:lang w:val="en-US" w:eastAsia="zh-CN" w:bidi="ar-SA"/>
              <w14:ligatures w14:val="standardContextual"/>
            </w:rPr>
            <w:t>getGEO</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C48200"/>
              <w:kern w:val="2"/>
              <w:sz w:val="21"/>
              <w:szCs w:val="24"/>
              <w:shd w:val="clear"/>
              <w:lang w:val="en-US" w:eastAsia="zh-CN" w:bidi="ar-SA"/>
              <w14:ligatures w14:val="standardContextual"/>
            </w:rPr>
            <w:t>"GSE87487"</w:t>
          </w:r>
          <w:r>
            <w:rPr>
              <w:rFonts w:hint="default" w:ascii="Consolas" w:hAnsi="Times New Roman" w:eastAsia="宋体" w:cs="Times New Roman"/>
              <w:color w:val="252525"/>
              <w:kern w:val="2"/>
              <w:sz w:val="21"/>
              <w:szCs w:val="24"/>
              <w:shd w:val="clear"/>
              <w:lang w:val="en-US" w:eastAsia="zh-CN" w:bidi="ar-SA"/>
              <w14:ligatures w14:val="standardContextual"/>
            </w:rPr>
            <w:t xml:space="preserve">, </w:t>
          </w:r>
          <w:r>
            <w:rPr>
              <w:rFonts w:hint="default" w:ascii="Consolas" w:hAnsi="Times New Roman" w:eastAsia="宋体" w:cs="Times New Roman"/>
              <w:color w:val="BB2726"/>
              <w:kern w:val="2"/>
              <w:sz w:val="21"/>
              <w:szCs w:val="24"/>
              <w:shd w:val="clear"/>
              <w:lang w:val="en-US" w:eastAsia="zh-CN" w:bidi="ar-SA"/>
              <w14:ligatures w14:val="standardContextual"/>
            </w:rPr>
            <w:t>GSEMatrix</w:t>
          </w:r>
          <w:r>
            <w:rPr>
              <w:rFonts w:hint="default" w:ascii="Consolas" w:hAnsi="Times New Roman" w:eastAsia="宋体" w:cs="Times New Roman"/>
              <w:color w:val="252525"/>
              <w:kern w:val="2"/>
              <w:sz w:val="21"/>
              <w:szCs w:val="24"/>
              <w:shd w:val="clear"/>
              <w:lang w:val="en-US" w:eastAsia="zh-CN" w:bidi="ar-SA"/>
              <w14:ligatures w14:val="standardContextual"/>
            </w:rPr>
            <w:t xml:space="preserve"> = </w:t>
          </w:r>
          <w:r>
            <w:rPr>
              <w:rFonts w:hint="default" w:ascii="Consolas" w:hAnsi="Times New Roman" w:eastAsia="宋体" w:cs="Times New Roman"/>
              <w:color w:val="1E5FC7"/>
              <w:kern w:val="2"/>
              <w:sz w:val="21"/>
              <w:szCs w:val="24"/>
              <w:shd w:val="clear"/>
              <w:lang w:val="en-US" w:eastAsia="zh-CN" w:bidi="ar-SA"/>
              <w14:ligatures w14:val="standardContextual"/>
            </w:rPr>
            <w:t>TRUE</w:t>
          </w:r>
          <w:r>
            <w:rPr>
              <w:rFonts w:hint="default" w:ascii="Consolas" w:hAnsi="Times New Roman" w:eastAsia="宋体" w:cs="Times New Roman"/>
              <w:color w:val="252525"/>
              <w:kern w:val="2"/>
              <w:sz w:val="21"/>
              <w:szCs w:val="24"/>
              <w:shd w:val="clear"/>
              <w:lang w:val="en-US" w:eastAsia="zh-CN" w:bidi="ar-SA"/>
              <w14:ligatures w14:val="standardContextual"/>
            </w:rPr>
            <w:t>)</w:t>
          </w:r>
        </w:p>
        <w:p w14:paraId="263443C2">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682AEF"/>
              <w:kern w:val="2"/>
              <w:sz w:val="21"/>
              <w:szCs w:val="24"/>
              <w:shd w:val="clear"/>
              <w:lang w:val="en-US" w:eastAsia="zh-CN" w:bidi="ar-SA"/>
              <w14:ligatures w14:val="standardContextual"/>
            </w:rPr>
            <w:t>show</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BB2726"/>
              <w:kern w:val="2"/>
              <w:sz w:val="21"/>
              <w:szCs w:val="24"/>
              <w:shd w:val="clear"/>
              <w:lang w:val="en-US" w:eastAsia="zh-CN" w:bidi="ar-SA"/>
              <w14:ligatures w14:val="standardContextual"/>
            </w:rPr>
            <w:t>gse</w:t>
          </w:r>
          <w:r>
            <w:rPr>
              <w:rFonts w:hint="default" w:ascii="Consolas" w:hAnsi="Times New Roman" w:eastAsia="宋体" w:cs="Times New Roman"/>
              <w:color w:val="252525"/>
              <w:kern w:val="2"/>
              <w:sz w:val="21"/>
              <w:szCs w:val="24"/>
              <w:shd w:val="clear"/>
              <w:lang w:val="en-US" w:eastAsia="zh-CN" w:bidi="ar-SA"/>
              <w14:ligatures w14:val="standardContextual"/>
            </w:rPr>
            <w:t>)</w:t>
          </w:r>
        </w:p>
        <w:p w14:paraId="50314902">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p>
        <w:p w14:paraId="54769D9C">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909090"/>
              <w:kern w:val="2"/>
              <w:sz w:val="21"/>
              <w:szCs w:val="24"/>
              <w:shd w:val="clear"/>
              <w:lang w:val="en-US" w:eastAsia="zh-CN" w:bidi="ar-SA"/>
              <w14:ligatures w14:val="standardContextual"/>
            </w:rPr>
            <w:t># Extract sample-level metadata</w:t>
          </w:r>
        </w:p>
        <w:p w14:paraId="52DA43A1">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BB2726"/>
              <w:kern w:val="2"/>
              <w:sz w:val="21"/>
              <w:szCs w:val="24"/>
              <w:shd w:val="clear"/>
              <w:lang w:val="en-US" w:eastAsia="zh-CN" w:bidi="ar-SA"/>
              <w14:ligatures w14:val="standardContextual"/>
            </w:rPr>
            <w:t>pdata</w:t>
          </w:r>
          <w:r>
            <w:rPr>
              <w:rFonts w:hint="default" w:ascii="Consolas" w:hAnsi="Times New Roman" w:eastAsia="宋体" w:cs="Times New Roman"/>
              <w:color w:val="252525"/>
              <w:kern w:val="2"/>
              <w:sz w:val="21"/>
              <w:szCs w:val="24"/>
              <w:shd w:val="clear"/>
              <w:lang w:val="en-US" w:eastAsia="zh-CN" w:bidi="ar-SA"/>
              <w14:ligatures w14:val="standardContextual"/>
            </w:rPr>
            <w:t xml:space="preserve"> &lt;- </w:t>
          </w:r>
          <w:r>
            <w:rPr>
              <w:rFonts w:hint="default" w:ascii="Consolas" w:hAnsi="Times New Roman" w:eastAsia="宋体" w:cs="Times New Roman"/>
              <w:color w:val="682AEF"/>
              <w:kern w:val="2"/>
              <w:sz w:val="21"/>
              <w:szCs w:val="24"/>
              <w:shd w:val="clear"/>
              <w:lang w:val="en-US" w:eastAsia="zh-CN" w:bidi="ar-SA"/>
              <w14:ligatures w14:val="standardContextual"/>
            </w:rPr>
            <w:t>pData</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682AEF"/>
              <w:kern w:val="2"/>
              <w:sz w:val="21"/>
              <w:szCs w:val="24"/>
              <w:shd w:val="clear"/>
              <w:lang w:val="en-US" w:eastAsia="zh-CN" w:bidi="ar-SA"/>
              <w14:ligatures w14:val="standardContextual"/>
            </w:rPr>
            <w:t>phenoData</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BB2726"/>
              <w:kern w:val="2"/>
              <w:sz w:val="21"/>
              <w:szCs w:val="24"/>
              <w:shd w:val="clear"/>
              <w:lang w:val="en-US" w:eastAsia="zh-CN" w:bidi="ar-SA"/>
              <w14:ligatures w14:val="standardContextual"/>
            </w:rPr>
            <w:t>gse</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C48200"/>
              <w:kern w:val="2"/>
              <w:sz w:val="21"/>
              <w:szCs w:val="24"/>
              <w:shd w:val="clear"/>
              <w:lang w:val="en-US" w:eastAsia="zh-CN" w:bidi="ar-SA"/>
              <w14:ligatures w14:val="standardContextual"/>
            </w:rPr>
            <w:t>1</w:t>
          </w:r>
          <w:r>
            <w:rPr>
              <w:rFonts w:hint="default" w:ascii="Consolas" w:hAnsi="Times New Roman" w:eastAsia="宋体" w:cs="Times New Roman"/>
              <w:color w:val="252525"/>
              <w:kern w:val="2"/>
              <w:sz w:val="21"/>
              <w:szCs w:val="24"/>
              <w:shd w:val="clear"/>
              <w:lang w:val="en-US" w:eastAsia="zh-CN" w:bidi="ar-SA"/>
              <w14:ligatures w14:val="standardContextual"/>
            </w:rPr>
            <w:t>]]))</w:t>
          </w:r>
        </w:p>
        <w:p w14:paraId="5D423EB6">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682AEF"/>
              <w:kern w:val="2"/>
              <w:sz w:val="21"/>
              <w:szCs w:val="24"/>
              <w:shd w:val="clear"/>
              <w:lang w:val="en-US" w:eastAsia="zh-CN" w:bidi="ar-SA"/>
              <w14:ligatures w14:val="standardContextual"/>
            </w:rPr>
            <w:t>print</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BB2726"/>
              <w:kern w:val="2"/>
              <w:sz w:val="21"/>
              <w:szCs w:val="24"/>
              <w:shd w:val="clear"/>
              <w:lang w:val="en-US" w:eastAsia="zh-CN" w:bidi="ar-SA"/>
              <w14:ligatures w14:val="standardContextual"/>
            </w:rPr>
            <w:t>pdata</w:t>
          </w:r>
          <w:r>
            <w:rPr>
              <w:rFonts w:hint="default" w:ascii="Consolas" w:hAnsi="Times New Roman" w:eastAsia="宋体" w:cs="Times New Roman"/>
              <w:color w:val="252525"/>
              <w:kern w:val="2"/>
              <w:sz w:val="21"/>
              <w:szCs w:val="24"/>
              <w:shd w:val="clear"/>
              <w:lang w:val="en-US" w:eastAsia="zh-CN" w:bidi="ar-SA"/>
              <w14:ligatures w14:val="standardContextual"/>
            </w:rPr>
            <w:t xml:space="preserve">[, </w:t>
          </w:r>
          <w:r>
            <w:rPr>
              <w:rFonts w:hint="default" w:ascii="Consolas" w:hAnsi="Times New Roman" w:eastAsia="宋体" w:cs="Times New Roman"/>
              <w:color w:val="682AEF"/>
              <w:kern w:val="2"/>
              <w:sz w:val="21"/>
              <w:szCs w:val="24"/>
              <w:shd w:val="clear"/>
              <w:lang w:val="en-US" w:eastAsia="zh-CN" w:bidi="ar-SA"/>
              <w14:ligatures w14:val="standardContextual"/>
            </w:rPr>
            <w:t>c</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C48200"/>
              <w:kern w:val="2"/>
              <w:sz w:val="21"/>
              <w:szCs w:val="24"/>
              <w:shd w:val="clear"/>
              <w:lang w:val="en-US" w:eastAsia="zh-CN" w:bidi="ar-SA"/>
              <w14:ligatures w14:val="standardContextual"/>
            </w:rPr>
            <w:t>"title"</w:t>
          </w:r>
          <w:r>
            <w:rPr>
              <w:rFonts w:hint="default" w:ascii="Consolas" w:hAnsi="Times New Roman" w:eastAsia="宋体" w:cs="Times New Roman"/>
              <w:color w:val="252525"/>
              <w:kern w:val="2"/>
              <w:sz w:val="21"/>
              <w:szCs w:val="24"/>
              <w:shd w:val="clear"/>
              <w:lang w:val="en-US" w:eastAsia="zh-CN" w:bidi="ar-SA"/>
              <w14:ligatures w14:val="standardContextual"/>
            </w:rPr>
            <w:t xml:space="preserve">, </w:t>
          </w:r>
          <w:r>
            <w:rPr>
              <w:rFonts w:hint="default" w:ascii="Consolas" w:hAnsi="Times New Roman" w:eastAsia="宋体" w:cs="Times New Roman"/>
              <w:color w:val="C48200"/>
              <w:kern w:val="2"/>
              <w:sz w:val="21"/>
              <w:szCs w:val="24"/>
              <w:shd w:val="clear"/>
              <w:lang w:val="en-US" w:eastAsia="zh-CN" w:bidi="ar-SA"/>
              <w14:ligatures w14:val="standardContextual"/>
            </w:rPr>
            <w:t>"characteristics_ch1"</w:t>
          </w:r>
          <w:r>
            <w:rPr>
              <w:rFonts w:hint="default" w:ascii="Consolas" w:hAnsi="Times New Roman" w:eastAsia="宋体" w:cs="Times New Roman"/>
              <w:color w:val="252525"/>
              <w:kern w:val="2"/>
              <w:sz w:val="21"/>
              <w:szCs w:val="24"/>
              <w:shd w:val="clear"/>
              <w:lang w:val="en-US" w:eastAsia="zh-CN" w:bidi="ar-SA"/>
              <w14:ligatures w14:val="standardContextual"/>
            </w:rPr>
            <w:t xml:space="preserve">, </w:t>
          </w:r>
          <w:r>
            <w:rPr>
              <w:rFonts w:hint="default" w:ascii="Consolas" w:hAnsi="Times New Roman" w:eastAsia="宋体" w:cs="Times New Roman"/>
              <w:color w:val="C48200"/>
              <w:kern w:val="2"/>
              <w:sz w:val="21"/>
              <w:szCs w:val="24"/>
              <w:shd w:val="clear"/>
              <w:lang w:val="en-US" w:eastAsia="zh-CN" w:bidi="ar-SA"/>
              <w14:ligatures w14:val="standardContextual"/>
            </w:rPr>
            <w:t>"source_name_ch1"</w:t>
          </w:r>
          <w:r>
            <w:rPr>
              <w:rFonts w:hint="default" w:ascii="Consolas" w:hAnsi="Times New Roman" w:eastAsia="宋体" w:cs="Times New Roman"/>
              <w:color w:val="252525"/>
              <w:kern w:val="2"/>
              <w:sz w:val="21"/>
              <w:szCs w:val="24"/>
              <w:shd w:val="clear"/>
              <w:lang w:val="en-US" w:eastAsia="zh-CN" w:bidi="ar-SA"/>
              <w14:ligatures w14:val="standardContextual"/>
            </w:rPr>
            <w:t>)])</w:t>
          </w:r>
        </w:p>
        <w:p w14:paraId="74DBAB16">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682AEF"/>
              <w:kern w:val="2"/>
              <w:sz w:val="21"/>
              <w:szCs w:val="24"/>
              <w:shd w:val="clear"/>
              <w:lang w:val="en-US" w:eastAsia="zh-CN" w:bidi="ar-SA"/>
              <w14:ligatures w14:val="standardContextual"/>
            </w:rPr>
            <w:t>print</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682AEF"/>
              <w:kern w:val="2"/>
              <w:sz w:val="21"/>
              <w:szCs w:val="24"/>
              <w:shd w:val="clear"/>
              <w:lang w:val="en-US" w:eastAsia="zh-CN" w:bidi="ar-SA"/>
              <w14:ligatures w14:val="standardContextual"/>
            </w:rPr>
            <w:t>table</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BB2726"/>
              <w:kern w:val="2"/>
              <w:sz w:val="21"/>
              <w:szCs w:val="24"/>
              <w:shd w:val="clear"/>
              <w:lang w:val="en-US" w:eastAsia="zh-CN" w:bidi="ar-SA"/>
              <w14:ligatures w14:val="standardContextual"/>
            </w:rPr>
            <w:t>pdata</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BB2726"/>
              <w:kern w:val="2"/>
              <w:sz w:val="21"/>
              <w:szCs w:val="24"/>
              <w:shd w:val="clear"/>
              <w:lang w:val="en-US" w:eastAsia="zh-CN" w:bidi="ar-SA"/>
              <w14:ligatures w14:val="standardContextual"/>
            </w:rPr>
            <w:t>title</w:t>
          </w:r>
          <w:r>
            <w:rPr>
              <w:rFonts w:hint="default" w:ascii="Consolas" w:hAnsi="Times New Roman" w:eastAsia="宋体" w:cs="Times New Roman"/>
              <w:color w:val="252525"/>
              <w:kern w:val="2"/>
              <w:sz w:val="21"/>
              <w:szCs w:val="24"/>
              <w:shd w:val="clear"/>
              <w:lang w:val="en-US" w:eastAsia="zh-CN" w:bidi="ar-SA"/>
              <w14:ligatures w14:val="standardContextual"/>
            </w:rPr>
            <w:t>))</w:t>
          </w:r>
        </w:p>
        <w:p w14:paraId="5DF7BFD6">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p>
        <w:p w14:paraId="2A88D0DF">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909090"/>
              <w:kern w:val="2"/>
              <w:sz w:val="21"/>
              <w:szCs w:val="24"/>
              <w:shd w:val="clear"/>
              <w:lang w:val="en-US" w:eastAsia="zh-CN" w:bidi="ar-SA"/>
              <w14:ligatures w14:val="standardContextual"/>
            </w:rPr>
            <w:t># Check supplementary files</w:t>
          </w:r>
        </w:p>
        <w:p w14:paraId="5F5DBD12">
          <w:pPr>
            <w:shd w:val="clear" w:fill="F5F5F5"/>
            <w:spacing w:line="240" w:lineRule="auto"/>
            <w:ind w:left="480" w:leftChars="200"/>
            <w:rPr>
              <w:rFonts w:hint="default" w:ascii="Consolas" w:hAnsi="Times New Roman" w:eastAsia="宋体" w:cs="Times New Roman"/>
              <w:color w:val="252525"/>
              <w:kern w:val="2"/>
              <w:sz w:val="21"/>
              <w:szCs w:val="24"/>
              <w:shd w:val="clear"/>
              <w:lang w:val="en-US" w:eastAsia="zh-CN" w:bidi="ar-SA"/>
              <w14:ligatures w14:val="standardContextual"/>
            </w:rPr>
          </w:pPr>
          <w:r>
            <w:rPr>
              <w:rFonts w:hint="default" w:ascii="Consolas" w:hAnsi="Times New Roman" w:eastAsia="宋体" w:cs="Times New Roman"/>
              <w:color w:val="682AEF"/>
              <w:kern w:val="2"/>
              <w:sz w:val="21"/>
              <w:szCs w:val="24"/>
              <w:shd w:val="clear"/>
              <w:lang w:val="en-US" w:eastAsia="zh-CN" w:bidi="ar-SA"/>
              <w14:ligatures w14:val="standardContextual"/>
            </w:rPr>
            <w:t>getGEOSuppFiles</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C48200"/>
              <w:kern w:val="2"/>
              <w:sz w:val="21"/>
              <w:szCs w:val="24"/>
              <w:shd w:val="clear"/>
              <w:lang w:val="en-US" w:eastAsia="zh-CN" w:bidi="ar-SA"/>
              <w14:ligatures w14:val="standardContextual"/>
            </w:rPr>
            <w:t>"GSE87487"</w:t>
          </w:r>
          <w:r>
            <w:rPr>
              <w:rFonts w:hint="default" w:ascii="Consolas" w:hAnsi="Times New Roman" w:eastAsia="宋体" w:cs="Times New Roman"/>
              <w:color w:val="252525"/>
              <w:kern w:val="2"/>
              <w:sz w:val="21"/>
              <w:szCs w:val="24"/>
              <w:shd w:val="clear"/>
              <w:lang w:val="en-US" w:eastAsia="zh-CN" w:bidi="ar-SA"/>
              <w14:ligatures w14:val="standardContextual"/>
            </w:rPr>
            <w:t>)</w:t>
          </w:r>
        </w:p>
        <w:p w14:paraId="46631EA4">
          <w:pPr>
            <w:shd w:val="clear" w:fill="F5F5F5"/>
            <w:spacing w:line="240" w:lineRule="auto"/>
            <w:ind w:left="480" w:leftChars="200"/>
            <w:rPr>
              <w:rFonts w:hint="default" w:ascii="Consolas" w:hAnsi="Times New Roman" w:eastAsia="宋体" w:cs="Times New Roman"/>
              <w:sz w:val="21"/>
              <w:shd w:val="clear"/>
              <w:lang w:val="en-US"/>
            </w:rPr>
          </w:pPr>
          <w:r>
            <w:rPr>
              <w:rFonts w:hint="default" w:ascii="Consolas" w:hAnsi="Times New Roman" w:eastAsia="宋体" w:cs="Times New Roman"/>
              <w:color w:val="682AEF"/>
              <w:kern w:val="2"/>
              <w:sz w:val="21"/>
              <w:szCs w:val="24"/>
              <w:shd w:val="clear"/>
              <w:lang w:val="en-US" w:eastAsia="zh-CN" w:bidi="ar-SA"/>
              <w14:ligatures w14:val="standardContextual"/>
            </w:rPr>
            <w:t>list.files</w:t>
          </w:r>
          <w:r>
            <w:rPr>
              <w:rFonts w:hint="default" w:ascii="Consolas" w:hAnsi="Times New Roman" w:eastAsia="宋体" w:cs="Times New Roman"/>
              <w:color w:val="252525"/>
              <w:kern w:val="2"/>
              <w:sz w:val="21"/>
              <w:szCs w:val="24"/>
              <w:shd w:val="clear"/>
              <w:lang w:val="en-US" w:eastAsia="zh-CN" w:bidi="ar-SA"/>
              <w14:ligatures w14:val="standardContextual"/>
            </w:rPr>
            <w:t>(</w:t>
          </w:r>
          <w:r>
            <w:rPr>
              <w:rFonts w:hint="default" w:ascii="Consolas" w:hAnsi="Times New Roman" w:eastAsia="宋体" w:cs="Times New Roman"/>
              <w:color w:val="C48200"/>
              <w:kern w:val="2"/>
              <w:sz w:val="21"/>
              <w:szCs w:val="24"/>
              <w:shd w:val="clear"/>
              <w:lang w:val="en-US" w:eastAsia="zh-CN" w:bidi="ar-SA"/>
              <w14:ligatures w14:val="standardContextual"/>
            </w:rPr>
            <w:t>"GSE87487"</w:t>
          </w:r>
          <w:r>
            <w:rPr>
              <w:rFonts w:hint="default" w:ascii="Consolas" w:hAnsi="Times New Roman" w:eastAsia="宋体" w:cs="Times New Roman"/>
              <w:color w:val="252525"/>
              <w:kern w:val="2"/>
              <w:sz w:val="21"/>
              <w:szCs w:val="24"/>
              <w:shd w:val="clear"/>
              <w:lang w:val="en-US" w:eastAsia="zh-CN" w:bidi="ar-SA"/>
              <w14:ligatures w14:val="standardContextual"/>
            </w:rPr>
            <w:t>)</w:t>
          </w:r>
          <w:bookmarkStart w:id="0" w:name="_GoBack"/>
          <w:bookmarkEnd w:id="0"/>
        </w:p>
      </w:sdtContent>
    </w:sdt>
    <w:p w14:paraId="00E37972">
      <w:pPr>
        <w:rPr>
          <w:rFonts w:hint="default" w:ascii="Times New Roman" w:hAnsi="Times New Roman" w:cs="Times New Roman"/>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973592"/>
    <w:multiLevelType w:val="multilevel"/>
    <w:tmpl w:val="4E97359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E73"/>
    <w:rsid w:val="00293EA4"/>
    <w:rsid w:val="003416F4"/>
    <w:rsid w:val="0040633A"/>
    <w:rsid w:val="00651052"/>
    <w:rsid w:val="00680E65"/>
    <w:rsid w:val="00880E73"/>
    <w:rsid w:val="008C5ACE"/>
    <w:rsid w:val="00A86D9D"/>
    <w:rsid w:val="00AB5F11"/>
    <w:rsid w:val="00B00AF5"/>
    <w:rsid w:val="00D70264"/>
    <w:rsid w:val="00F44C13"/>
    <w:rsid w:val="00F7442B"/>
    <w:rsid w:val="00F917DF"/>
    <w:rsid w:val="00F950D4"/>
    <w:rsid w:val="2DE1427A"/>
    <w:rsid w:val="703C045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uiPriority w:val="99"/>
    <w:rPr>
      <w:sz w:val="24"/>
    </w:rPr>
  </w:style>
  <w:style w:type="paragraph" w:styleId="14">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6">
    <w:name w:val="Table Grid"/>
    <w:basedOn w:val="15"/>
    <w:uiPriority w:val="59"/>
    <w:rPr>
      <w:kern w:val="0"/>
      <w:sz w:val="22"/>
      <w:szCs w:val="22"/>
      <w:lang w:val="en-US"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TML Code"/>
    <w:basedOn w:val="17"/>
    <w:semiHidden/>
    <w:unhideWhenUsed/>
    <w:uiPriority w:val="99"/>
    <w:rPr>
      <w:rFonts w:ascii="Courier New" w:hAnsi="Courier New"/>
      <w:sz w:val="20"/>
    </w:rPr>
  </w:style>
  <w:style w:type="character" w:customStyle="1" w:styleId="19">
    <w:name w:val="Heading 1 Char"/>
    <w:basedOn w:val="17"/>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7"/>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7"/>
    <w:link w:val="4"/>
    <w:semiHidden/>
    <w:uiPriority w:val="9"/>
    <w:rPr>
      <w:rFonts w:eastAsiaTheme="majorEastAsia" w:cstheme="majorBidi"/>
      <w:color w:val="2F5597" w:themeColor="accent1" w:themeShade="BF"/>
      <w:sz w:val="28"/>
      <w:szCs w:val="28"/>
    </w:rPr>
  </w:style>
  <w:style w:type="character" w:customStyle="1" w:styleId="22">
    <w:name w:val="Heading 4 Char"/>
    <w:basedOn w:val="17"/>
    <w:link w:val="5"/>
    <w:semiHidden/>
    <w:qFormat/>
    <w:uiPriority w:val="9"/>
    <w:rPr>
      <w:rFonts w:eastAsiaTheme="majorEastAsia" w:cstheme="majorBidi"/>
      <w:i/>
      <w:iCs/>
      <w:color w:val="2F5597" w:themeColor="accent1" w:themeShade="BF"/>
    </w:rPr>
  </w:style>
  <w:style w:type="character" w:customStyle="1" w:styleId="23">
    <w:name w:val="Heading 5 Char"/>
    <w:basedOn w:val="17"/>
    <w:link w:val="6"/>
    <w:semiHidden/>
    <w:uiPriority w:val="9"/>
    <w:rPr>
      <w:rFonts w:eastAsiaTheme="majorEastAsia" w:cstheme="majorBidi"/>
      <w:color w:val="2F5597" w:themeColor="accent1" w:themeShade="BF"/>
    </w:rPr>
  </w:style>
  <w:style w:type="character" w:customStyle="1" w:styleId="24">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29">
    <w:name w:val="Subtitle Char"/>
    <w:basedOn w:val="17"/>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7"/>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7"/>
    <w:link w:val="34"/>
    <w:uiPriority w:val="30"/>
    <w:rPr>
      <w:i/>
      <w:iCs/>
      <w:color w:val="2F5597" w:themeColor="accent1" w:themeShade="BF"/>
    </w:rPr>
  </w:style>
  <w:style w:type="character" w:customStyle="1" w:styleId="36">
    <w:name w:val="Intense Reference"/>
    <w:basedOn w:val="17"/>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glossaryDocument" Target="glossary/document.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2aa462e-f3dc-48e9-a44d-828d528861f4}"/>
        <w:style w:val=""/>
        <w:category>
          <w:name w:val="常规"/>
          <w:gallery w:val="placeholder"/>
        </w:category>
        <w:types>
          <w:type w:val="bbPlcHdr"/>
        </w:types>
        <w:behaviors>
          <w:behavior w:val="content"/>
        </w:behaviors>
        <w:description w:val=""/>
        <w:guid w:val="{52aa462e-f3dc-48e9-a44d-828d528861f4}"/>
      </w:docPartPr>
      <w:docPartBody>
        <w:p w14:paraId="7CFB6B15"/>
      </w:docPartBody>
    </w:docPart>
    <w:docPart>
      <w:docPartPr>
        <w:name w:val="{55124fd0-7cb6-4c63-931a-ed03fa2a4a95}"/>
        <w:style w:val=""/>
        <w:category>
          <w:name w:val="常规"/>
          <w:gallery w:val="placeholder"/>
        </w:category>
        <w:types>
          <w:type w:val="bbPlcHdr"/>
        </w:types>
        <w:behaviors>
          <w:behavior w:val="content"/>
        </w:behaviors>
        <w:description w:val=""/>
        <w:guid w:val="{55124fd0-7cb6-4c63-931a-ed03fa2a4a95}"/>
      </w:docPartPr>
      <w:docPartBody>
        <w:p w14:paraId="00370B49"/>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60071" type="1" data="{&quot;codeLang&quot;:&quot;R&quot;,&quot;isDarkTheme&quot;:0}"/>
  <wpscustomsdt:sdtItem id="147459389" type="1" data="{&quot;codeLang&quot;:&quot;R&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215</Words>
  <Characters>1185</Characters>
  <Lines>10</Lines>
  <Paragraphs>2</Paragraphs>
  <TotalTime>161</TotalTime>
  <ScaleCrop>false</ScaleCrop>
  <LinksUpToDate>false</LinksUpToDate>
  <CharactersWithSpaces>1369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2026-08-22T08:22:00Z</dcterms:created>
  <dc:creator>mac</dc:creator>
  <cp:lastModifiedBy>overdoes.</cp:lastModifiedBy>
  <dcterms:modified xsi:type="dcterms:W3CDTF">2026-09-13T10:15:16Z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eyJoZGlkIjoiYjMxZTU1OTdhYjIxYWY5NzQxMDM3ZWE2MjkwNjE0OWYiLCJ1c2VySWQiOiI4NjU3OTQzMjUifQ==</vt:lpwstr>
  </property>
  <property fmtid="{D5CDD505-2E9C-101B-9397-08002B2CF9AE}" pid="3" name="KSOProductBuildVer">
    <vt:lpwstr>2052-12.1.0.28505</vt:lpwstr>
  </property>
  <property fmtid="{D5CDD505-2E9C-101B-9397-08002B2CF9AE}" pid="4" name="ICV">
    <vt:lpwstr>92EE86BBE47F481892D023E801758FDB_13</vt:lpwstr>
  </property>
</Properties>
</file>