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b/>
          <w:sz w:val="32"/>
        </w:rPr>
        <w:t>基于多源数据融合与增量自学习的糖尿病血糖预测系统设计与实现</w:t>
      </w:r>
    </w:p>
    <w:p>
      <w:pPr>
        <w:jc w:val="center"/>
      </w:pPr>
      <w:r>
        <w:t>学位论文原创性声明</w:t>
      </w:r>
    </w:p>
    <w:p>
      <w:pPr>
        <w:ind w:firstLine="420"/>
      </w:pPr>
      <w:r>
        <w:t>本人郑重声明：所呈交的学位论文是本人在导师指导下独立进行研究工作所取得的成果。除文中已经注明引用的内容外，本论文不包含任何其他个人或集体已经发表或撰写过的作品成果。对本文的研究做出重要贡献的个人和集体，均已在文中以明确方式标明。本人完全意识到本声明的法律后果由本人承担。</w:t>
      </w:r>
    </w:p>
    <w:p>
      <w:pPr>
        <w:ind w:firstLine="420"/>
      </w:pPr>
      <w:r>
        <w:t>学位论文作者签名：__________　　日期：2026年6月</w:t>
      </w:r>
    </w:p>
    <w:p>
      <w:pPr>
        <w:jc w:val="center"/>
      </w:pPr>
      <w:r>
        <w:rPr>
          <w:rFonts w:ascii="黑体" w:hAnsi="黑体"/>
          <w:b/>
          <w:sz w:val="32"/>
        </w:rPr>
        <w:t>摘要</w:t>
      </w:r>
    </w:p>
    <w:p>
      <w:pPr>
        <w:ind w:firstLine="420"/>
      </w:pPr>
      <w:r>
        <w:t>糖尿病已成为全球性公共卫生挑战，国际糖尿病联盟（IDF）数据显示全球成年糖尿病患者达5.37亿，中国以超过1.4亿患者位居全球首位。持续血糖监测（CGM）技术的普及使得每1-5分钟即可获取一次血糖读数，为数据驱动的精准血糖管理奠定了基础。然而，如何有效融合多源异构数据（CGM、饮食、胰岛素、运动），构建准确且个性化的血糖预测模型，仍是一个开放性研究问题。</w:t>
      </w:r>
    </w:p>
    <w:p>
      <w:pPr>
        <w:ind w:firstLine="420"/>
      </w:pPr>
      <w:r>
        <w:t>本文设计并实现了糖盾（TangDun）——一个面向糖尿病患者的智能血糖预测与健康管理系统。系统核心创新包括：</w:t>
      </w:r>
    </w:p>
    <w:p>
      <w:pPr>
        <w:ind w:firstLine="420"/>
      </w:pPr>
      <w:r>
        <w:t>（1）三层混合预测架构。 融合时序卷积网络（TCN）数据驱动模型、Dalla Man七隔室生理模型和贝叶斯模型平均（BMA）动态加权策略。TCN模型在OhioT1DM和HUPA两个公开数据集上达到MAE 0.552 mmol/L、Clarke误差网格A区92.4%的预测精度；Dalla Man模型从生理机制约束预测边界，两者通过BMA根据数据充分性动态融合。</w:t>
      </w:r>
    </w:p>
    <w:p>
      <w:pPr>
        <w:ind w:firstLine="420"/>
      </w:pPr>
      <w:r>
        <w:t>（2）Dalla Man模型五项关键增强。 引入Michaelis-Menten饱和动力学替代线性胰岛素依赖利用（Uid），从根本上解决高血糖区间的"断崖式下降"问题；添加胃排空速率上限约束（VmaxGastric），防止超大餐场景的预测失控；引入内源性胰岛素分泌参数（sigma），建模2型糖尿病患者的残余β细胞功能；实现长效胰岛素指数加权建模；设计活动量自适应参数调节机制。通过胰岛素敏感因子（ISF）驱动的isfFactor，实现6项模型参数的个性化自适应。</w:t>
      </w:r>
    </w:p>
    <w:p>
      <w:pPr>
        <w:ind w:firstLine="420"/>
      </w:pPr>
      <w:r>
        <w:t>（3）数据质量感知的四层增量自学习机制。 提出数据完整度（dataCompleteness）概念，区分纯血糖数据（C=0.3）、有饮食标注数据（C=0.6）和完整特征数据（C=1.0）。四层架构包括：统计学习层（EWMA+卡尔曼滤波+贝叶斯后验估计）、时段模式学习层（24小时偏离模式）、增量残差学习层（304参数SGD神经网络）和在线梯度下降层，修正强度随数据完整度和累积天数自适应调整。</w:t>
      </w:r>
    </w:p>
    <w:p>
      <w:pPr>
        <w:ind w:firstLine="420"/>
      </w:pPr>
      <w:r>
        <w:t>（4）完整的Android移动端系统工程。 实现了参考xDrip+的40+品牌CGM通知栏监听引擎、前台服务持久后台运行机制、Room数据库15表设计、Jetpack Compose + Material Design 3用户界面、自然语言AI记录助手、多级预警系统（含自动紧急拨号）等完整功能。</w:t>
      </w:r>
    </w:p>
    <w:p>
      <w:pPr>
        <w:ind w:firstLine="420"/>
      </w:pPr>
      <w:r>
        <w:t>实验结果表明，系统在5天实测数据（1,438条血糖记录）上的空腹基线学习值为7.1 mmol/L，血糖变异系数CV为21.2%，增量学习损失收敛至0.024。个性化参数下60g碳水+4U胰岛素餐的预测峰值从群体参数的14+ mmol/L优化至9-10 mmol/L，与实际临床观察一致。系统APK大小为82 MB，运行时内存占用低于250 MB，实时监测延迟低于1秒，前台服务24小时存活率超过95%，达到了商业化移动医疗应用的工程标准。</w:t>
      </w:r>
    </w:p>
    <w:p>
      <w:pPr>
        <w:ind w:firstLine="420"/>
      </w:pPr>
      <w:r>
        <w:t>关键词：血糖预测；糖尿病管理；时序卷积网络；Dalla Man模型；Michaelis-Menten动力学；增量学习；贝叶斯模型平均；移动端人工智能</w:t>
      </w:r>
    </w:p>
    <w:p>
      <w:pPr>
        <w:jc w:val="center"/>
      </w:pPr>
      <w:r>
        <w:rPr>
          <w:rFonts w:ascii="黑体" w:hAnsi="黑体"/>
          <w:b/>
          <w:sz w:val="32"/>
        </w:rPr>
        <w:t>Abstract</w:t>
      </w:r>
    </w:p>
    <w:p>
      <w:pPr>
        <w:ind w:firstLine="420"/>
      </w:pPr>
      <w:r>
        <w:t>Diabetes mellitus represents a global public health challenge, with the International Diabetes Federation (IDF) reporting 537 million affected adults worldwide. China bears the heaviest burden with over 140 million diagnosed patients. While Continuous Glucose Monitoring (CGM) technology provides 288-1,440 data points per day, enabling data-driven precision glucose management, effectively fusing multi-source heterogeneous data (CGM, meals, insulin, exercise) to construct accurate and personalized glucose prediction models remains an open research problem.</w:t>
      </w:r>
    </w:p>
    <w:p>
      <w:pPr>
        <w:ind w:firstLine="420"/>
      </w:pPr>
      <w:r>
        <w:t>This thesis presents TangDun, an intelligent glucose prediction and health management system for diabetic patients, featuring the following core innovations:</w:t>
      </w:r>
    </w:p>
    <w:p>
      <w:pPr>
        <w:ind w:firstLine="420"/>
      </w:pPr>
      <w:r>
        <w:t>(1) Three-tier hybrid prediction architecture. The system integrates a Temporal Convolutional Network (TCN) data-driven model, the Dalla Man seven-compartment physiological model, and Bayesian Model Averaging (BMA) with dynamic weighting. The TCN model achieves MAE of 0.552 mmol/L and Clarke Error Grid Zone A accuracy of 92.4% on the OhioT1DM and HUPA datasets. The Dalla Man model constrains prediction boundaries through physiological mechanisms, and BMA dynamically fuses both based on data sufficiency.</w:t>
      </w:r>
    </w:p>
    <w:p>
      <w:pPr>
        <w:ind w:firstLine="420"/>
      </w:pPr>
      <w:r>
        <w:t>(2) Five key enhancements to the Dalla Man model. Michaelis-Menten saturation kinetics replace linear insulin-dependent utilization (Uid), fundamentally resolving the "cliff-drop" problem in hyperglycemic ranges. A gastric emptying rate ceiling (VmaxGastric) prevents prediction runaway in large-meal scenarios. An endogenous insulin secretion parameter (sigma) models residual β-cell function in T2DM patients. Long-acting insulin is modeled via exponential weighting, and activity-level-adaptive parameter modulation is implemented. Through the ISF-driven isfFactor, six model parameters achieve personalized adaptation.</w:t>
      </w:r>
    </w:p>
    <w:p>
      <w:pPr>
        <w:ind w:firstLine="420"/>
      </w:pPr>
      <w:r>
        <w:t>(3) Data-quality-aware four-layer incremental self-learning mechanism. The dataCompleteness concept distinguishes pure glucose data (C=0.3), meal-annotated data (C=0.6), and complete feature data (C=1.0). The four-layer architecture comprises: statistical learning (EWMA + Kalman filter + Bayesian posterior), hourly pattern learning (24-hour deviation patterns), incremental residual learning (304-parameter SGD neural network), and online gradient descent, with adaptation strength modulated by data completeness and cumulative data days.</w:t>
      </w:r>
    </w:p>
    <w:p>
      <w:pPr>
        <w:ind w:firstLine="420"/>
      </w:pPr>
      <w:r>
        <w:t>(4) Complete Android mobile system engineering. The system implements a 40+ brand CGM notification listening engine referencing xDrip+, foreground service persistent background operation, Room database with 15 tables, Jetpack Compose + Material Design 3 UI, natural language AI recording assistant, multi-level alert system with automatic emergency dialing, and other comprehensive features.</w:t>
      </w:r>
    </w:p>
    <w:p>
      <w:pPr>
        <w:ind w:firstLine="420"/>
      </w:pPr>
      <w:r>
        <w:t>Experimental results over 5 days of real-world data (1,438 glucose records) demonstrate fasting baseline learning of 7.1 mmol/L, glucose variability CV of 21.2%, and incremental learning loss convergence to 0.024. Under personalized parameters, the predicted peak for a 60g carbohydrate + 4U insulin meal decreased from 14+ mmol/L (population parameters) to 9-10 mmol/L, consistent with actual clinical observations. The APK is 82 MB, runtime memory is under 250 MB, real-time monitoring latency is under 1 second, and foreground service 24-hour survival rate exceeds 95%, meeting the engineering standards for commercial mobile health applications.</w:t>
      </w:r>
    </w:p>
    <w:p>
      <w:pPr>
        <w:ind w:firstLine="420"/>
      </w:pPr>
      <w:r>
        <w:t>Keywords: Blood glucose prediction; Diabetes management; Temporal Convolutional Network; Dalla Man model; Michaelis-Menten kinetics; Incremental learning; Bayesian Model Averaging; Mobile AI</w:t>
      </w:r>
    </w:p>
    <w:p>
      <w:pPr>
        <w:ind w:firstLine="420"/>
      </w:pPr>
      <w:r>
        <w:t>1. 绪论</w:t>
      </w:r>
    </w:p>
    <w:p>
      <w:pPr>
        <w:ind w:firstLine="420"/>
      </w:pPr>
      <w:r>
        <w:t>1.1 研究背景与意义</w:t>
      </w:r>
    </w:p>
    <w:p>
      <w:pPr>
        <w:ind w:firstLine="420"/>
      </w:pPr>
      <w:r>
        <w:t>1.2 国内外研究现状</w:t>
      </w:r>
    </w:p>
    <w:p>
      <w:pPr>
        <w:ind w:firstLine="420"/>
      </w:pPr>
      <w:r>
        <w:t>1.3 存在的主要问题</w:t>
      </w:r>
    </w:p>
    <w:p>
      <w:pPr>
        <w:ind w:firstLine="420"/>
      </w:pPr>
      <w:r>
        <w:t>1.4 本文主要工作与创新点</w:t>
      </w:r>
    </w:p>
    <w:p>
      <w:pPr>
        <w:ind w:firstLine="420"/>
      </w:pPr>
      <w:r>
        <w:t>1.5 论文组织结构</w:t>
      </w:r>
    </w:p>
    <w:p>
      <w:pPr>
        <w:ind w:firstLine="420"/>
      </w:pPr>
      <w:r>
        <w:t>2. 相关工作</w:t>
      </w:r>
    </w:p>
    <w:p>
      <w:pPr>
        <w:ind w:firstLine="420"/>
      </w:pPr>
      <w:r>
        <w:t>2.1 血糖预测模型</w:t>
      </w:r>
    </w:p>
    <w:p>
      <w:pPr>
        <w:ind w:firstLine="420"/>
      </w:pPr>
      <w:r>
        <w:t>2.2 生理药代动力学模型</w:t>
      </w:r>
    </w:p>
    <w:p>
      <w:pPr>
        <w:ind w:firstLine="420"/>
      </w:pPr>
      <w:r>
        <w:t>2.3 在线学习与模型个性化</w:t>
      </w:r>
    </w:p>
    <w:p>
      <w:pPr>
        <w:ind w:firstLine="420"/>
      </w:pPr>
      <w:r>
        <w:t>2.4 移动端深度学习部署</w:t>
      </w:r>
    </w:p>
    <w:p>
      <w:pPr>
        <w:ind w:firstLine="420"/>
      </w:pPr>
      <w:r>
        <w:t>2.5 CGM数据采集技术</w:t>
      </w:r>
    </w:p>
    <w:p>
      <w:pPr>
        <w:ind w:firstLine="420"/>
      </w:pPr>
      <w:r>
        <w:t>3. 系统架构</w:t>
      </w:r>
    </w:p>
    <w:p>
      <w:pPr>
        <w:ind w:firstLine="420"/>
      </w:pPr>
      <w:r>
        <w:t>3.1 整体架构设计</w:t>
      </w:r>
    </w:p>
    <w:p>
      <w:pPr>
        <w:ind w:firstLine="420"/>
      </w:pPr>
      <w:r>
        <w:t>3.2 数据采集层</w:t>
      </w:r>
    </w:p>
    <w:p>
      <w:pPr>
        <w:ind w:firstLine="420"/>
      </w:pPr>
      <w:r>
        <w:t>3.3 数据持久化层</w:t>
      </w:r>
    </w:p>
    <w:p>
      <w:pPr>
        <w:ind w:firstLine="420"/>
      </w:pPr>
      <w:r>
        <w:t>3.4 业务逻辑层</w:t>
      </w:r>
    </w:p>
    <w:p>
      <w:pPr>
        <w:ind w:firstLine="420"/>
      </w:pPr>
      <w:r>
        <w:t>3.5 用户界面层</w:t>
      </w:r>
    </w:p>
    <w:p>
      <w:pPr>
        <w:ind w:firstLine="420"/>
      </w:pPr>
      <w:r>
        <w:t>3.6 后台服务层</w:t>
      </w:r>
    </w:p>
    <w:p>
      <w:pPr>
        <w:ind w:firstLine="420"/>
      </w:pPr>
      <w:r>
        <w:t>4. 核心算法</w:t>
      </w:r>
    </w:p>
    <w:p>
      <w:pPr>
        <w:ind w:firstLine="420"/>
      </w:pPr>
      <w:r>
        <w:t>4.1 问题形式化定义</w:t>
      </w:r>
    </w:p>
    <w:p>
      <w:pPr>
        <w:ind w:firstLine="420"/>
      </w:pPr>
      <w:r>
        <w:t>4.2 多源特征提取</w:t>
      </w:r>
    </w:p>
    <w:p>
      <w:pPr>
        <w:ind w:firstLine="420"/>
      </w:pPr>
      <w:r>
        <w:t>4.3 TCN时序卷积网络</w:t>
      </w:r>
    </w:p>
    <w:p>
      <w:pPr>
        <w:ind w:firstLine="420"/>
      </w:pPr>
      <w:r>
        <w:t>4.4 Dalla Man七隔室生理模型</w:t>
      </w:r>
    </w:p>
    <w:p>
      <w:pPr>
        <w:ind w:firstLine="420"/>
      </w:pPr>
      <w:r>
        <w:t>4.5 BMA融合策略</w:t>
      </w:r>
    </w:p>
    <w:p>
      <w:pPr>
        <w:ind w:firstLine="420"/>
      </w:pPr>
      <w:r>
        <w:t>4.6 增量自学习机制</w:t>
      </w:r>
    </w:p>
    <w:p>
      <w:pPr>
        <w:ind w:firstLine="420"/>
      </w:pPr>
      <w:r>
        <w:t>5. 系统实现</w:t>
      </w:r>
    </w:p>
    <w:p>
      <w:pPr>
        <w:ind w:firstLine="420"/>
      </w:pPr>
      <w:r>
        <w:t>5.1 开发环境与工具链</w:t>
      </w:r>
    </w:p>
    <w:p>
      <w:pPr>
        <w:ind w:firstLine="420"/>
      </w:pPr>
      <w:r>
        <w:t>5.2 实时血糖监测引擎</w:t>
      </w:r>
    </w:p>
    <w:p>
      <w:pPr>
        <w:ind w:firstLine="420"/>
      </w:pPr>
      <w:r>
        <w:t>5.3 数据导入与预处理</w:t>
      </w:r>
    </w:p>
    <w:p>
      <w:pPr>
        <w:ind w:firstLine="420"/>
      </w:pPr>
      <w:r>
        <w:t>5.4 预测引擎实现</w:t>
      </w:r>
    </w:p>
    <w:p>
      <w:pPr>
        <w:ind w:firstLine="420"/>
      </w:pPr>
      <w:r>
        <w:t>5.5 预警系统实现</w:t>
      </w:r>
    </w:p>
    <w:p>
      <w:pPr>
        <w:ind w:firstLine="420"/>
      </w:pPr>
      <w:r>
        <w:t>5.6 AI智能助手</w:t>
      </w:r>
    </w:p>
    <w:p>
      <w:pPr>
        <w:ind w:firstLine="420"/>
      </w:pPr>
      <w:r>
        <w:t>5.7 数据共享与报告</w:t>
      </w:r>
    </w:p>
    <w:p>
      <w:pPr>
        <w:ind w:firstLine="420"/>
      </w:pPr>
      <w:r>
        <w:t>6. 实验与分析</w:t>
      </w:r>
    </w:p>
    <w:p>
      <w:pPr>
        <w:ind w:firstLine="420"/>
      </w:pPr>
      <w:r>
        <w:t>6.1 实验设计与数据集</w:t>
      </w:r>
    </w:p>
    <w:p>
      <w:pPr>
        <w:ind w:firstLine="420"/>
      </w:pPr>
      <w:r>
        <w:t>6.2 TCN模型性能评估</w:t>
      </w:r>
    </w:p>
    <w:p>
      <w:pPr>
        <w:ind w:firstLine="420"/>
      </w:pPr>
      <w:r>
        <w:t>6.3 Dalla Man个性化效果验证</w:t>
      </w:r>
    </w:p>
    <w:p>
      <w:pPr>
        <w:ind w:firstLine="420"/>
      </w:pPr>
      <w:r>
        <w:t>6.4 增量学习效果分析</w:t>
      </w:r>
    </w:p>
    <w:p>
      <w:pPr>
        <w:ind w:firstLine="420"/>
      </w:pPr>
      <w:r>
        <w:t>6.5 消融实验</w:t>
      </w:r>
    </w:p>
    <w:p>
      <w:pPr>
        <w:ind w:firstLine="420"/>
      </w:pPr>
      <w:r>
        <w:t>6.6 系统性能测试</w:t>
      </w:r>
    </w:p>
    <w:p>
      <w:pPr>
        <w:ind w:firstLine="420"/>
      </w:pPr>
      <w:r>
        <w:t>6.7 用户体验评估</w:t>
      </w:r>
    </w:p>
    <w:p>
      <w:pPr>
        <w:ind w:firstLine="420"/>
      </w:pPr>
      <w:r>
        <w:t>7. 讨论</w:t>
      </w:r>
    </w:p>
    <w:p>
      <w:pPr>
        <w:ind w:firstLine="420"/>
      </w:pPr>
      <w:r>
        <w:t>7.1 模型局限性分析</w:t>
      </w:r>
    </w:p>
    <w:p>
      <w:pPr>
        <w:ind w:firstLine="420"/>
      </w:pPr>
      <w:r>
        <w:t>7.2 临床意义与应用前景</w:t>
      </w:r>
    </w:p>
    <w:p>
      <w:pPr>
        <w:ind w:firstLine="420"/>
      </w:pPr>
      <w:r>
        <w:t>7.3 与现有系统的对比</w:t>
      </w:r>
    </w:p>
    <w:p>
      <w:pPr>
        <w:ind w:firstLine="420"/>
      </w:pPr>
      <w:r>
        <w:t>7.4 未来研究方向</w:t>
      </w:r>
    </w:p>
    <w:p>
      <w:pPr>
        <w:ind w:firstLine="420"/>
      </w:pPr>
      <w:r>
        <w:t>8. 结论</w:t>
      </w:r>
    </w:p>
    <w:p>
      <w:pPr>
        <w:ind w:firstLine="420"/>
      </w:pPr>
      <w:r>
        <w:t>参考文献</w:t>
      </w:r>
    </w:p>
    <w:p>
      <w:pPr>
        <w:ind w:firstLine="420"/>
      </w:pPr>
      <w:r>
        <w:t>致谢</w:t>
      </w:r>
    </w:p>
    <w:p>
      <w:pPr>
        <w:ind w:firstLine="420"/>
      </w:pPr>
      <w:r>
        <w:t>附录</w:t>
      </w:r>
    </w:p>
    <w:p>
      <w:r>
        <w:rPr>
          <w:rFonts w:ascii="黑体" w:hAnsi="黑体"/>
          <w:b/>
          <w:sz w:val="24"/>
        </w:rPr>
        <w:t>1.1 研究背景与意义</w:t>
      </w:r>
    </w:p>
    <w:p>
      <w:r>
        <w:rPr>
          <w:b/>
          <w:sz w:val="22"/>
        </w:rPr>
        <w:t>1.1.1 糖尿病的全球流行与疾病负担</w:t>
      </w:r>
    </w:p>
    <w:p>
      <w:pPr>
        <w:ind w:firstLine="420"/>
      </w:pPr>
      <w:r>
        <w:t>糖尿病（Diabetes Mellitus, DM）是以慢性高血糖为特征的代谢性疾病群，其病理生理核心是胰岛素分泌缺陷、胰岛素作用障碍或两者兼具。根据世界卫生组织（WHO）分类标准，糖尿病主要分为1型糖尿病（T1DM，占5-10%）、2型糖尿病（T2DM，占90-95%）、妊娠期糖尿病和其他特殊类型糖尿病。</w:t>
      </w:r>
    </w:p>
    <w:p>
      <w:pPr>
        <w:ind w:firstLine="420"/>
      </w:pPr>
      <w:r>
        <w:t>国际糖尿病联盟（IDF）第11版《全球糖尿病地图》（2025年）数据显示，全球20-79岁成年糖尿病患者人数已达5.37亿，患病率为10.5%。预计到2045年，这一数字将增至7.83亿。中国以超过1.4亿成年糖尿病患者位居全球首位，患病率约为12.8%，其中T2DM占比超过95%。</w:t>
      </w:r>
    </w:p>
    <w:p>
      <w:pPr>
        <w:ind w:firstLine="420"/>
      </w:pPr>
      <w:r>
        <w:t>根据《中国2型糖尿病防治指南（2024版）》的最新数据，中国糖尿病知晓率仅为36.5%（约5,110万人知晓自身病情），治疗率为32.2%（约4,510万人接受治疗），血糖控制达标率（HbA1c &lt; 7.0%）仅为49.2%。这意味着超过一半的中国糖尿病患者未能达到指南推荐的控制目标，面临着严重的并发症风险。</w:t>
      </w:r>
    </w:p>
    <w:p>
      <w:pPr>
        <w:ind w:firstLine="420"/>
      </w:pPr>
      <w:r>
        <w:t>糖尿病的慢性并发症遍及全身各个系统。微血管并发症（视网膜病变、肾病、神经病变）和大血管并发症（冠心病、脑卒中、外周动脉疾病）是糖尿病患者致残和死亡的主要原因。据IDF估计，2025年全球糖尿病相关医疗支出已达9,660亿美元，占全球卫生总支出的11.5%。在中国，糖尿病直接医疗费用每年超过6,000亿元人民币，给患者、家庭和社会带来了巨大的经济负担。</w:t>
      </w:r>
    </w:p>
    <w:p>
      <w:pPr>
        <w:ind w:firstLine="420"/>
      </w:pPr>
      <w:r>
        <w:t>在此背景下，如何通过技术创新提高糖尿病管理的效率和质量，降低并发症风险，改善患者生活质量，已成为数字健康领域的重要研究方向。</w:t>
      </w:r>
    </w:p>
    <w:p>
      <w:r>
        <w:rPr>
          <w:b/>
          <w:sz w:val="22"/>
        </w:rPr>
        <w:t>1.1.2 持续血糖监测技术的革命</w:t>
      </w:r>
    </w:p>
    <w:p>
      <w:pPr>
        <w:ind w:firstLine="420"/>
      </w:pPr>
      <w:r>
        <w:t>传统血糖监测依赖指尖采血（Self-Monitoring of Blood Glucose, SMBG），患者每日需进行3-7次指尖穿刺，不仅带来疼痛和不便，更无法捕捉血糖的动态变化趋势。糖化血红蛋白（HbA1c）虽能反映2-3个月的平均血糖水平，但无法提供血糖波动信息和低血糖事件记录。</w:t>
      </w:r>
    </w:p>
    <w:p>
      <w:pPr>
        <w:ind w:firstLine="420"/>
      </w:pPr>
      <w:r>
        <w:t>持续血糖监测（Continuous Glucose Monitoring, CGM）技术的出现是糖尿病管理领域的革命性突破。CGM系统通过皮下植入的微型传感器（通常为葡萄糖氧化酶电极），每1-5分钟自动测量组织间液葡萄糖浓度，每日可产生288-1,440个血糖数据点，提供了近乎连续的血糖曲线。相比SMBG，CGM不仅能记录血糖的绝对数值，还能揭示血糖变化的方向、速率和加速度，使得血糖变异性（Glycemic Variability, GV）的量化评估成为可能。</w:t>
      </w:r>
    </w:p>
    <w:p>
      <w:pPr>
        <w:ind w:firstLine="420"/>
      </w:pPr>
      <w:r>
        <w:t>2019年发布的《CGM数据解读国际共识》（Battelino et al., Diabetes Care, 2019）提出了标准化的CGM核心指标，其中目标范围内时间（Time In Range, TIR，血糖3.9-10.0 mmol/L的比例）已被确立为继HbA1c之后的第二个核心血糖控制指标。临床研究证实，TIR每增加10%与HbA1c降低约0.5%相关，TIR &gt; 70%与糖尿病并发症风险显著降低相关。</w:t>
      </w:r>
    </w:p>
    <w:p>
      <w:pPr>
        <w:ind w:firstLine="420"/>
      </w:pPr>
      <w:r>
        <w:t>目前全球市场上的主流CGM系统包括：Dexcom G6/G7（美国，10天寿命，MARD 8.2-9.0%）、Abbott FreeStyle Libre 2/3（美国，14天寿命，MARD 9.2-9.7%）、Medtronic Guardian Connect（美国，7天寿命，MARD 8.7-10.6%）、欧态健康Aidex（中国，14天寿命，MARD 9.1%）、微泰医疗Medtrum A6（中国，14天寿命，MARD 9.5%）、鱼跃医疗Anytime CGM（中国，14天寿命）和硅基仿生Suji CGM（中国，14天寿命）等。CGM技术的国产化和价格下降正在推动其在中国糖尿病患者中的快速普及。</w:t>
      </w:r>
    </w:p>
    <w:p>
      <w:r>
        <w:rPr>
          <w:b/>
          <w:sz w:val="22"/>
        </w:rPr>
        <w:t>1.1.3 血糖预测的临床价值与技术挑战</w:t>
      </w:r>
    </w:p>
    <w:p>
      <w:pPr>
        <w:ind w:firstLine="420"/>
      </w:pPr>
      <w:r>
        <w:t>准确的血糖预测在糖尿病管理全流程中具有多维度的重要临床价值：</w:t>
      </w:r>
    </w:p>
    <w:p>
      <w:pPr>
        <w:ind w:firstLine="420"/>
      </w:pPr>
      <w:r>
        <w:t>预测性低血糖预警。 严重低血糖（血糖 &lt; 3.0 mmol/L）可导致意识障碍、昏迷甚至死亡，是糖尿病患者（尤其是使用胰岛素治疗者）面临的最紧迫风险。提前15-30分钟的低血糖预警可为患者提供关键的干预时间窗口（补充15-20g速效碳水），避免严重事件的发生。研究表明，每减少一次严重低血糖事件可为患者节省平均1,200元的急诊费用和不可量化的生命风险。</w:t>
      </w:r>
    </w:p>
    <w:p>
      <w:pPr>
        <w:ind w:firstLine="420"/>
      </w:pPr>
      <w:r>
        <w:t>餐时胰岛素剂量决策。 餐前胰岛素剂量的精确计算需要同时考虑当前血糖、目标血糖、计划碳水摄入量、胰岛素敏感因子（ISF）和胰岛素-碳水比率（ICR）。准确的餐后血糖预测可以帮助患者和临床决策支持系统确定最优胰岛素剂量，实现餐后血糖平稳控制。</w:t>
      </w:r>
    </w:p>
    <w:p>
      <w:pPr>
        <w:ind w:firstLine="420"/>
      </w:pPr>
      <w:r>
        <w:t>基础率调整指导。 对于使用胰岛素泵的患者，预测性血糖趋势分析可为基础率调整提供客观依据。通过分析连续多日的血糖模式，识别基础率过高（导致夜间低血糖）或过低（导致清晨高血糖）的时段。</w:t>
      </w:r>
    </w:p>
    <w:p>
      <w:pPr>
        <w:ind w:firstLine="420"/>
      </w:pPr>
      <w:r>
        <w:t>长期治疗方案优化。 汇总数周至数月的预测性能数据和实际血糖控制指标（TIR、CV、GRI等），可为临床医师调整整体治疗方案（口服药种类和剂量、胰岛素方案、生活方式干预策略）提供定量依据。</w:t>
      </w:r>
    </w:p>
    <w:p>
      <w:pPr>
        <w:ind w:firstLine="420"/>
      </w:pPr>
      <w:r>
        <w:t>然而，血糖预测面临着重大的技术挑战。血糖动态系统受饮食（碳水含量、升糖指数、脂肪/蛋白质含量）、胰岛素（类型、剂量、注射部位和时间）、运动（类型、强度、持续时间）、情绪压力、激素波动、睡眠质量、并发疾病、药物相互作用等数十种因素的影响，系统输入-输出关系呈现高度非线性和时变性。更为关键的是，个体间差异（Inter-individual Variability）和个体内差异（Intra-individual Variability）显著——同一患者在不同日期摄入相同食物可能产生完全不同的血糖响应曲线。这些特性使得血糖预测远非简单的时序外推问题，而是需要融合先验生理知识和数据驱动方法的复杂系统工程。</w:t>
      </w:r>
    </w:p>
    <w:p>
      <w:r>
        <w:rPr>
          <w:b/>
          <w:sz w:val="22"/>
        </w:rPr>
        <w:t>1.1.4 研究意义</w:t>
      </w:r>
    </w:p>
    <w:p>
      <w:pPr>
        <w:ind w:firstLine="420"/>
      </w:pPr>
      <w:r>
        <w:t>本研究的理论意义在于：（1）提出了数据质量感知的增量自学习框架，解决了传统血糖预测系统在不同数据完整度条件下性能退化的难题；（2）在Dalla Man生理模型中引入Michaelis-Menten动力学和胃排空Vmax约束，提升了模型对大餐和极端血糖状态下的预测鲁棒性；（3）通过ISF驱动的isfFactor建立了从临床参数到模型参数的映射桥梁。</w:t>
      </w:r>
    </w:p>
    <w:p>
      <w:pPr>
        <w:ind w:firstLine="420"/>
      </w:pPr>
      <w:r>
        <w:t>本研究的实践意义在于：（1）为超过1.4亿中国糖尿病患者提供了一款可直接安装使用的智能血糖管理移动应用；（2）验证了在消费级Android手机上部署复杂AI模型的技术可行性；（3）为移动医疗领域的数据质量自适应学习和多模态数据融合提供了可复用的工程范式。</w:t>
      </w:r>
    </w:p>
    <w:p>
      <w:r>
        <w:rPr>
          <w:rFonts w:ascii="黑体" w:hAnsi="黑体"/>
          <w:b/>
          <w:sz w:val="24"/>
        </w:rPr>
        <w:t>1.2 国内外研究现状</w:t>
      </w:r>
    </w:p>
    <w:p>
      <w:r>
        <w:rPr>
          <w:b/>
          <w:sz w:val="22"/>
        </w:rPr>
        <w:t>1.2.1 数据驱动的血糖预测方法</w:t>
      </w:r>
    </w:p>
    <w:p>
      <w:pPr>
        <w:ind w:firstLine="420"/>
      </w:pPr>
      <w:r>
        <w:t>数据驱动的血糖预测方法直接从历史数据中学习输入-输出映射关系，不需要显式建模生理过程。根据模型复杂度，可分为统计方法和深度学习方法两大类。</w:t>
      </w:r>
    </w:p>
    <w:p>
      <w:pPr>
        <w:ind w:firstLine="420"/>
      </w:pPr>
      <w:r>
        <w:t>统计方法。 Sparacino等人（2007）首次系统考察了血糖可预测性问题，使用自回归（AR）模型在30分钟预测时域上达到均方根误差（RMSE）约1.0 mmol/L。Eren-Oruklu等人（2009）使用ARIMA模型进行自适应血糖预测，在T1DM患者数据上验证了方法的有效性。Bremer和Gough（1999）使用自回归移动平均模型进行血糖预测，证明30分钟内的短期血糖具有显著可预测性。虽然统计方法计算效率高、可解释性强，但其线性假设限制了在高度非线性血糖动态中的应用。</w:t>
      </w:r>
    </w:p>
    <w:p>
      <w:pPr>
        <w:ind w:firstLine="420"/>
      </w:pPr>
      <w:r>
        <w:t>深度学习方法。 随着CGM数据的丰富和深度学习技术的成熟，研究者开始将各种神经网络架构应用于血糖预测。Li等人（2019, 2020）提出了GluNet框架，使用卷积神经网络（CNN）提取CGM数据的局部模式，结合长短期记忆网络（LSTM）捕捉长期依赖，在OhioT1DM数据集上达到MAE 0.68 mmol/L（30分钟预测时域）。Zhu等人（2022）将Transformer架构引入血糖预测，利用Self-Attention机制建模血糖动态中的长期依赖关系。</w:t>
      </w:r>
    </w:p>
    <w:p>
      <w:pPr>
        <w:ind w:firstLine="420"/>
      </w:pPr>
      <w:r>
        <w:t>TCN方法。 Bai、Kolter和Koltun（2018）在序列建模的基准评测中证明，时序卷积网络（Temporal Convolutional Network, TCN）通过膨胀卷积（Dilated Convolution）和残差连接（Residual Connection），能够以更少的参数和更快的训练速度实现与LSTM相当甚至更优的序列建模性能。TCN在血糖预测领域的应用近年受到关注，其并行化训练和固定的计算图使得在移动端的ONNX Runtime推理部署成为可能。</w:t>
      </w:r>
    </w:p>
    <w:p>
      <w:r>
        <w:rPr>
          <w:b/>
          <w:sz w:val="22"/>
        </w:rPr>
        <w:t>1.2.2 生理模型驱动方法</w:t>
      </w:r>
    </w:p>
    <w:p>
      <w:pPr>
        <w:ind w:firstLine="420"/>
      </w:pPr>
      <w:r>
        <w:t>生理模型基于对葡萄糖-胰岛素代谢动力学的数学描述，具有明确的可解释性和外推能力。</w:t>
      </w:r>
    </w:p>
    <w:p>
      <w:pPr>
        <w:ind w:firstLine="420"/>
      </w:pPr>
      <w:r>
        <w:t>Bergman最小模型（Bergman et al., 1979）是首个广泛应用的葡萄糖-胰岛素动力学数学模型，使用3个常微分方程描述血糖浓度G、胰岛素效应X和胰岛素浓度I的动态关系。其核心insulin sensitivity index（SI）成为胰岛素敏感性评估的金标准。然而，最小模型对餐后葡萄糖吸收的描述过于简化，不适合需要精细模拟的血糖管理场景。</w:t>
      </w:r>
    </w:p>
    <w:p>
      <w:pPr>
        <w:ind w:firstLine="420"/>
      </w:pPr>
      <w:r>
        <w:t>Hovorka模型（Hovorka et al., 2002, 2004）采用6个隔室区分葡萄糖子系统（2隔室）、胰岛素子系统（2隔室）和胰岛素作用（2隔室），是首个在闭环胰岛素输注系统中获得临床验证的生理模型。Hovorka模型对低血糖区间的预测准确性优于早期模型，被广泛应用于人工胰腺研究。</w:t>
      </w:r>
    </w:p>
    <w:p>
      <w:pPr>
        <w:ind w:firstLine="420"/>
      </w:pPr>
      <w:r>
        <w:t>Dalla Man模型（Dalla Man et al., 2006, 2007）采用7个隔室——胃肠道2隔室（固体胃、液体肠）、葡萄糖系统3隔室（血浆葡萄糖、快速平衡组织、慢速平衡组织）和胰岛素系统2隔室（血浆胰岛素、胰岛素作用），是目前最精细的口服葡萄糖耐量试验和混合餐模型。其参数基于150名非糖尿病和T2DM患者的示踪实验数据估计，具有坚实的生理基础。该模型被FDA于2008年批准的UVa/Padova T1DM模拟器采用为核心代谢模型。</w:t>
      </w:r>
    </w:p>
    <w:p>
      <w:pPr>
        <w:ind w:firstLine="420"/>
      </w:pPr>
      <w:r>
        <w:t>UVa/Padova模拟器（Kovatchev et al., 2009）将Dalla Man模型与CGM传感器误差模型、胰岛素药代动力学模型和患者行为模型集成，构建了完整的虚拟患者群体。2008年，FDA批准该模拟器作为闭环胰岛素输注算法的临床前测试替代平台，这是计算生理学领域的里程碑事件。</w:t>
      </w:r>
    </w:p>
    <w:p>
      <w:r>
        <w:rPr>
          <w:b/>
          <w:sz w:val="22"/>
        </w:rPr>
        <w:t>1.2.3 混合方法</w:t>
      </w:r>
    </w:p>
    <w:p>
      <w:pPr>
        <w:ind w:firstLine="420"/>
      </w:pPr>
      <w:r>
        <w:t>近年来的前沿研究趋势是融合数据驱动模型和生理模型的互补优势。数据驱动模型擅长从大量数据中学习复杂的非线性模式，而生理模型提供了符合物理定律的约束和可解释性。混合方法通常采用两种策略：（1）使用生理模型生成模拟数据扩充训练集；（2）并行运行两个模型，通过加权或门控网络融合输出。贝叶斯模型平均（BMA）是一种理论上优雅的融合策略，通过后验概率对候选模型进行加权，在气象、经济等领域的集成预测中已获得广泛应用，但在血糖预测领域的应用尚属少见。</w:t>
      </w:r>
    </w:p>
    <w:p>
      <w:r>
        <w:rPr>
          <w:b/>
          <w:sz w:val="22"/>
        </w:rPr>
        <w:t>1.2.4 在线学习与个性化</w:t>
      </w:r>
    </w:p>
    <w:p>
      <w:pPr>
        <w:ind w:firstLine="420"/>
      </w:pPr>
      <w:r>
        <w:t>卡尔曼滤波方法。 Facchinetti等人（2010）提出了一种在线自校正CGM降噪方法，使用卡尔曼滤波器根据实时数据调整噪声协方差矩阵，在没有离线校准的条件下实现了CGM信号的在线增强。</w:t>
      </w:r>
    </w:p>
    <w:p>
      <w:pPr>
        <w:ind w:firstLine="420"/>
      </w:pPr>
      <w:r>
        <w:t>迁移学习方法。 Xie和Wang（2020）使用迁移学习将在大规模群体数据上预训练的模型微调到个体患者，在少量个体数据条件下提升了个性化预测精度。</w:t>
      </w:r>
    </w:p>
    <w:p>
      <w:pPr>
        <w:ind w:firstLine="420"/>
      </w:pPr>
      <w:r>
        <w:t>弹性权重巩固。 Kirkpatrick等人（2017）在PNAS上提出了弹性权重巩固（Elastic Weight Consolidation, EWC）算法，依据Fisher信息矩阵估计各参数的重要性权重，在增量学习中对重要参数施加更大的正则化惩罚，从而缓解灾难性遗忘。</w:t>
      </w:r>
    </w:p>
    <w:p>
      <w:r>
        <w:rPr>
          <w:b/>
          <w:sz w:val="22"/>
        </w:rPr>
        <w:t>1.2.5 移动端AI部署</w:t>
      </w:r>
    </w:p>
    <w:p>
      <w:pPr>
        <w:ind w:firstLine="420"/>
      </w:pPr>
      <w:r>
        <w:t>ONNX Runtime。 ONNX Runtime是由Microsoft主导的开源跨平台深度学习推理引擎（2021年稳定版v1.0后持续迭代），支持从PyTorch、TensorFlow、Keras等框架导出的ONNX格式模型，在移动端和边缘设备上实现了高效的神经网络推理。截至2026年，ONNX Runtime Mobile在Android平台上的典型推理延迟为数毫秒至数十毫秒级别，完全满足血糖预测的实时性要求。</w:t>
      </w:r>
    </w:p>
    <w:p>
      <w:pPr>
        <w:ind w:firstLine="420"/>
      </w:pPr>
      <w:r>
        <w:t>xDrip+。 xDrip+是Nightscout Foundation维护的开源Android CGM数据采集和管理项目（2023年活跃分支），通过NotificationListenerService机制读取商业CGM App的状态栏通知，将血糖数据传输至本地数据库和远程Nightscout服务器。其UiBasedCollector架构支持40+品牌CGM系统，是移动端CGM数据采集的工程标杆。</w:t>
      </w:r>
    </w:p>
    <w:p>
      <w:r>
        <w:rPr>
          <w:rFonts w:ascii="黑体" w:hAnsi="黑体"/>
          <w:b/>
          <w:sz w:val="24"/>
        </w:rPr>
        <w:t>1.3 存在的主要问题</w:t>
      </w:r>
    </w:p>
    <w:p>
      <w:pPr>
        <w:ind w:firstLine="420"/>
      </w:pPr>
      <w:r>
        <w:t>基于对现有研究的系统梳理，本文识别出以下待解决问题：</w:t>
      </w:r>
    </w:p>
    <w:p>
      <w:pPr>
        <w:ind w:firstLine="420"/>
      </w:pPr>
      <w:r>
        <w:t>问题一：生理模型的群体参数偏差。 现有Dalla Man模型的参数基于西方人群的示踪实验数据估计（n≈150，含非糖尿病和T2DM患者），但未考虑中国T2DM患者的代谢特征差异（更高的胰岛素抵抗程度、不同的饮食结构和升糖模式）。直接使用群体默认参数可能导致对中国患者的预测偏差。</w:t>
      </w:r>
    </w:p>
    <w:p>
      <w:pPr>
        <w:ind w:firstLine="420"/>
      </w:pPr>
      <w:r>
        <w:t>问题二：个体间差异的适应问题。 同一生理模型的群体参数应用于不同个体时，受个体ISF、ICR、体重（BW）、残余β细胞功能、日常活动水平等差异的影响，预测精度存在显著差异。需要一种系统的方法将用户自报或医护人员设定的临床参数映射为模型参数的个性化调整。</w:t>
      </w:r>
    </w:p>
    <w:p>
      <w:pPr>
        <w:ind w:firstLine="420"/>
      </w:pPr>
      <w:r>
        <w:t>问题三：缺乏数据质量感知的学习机制。 现有在线学习方法通常对所有数据点赋予均等权重，忽略了数据标注完整度的差异。仅有CGM数据（纯血糖）与同时包含饮食和胰岛素记录的数据相比，后者对模型学习有本质上不同的信息价值。不考虑数据质量的等权学习可能导致从不完整数据中学到噪声而非信号。</w:t>
      </w:r>
    </w:p>
    <w:p>
      <w:pPr>
        <w:ind w:firstLine="420"/>
      </w:pPr>
      <w:r>
        <w:t>问题四：特征工程中的数值稳定性问题。 在设计用于增量学习的15维特征向量时，"最近一次胰岛素注射时间"（f11）和"最近一次进食时间"（f13）这样的时间间隔特征在无数据时需要合适的缺省值。若使用一个极大的缺省值（如999），则在神经网络训练的梯度计算中可能引发数值不稳定。</w:t>
      </w:r>
    </w:p>
    <w:p>
      <w:pPr>
        <w:ind w:firstLine="420"/>
      </w:pPr>
      <w:r>
        <w:t>问题五：移动端批量数据导入的学习稳定性。 当用户通过Excel文件导入数天至数周的CGM历史数据时，Room数据库的Flow机制会为每条新插入的记录触发一次数据发布，导致OnlineLearner和IncrementalLearner在短时间内被调用数百至数千次。这种突发性的密集学习不仅消耗计算资源，更可能导致模型对特定数据段的过拟合。</w:t>
      </w:r>
    </w:p>
    <w:p>
      <w:pPr>
        <w:ind w:firstLine="420"/>
      </w:pPr>
      <w:r>
        <w:t>问题六：移动端工程的系统完整性。 从算法原型到可部署的移动端商业化应用之间存在显著的工程鸿沟，包括实时数据采集、持久化后台运行、数据库设计、UI/UX设计、预警机制、数据安全等系统性工程问题需要端到端的解决方案。</w:t>
      </w:r>
    </w:p>
    <w:p>
      <w:r>
        <w:rPr>
          <w:rFonts w:ascii="黑体" w:hAnsi="黑体"/>
          <w:b/>
          <w:sz w:val="24"/>
        </w:rPr>
        <w:t>1.4 本文主要工作与创新点</w:t>
      </w:r>
    </w:p>
    <w:p>
      <w:pPr>
        <w:ind w:firstLine="420"/>
      </w:pPr>
      <w:r>
        <w:t>针对上述问题，本文的主要工作和创新点如下：</w:t>
      </w:r>
    </w:p>
    <w:p>
      <w:pPr>
        <w:ind w:firstLine="420"/>
      </w:pPr>
      <w:r>
        <w:t>创新一：Dalla Man模型的五项增强与ISF驱动个性化。 （1）将线性胰岛素依赖性葡萄糖利用（Uid = k₂·X·G）升级为Michaelis-Menten饱和动力学：Uid = (Vm₀ + VmX·X)·G·18 / (Km₀ + G·18) · BW / (Vg·18)；（2）引入胃排空速率上限约束VmaxGastric，将大餐场景的胃排空线性假设修正为饱和动力学；（3）引入内源性胰岛素分泌参数sigma，建模T2DM患者的残余β细胞功能；（4）实现长效胰岛素（甘精/地特/德谷）的指数加权建模（半衰12h），与传统bolus胰岛素区分处理；（5）设计活动量自适应机制，基于7天滚动平均运动时长动态调节k1和Vm0参数。在此基础上，通过胰岛素敏感因子（ISF）驱动的归一化因子isfFactor = 1.5/ISF，建立从临床参数到6项模型参数（kStomach, VmaxGastric, Vm0, VmX, hepaticBase, kp3）的连续映射函数。</w:t>
      </w:r>
    </w:p>
    <w:p>
      <w:pPr>
        <w:ind w:firstLine="420"/>
      </w:pPr>
      <w:r>
        <w:t>创新二：数据质量感知的四层增量自学习机制。 提出数据完整度（dataCompleteness）的三级量化标准（C = 0.3纯血糖 / 0.6含饮食 / 1.0完整特征），通过EWMA平滑更新。个性化修正强度公式 adaptStrength = 0.7 × max(1 dataDays/14, 0.15) × (1 C × 0.6)，实现从冷启动（强修正，信统计）到稳定期（弱修正，信模型）的平滑过渡。四层学习架构分别为：（L1）统计学习层（空腹基线、餐后峰值、变异度CV%、恢复速率、自适应阈值P5/P95、24h时段模式）；（L2）304参数增量残差网络（15→16→4，SGD+动量+L2正则化），具备损失异常检测（&gt;1000自动Xavier重置）和值域验证（1.0-30.0 mmol/L）保护机制；（L3）在线梯度下降层（对DallaMan模型关键参数进行连续微调）；（L4）数据质量自适应权重层（调节各层的输出融合权重）。</w:t>
      </w:r>
    </w:p>
    <w:p>
      <w:pPr>
        <w:ind w:firstLine="420"/>
      </w:pPr>
      <w:r>
        <w:t>创新三：特征工程的数值稳定性设计。 将f11（最近胰岛素注射时间）和f13（最近进食时间）从原始缺省值999修改为归一化到[0, 1]区间的表示（/120分钟，无数据时设置为1f），从根源上解决神经网络梯度计算中因输入值量级（O(10³)）与网络权重（Xavier初始化O(10⁻¹)）不匹配导致的梯度爆炸问题。</w:t>
      </w:r>
    </w:p>
    <w:p>
      <w:pPr>
        <w:ind w:firstLine="420"/>
      </w:pPr>
      <w:r>
        <w:t>创新四：完整的Android商业化移动端系统工程。 实现了参考xDrip+框架的40+品牌CGM通知栏实时监听引擎（支持LOW/HIGH/整数mmol/L/小数mmol/L/整数mg/dL五种格式识别）、前台服务持久后台运行（START_STICKY + AlarmManager保活 + 开机自启）、15表Room数据库设计（双列时间索引+外键约束）、Jetpack Compose Material Design 3 UI、兼容OpenAI API的AI自然语言记录对话系统、包含预测性预警的多级预警系统（自动紧急拨号+30min冷却）等完整功能模块。</w:t>
      </w:r>
    </w:p>
    <w:p>
      <w:r>
        <w:rPr>
          <w:rFonts w:ascii="黑体" w:hAnsi="黑体"/>
          <w:b/>
          <w:sz w:val="24"/>
        </w:rPr>
        <w:t>1.5 论文组织结构</w:t>
      </w:r>
    </w:p>
    <w:p>
      <w:pPr>
        <w:ind w:firstLine="420"/>
      </w:pPr>
      <w:r>
        <w:t>本文共分八章，各章内容安排如下：</w:t>
      </w:r>
    </w:p>
    <w:p>
      <w:pPr>
        <w:ind w:firstLine="420"/>
      </w:pPr>
      <w:r>
        <w:t>第一章 绪论。 阐述研究背景与意义，综述国内外研究现状，识别存在的主要问题，明确本文的主要工作与创新点。</w:t>
      </w:r>
    </w:p>
    <w:p>
      <w:pPr>
        <w:ind w:firstLine="420"/>
      </w:pPr>
      <w:r>
        <w:t>第二章 相关工作。 从血糖预测模型、生理药代动力学模型、在线学习与模型个性化、移动端深度学习部署和CGM数据采集技术五个维度进行系统性文献综述。</w:t>
      </w:r>
    </w:p>
    <w:p>
      <w:pPr>
        <w:ind w:firstLine="420"/>
      </w:pPr>
      <w:r>
        <w:t>第三章 系统架构。 详细描述糖盾系统的四层架构设计（数据采集层、数据持久化层、业务逻辑层、用户界面层）和后台服务层的工程实现。</w:t>
      </w:r>
    </w:p>
    <w:p>
      <w:pPr>
        <w:ind w:firstLine="420"/>
      </w:pPr>
      <w:r>
        <w:t>第四章 核心算法。 是本文的核心章节，系统阐述问题形式化定义、多源特征提取、TCN模型设计与训练部署、Dalla Man模型五项增强与ISF驱动个性化、BMA融合策略和四层增量自学习机制。</w:t>
      </w:r>
    </w:p>
    <w:p>
      <w:pPr>
        <w:ind w:firstLine="420"/>
      </w:pPr>
      <w:r>
        <w:t>第五章 系统实现。 详细描述各功能模块的Kotlin实现细节，包括实时血糖监测引擎、Xlsx数据导入、预测引擎、预警系统、AI智能助手和数据共享报告功能。</w:t>
      </w:r>
    </w:p>
    <w:p>
      <w:pPr>
        <w:ind w:firstLine="420"/>
      </w:pPr>
      <w:r>
        <w:t>第六章 实验与分析。 在公开数据集和实测数据上进行全面的性能评估，包括TCN模型精度、Dalla Man个性化效果、增量学习收敛性和系统性能指标，并开展消融实验分析各组件贡献。</w:t>
      </w:r>
    </w:p>
    <w:p>
      <w:pPr>
        <w:ind w:firstLine="420"/>
      </w:pPr>
      <w:r>
        <w:t>第七章 讨论。 分析模型局限性，探讨临床意义和应用前景，与现有系统进行对比，展望未来研究方向。</w:t>
      </w:r>
    </w:p>
    <w:p>
      <w:pPr>
        <w:ind w:firstLine="420"/>
      </w:pPr>
      <w:r>
        <w:t>第八章 结论。 总结全文工作，提炼核心贡献。</w:t>
      </w:r>
    </w:p>
    <w:p>
      <w:r>
        <w:rPr>
          <w:rFonts w:ascii="黑体" w:hAnsi="黑体"/>
          <w:b/>
          <w:sz w:val="24"/>
        </w:rPr>
        <w:t>2.1 血糖预测模型</w:t>
      </w:r>
    </w:p>
    <w:p>
      <w:r>
        <w:rPr>
          <w:b/>
          <w:sz w:val="22"/>
        </w:rPr>
        <w:t>2.1.1 问题定义与评价标准</w:t>
      </w:r>
    </w:p>
    <w:p>
      <w:pPr>
        <w:ind w:firstLine="420"/>
      </w:pPr>
      <w:r>
        <w:t>血糖预测的标准化问题定义如下：给定过去k个时间步长的多源观测序列（血糖值G[t-k, t]、胰岛素记录I[t-k, t]、饮食记录M[t-k, t]及其他相关特征），预测未来n个时间步长的血糖值序列G[t+1, t+n]。其中时间步长通常为5分钟（与CGM采样间隔一致），常见预测时域n = {6, 12, 36}（对应30min、60min、180min预测）。</w:t>
      </w:r>
    </w:p>
    <w:p>
      <w:pPr>
        <w:ind w:firstLine="420"/>
      </w:pPr>
      <w:r>
        <w:t>预测性能的评价标准分为数值精度指标和临床精度指标两个层面：</w:t>
      </w:r>
    </w:p>
    <w:p>
      <w:pPr>
        <w:ind w:firstLine="420"/>
      </w:pPr>
      <w:r>
        <w:t>均方根误差（RMSE）：RMSE = √(1/N · Σ(G_pred G_true)²)</w:t>
      </w:r>
    </w:p>
    <w:tbl>
      <w:tblPr>
        <w:tblStyle w:val="TableGrid"/>
        <w:tblW w:type="auto" w:w="0"/>
        <w:tblLook w:firstColumn="1" w:firstRow="1" w:lastColumn="0" w:lastRow="0" w:noHBand="0" w:noVBand="1" w:val="04A0"/>
      </w:tblPr>
      <w:tblGrid>
        <w:gridCol w:w="8634"/>
      </w:tblGrid>
      <w:tr>
        <w:tc>
          <w:tcPr>
            <w:tcW w:type="dxa" w:w="8634"/>
          </w:tcPr>
          <w:p>
            <w:pPr>
              <w:jc w:val="center"/>
            </w:pPr>
            <w:r>
              <w:rPr>
                <w:sz w:val="18"/>
              </w:rPr>
              <w:t>G_pred - G_true</w:t>
            </w:r>
          </w:p>
        </w:tc>
      </w:tr>
    </w:tbl>
    <w:tbl>
      <w:tblPr>
        <w:tblStyle w:val="TableGrid"/>
        <w:tblW w:type="auto" w:w="0"/>
        <w:tblLook w:firstColumn="1" w:firstRow="1" w:lastColumn="0" w:lastRow="0" w:noHBand="0" w:noVBand="1" w:val="04A0"/>
      </w:tblPr>
      <w:tblGrid>
        <w:gridCol w:w="8634"/>
      </w:tblGrid>
      <w:tr>
        <w:tc>
          <w:tcPr>
            <w:tcW w:type="dxa" w:w="8634"/>
          </w:tcPr>
          <w:p>
            <w:pPr>
              <w:jc w:val="center"/>
            </w:pPr>
            <w:r>
              <w:rPr>
                <w:sz w:val="18"/>
              </w:rPr>
              <w:t>(G_pred - G_true)/G_true</w:t>
            </w:r>
          </w:p>
        </w:tc>
      </w:tr>
    </w:tbl>
    <w:p>
      <w:pPr>
        <w:ind w:firstLine="420"/>
      </w:pPr>
      <w:r>
        <w:t>Clarke误差网格分析（EGA）：将预测-实际值对映射到5个临床风险区域（A-E），A+B区比例是核心临床精度指标</w:t>
      </w:r>
    </w:p>
    <w:p>
      <w:pPr>
        <w:ind w:firstLine="420"/>
      </w:pPr>
      <w:r>
        <w:t>Parkes误差网格分析：与Clarke EGA类似，但区域划分更适合CGM数据特性</w:t>
      </w:r>
    </w:p>
    <w:p>
      <w:r>
        <w:rPr>
          <w:b/>
          <w:sz w:val="22"/>
        </w:rPr>
        <w:t>2.1.2 统计方法</w:t>
      </w:r>
    </w:p>
    <w:p>
      <w:pPr>
        <w:ind w:firstLine="420"/>
      </w:pPr>
      <w:r>
        <w:t>AR及其变体。 Bremer和Gough（1999）首次系统研究了血糖时间序列的可预测性，发现30分钟预测时域内血糖具有显著的自相关结构，但预测精度随预测时域延长而快速衰减。Sparacino等人（2007）使用AR模型配合时变系数进行血糖预测，在30分钟预测时域上达到RMSE ≈ 1.0 mmol/L。</w:t>
      </w:r>
    </w:p>
    <w:p>
      <w:pPr>
        <w:ind w:firstLine="420"/>
      </w:pPr>
      <w:r>
        <w:t>ARIMA模型。 Eren-Oruklu等人（2009）使用带外生变量的ARIMAX模型进行血糖预测，将胰岛素剂量和碳水摄入量作为外生变量引入模型。结果表明，ARIMAX相比纯ARIMA在餐后时段的预测精度提升了约15%。</w:t>
      </w:r>
    </w:p>
    <w:p>
      <w:pPr>
        <w:ind w:firstLine="420"/>
      </w:pPr>
      <w:r>
        <w:t>局限性。 统计方法的优势在于计算效率高（预测延迟 &lt; 1ms）、可解释性强（AR系数有明确的时序含义），但其线性建模假设在高变异性和突发事件（进餐、运动、低血糖反弹）中表现不足。此外，多变量之间复杂交互效应的建模需要手动特征工程。</w:t>
      </w:r>
    </w:p>
    <w:p>
      <w:r>
        <w:rPr>
          <w:b/>
          <w:sz w:val="22"/>
        </w:rPr>
        <w:t>2.1.3 深度学习方法</w:t>
      </w:r>
    </w:p>
    <w:p>
      <w:pPr>
        <w:ind w:firstLine="420"/>
      </w:pPr>
      <w:r>
        <w:t>CNN-LSTM混合架构。 Li等人（2019, 2020）在IEEE JBHI上提出的GluNet框架是血糖预测领域的重要里程碑。该框架使用1D-CNN提取CGM数据的多尺度局部波动模式（kernel 3/5/7），然后通过LSTM层捕捉长期时序依赖。在OhioT1DM公开数据集上，GluNet在30分钟预测时域上达到MAE 0.68 mmol/L，Clarke A区90.1%。</w:t>
      </w:r>
    </w:p>
    <w:p>
      <w:pPr>
        <w:ind w:firstLine="420"/>
      </w:pPr>
      <w:r>
        <w:t>Transformer架构。 Zhu等人（2022）将Transformer的Self-Attention机制引入血糖预测任务，利用Attention权重可视化提升模型可解释性。在OhioT1DM数据集上，Transformer达到MAE 0.65 mmol/L（30min），略优于CNN-LSTM，但计算成本更高（参数量约1.5×）。</w:t>
      </w:r>
    </w:p>
    <w:p>
      <w:pPr>
        <w:ind w:firstLine="420"/>
      </w:pPr>
      <w:r>
        <w:t>TCN（时序卷积网络）。 Bai、Kolter和Koltun（2018）的基准评测表明，TCN在多个序列建模任务上达到了与LSTM相当甚至更优的性能。TCN的核心设计要素包括：（1）因果卷积（Causal Convolution），确保时刻t的预测仅依赖过去信息；（2）膨胀卷积（Dilated Convolution），以指数级增长的感受野在不增加参数量的前提下覆盖长时序依赖；（3）残差连接（Residual Connection），缓解深层网络的梯度消失问题。相比LSTM，TCN支持完全的并行化训练、占用更少的内存（无cell state存储），且具有更稳定的梯度行为。</w:t>
      </w:r>
    </w:p>
    <w:p>
      <w:pPr>
        <w:ind w:firstLine="420"/>
      </w:pPr>
      <w:r>
        <w:t>TCN在血糖预测中的优势尤为明显：（1）CGM数据的典型模式（餐后峰、黎明现象等）发生在相对固定的时间尺度上，膨胀卷积天然适合捕捉这些多尺度模式；（2）TCN的并行化推理在移动端ONNX Runtime上的延迟更可控；（3）固定的感受野使得预测行为的可分析性优于LSTM。</w:t>
      </w:r>
    </w:p>
    <w:p>
      <w:r>
        <w:rPr>
          <w:b/>
          <w:sz w:val="22"/>
        </w:rPr>
        <w:t>2.1.4 各类方法比较</w:t>
      </w:r>
    </w:p>
    <w:tbl>
      <w:tblPr>
        <w:tblStyle w:val="TableGrid"/>
        <w:tblW w:type="auto" w:w="0"/>
        <w:tblLook w:firstColumn="1" w:firstRow="1" w:lastColumn="0" w:lastRow="0" w:noHBand="0" w:noVBand="1" w:val="04A0"/>
      </w:tblPr>
      <w:tblGrid>
        <w:gridCol w:w="1233"/>
        <w:gridCol w:w="1233"/>
        <w:gridCol w:w="1233"/>
        <w:gridCol w:w="1233"/>
        <w:gridCol w:w="1233"/>
        <w:gridCol w:w="1233"/>
        <w:gridCol w:w="1233"/>
      </w:tblGrid>
      <w:tr>
        <w:tc>
          <w:tcPr>
            <w:tcW w:type="dxa" w:w="1233"/>
          </w:tcPr>
          <w:p>
            <w:pPr>
              <w:jc w:val="center"/>
            </w:pPr>
            <w:r>
              <w:rPr>
                <w:sz w:val="18"/>
              </w:rPr>
              <w:t>方法</w:t>
            </w:r>
          </w:p>
        </w:tc>
        <w:tc>
          <w:tcPr>
            <w:tcW w:type="dxa" w:w="1233"/>
          </w:tcPr>
          <w:p>
            <w:pPr>
              <w:jc w:val="center"/>
            </w:pPr>
            <w:r>
              <w:rPr>
                <w:sz w:val="18"/>
              </w:rPr>
              <w:t>MAE (mmol/L)</w:t>
            </w:r>
          </w:p>
        </w:tc>
        <w:tc>
          <w:tcPr>
            <w:tcW w:type="dxa" w:w="1233"/>
          </w:tcPr>
          <w:p>
            <w:pPr>
              <w:jc w:val="center"/>
            </w:pPr>
            <w:r>
              <w:rPr>
                <w:sz w:val="18"/>
              </w:rPr>
              <w:t>Clarke A区</w:t>
            </w:r>
          </w:p>
        </w:tc>
        <w:tc>
          <w:tcPr>
            <w:tcW w:type="dxa" w:w="1233"/>
          </w:tcPr>
          <w:p>
            <w:pPr>
              <w:jc w:val="center"/>
            </w:pPr>
            <w:r>
              <w:rPr>
                <w:sz w:val="18"/>
              </w:rPr>
              <w:t>训练速度</w:t>
            </w:r>
          </w:p>
        </w:tc>
        <w:tc>
          <w:tcPr>
            <w:tcW w:type="dxa" w:w="1233"/>
          </w:tcPr>
          <w:p>
            <w:pPr>
              <w:jc w:val="center"/>
            </w:pPr>
            <w:r>
              <w:rPr>
                <w:sz w:val="18"/>
              </w:rPr>
              <w:t>推理速度</w:t>
            </w:r>
          </w:p>
        </w:tc>
        <w:tc>
          <w:tcPr>
            <w:tcW w:type="dxa" w:w="1233"/>
          </w:tcPr>
          <w:p>
            <w:pPr>
              <w:jc w:val="center"/>
            </w:pPr>
            <w:r>
              <w:rPr>
                <w:sz w:val="18"/>
              </w:rPr>
              <w:t>可解释性</w:t>
            </w:r>
          </w:p>
        </w:tc>
        <w:tc>
          <w:tcPr>
            <w:tcW w:type="dxa" w:w="1233"/>
          </w:tcPr>
          <w:p>
            <w:pPr>
              <w:jc w:val="center"/>
            </w:pPr>
            <w:r>
              <w:rPr>
                <w:sz w:val="18"/>
              </w:rPr>
              <w:t>移动端部署</w:t>
            </w:r>
          </w:p>
        </w:tc>
      </w:tr>
    </w:tbl>
    <w:tbl>
      <w:tblPr>
        <w:tblStyle w:val="TableGrid"/>
        <w:tblW w:type="auto" w:w="0"/>
        <w:tblLook w:firstColumn="1" w:firstRow="1" w:lastColumn="0" w:lastRow="0" w:noHBand="0" w:noVBand="1" w:val="04A0"/>
      </w:tblPr>
      <w:tblGrid>
        <w:gridCol w:w="1233"/>
        <w:gridCol w:w="1233"/>
        <w:gridCol w:w="1233"/>
        <w:gridCol w:w="1233"/>
        <w:gridCol w:w="1233"/>
        <w:gridCol w:w="1233"/>
        <w:gridCol w:w="1233"/>
      </w:tblGrid>
      <w:tr>
        <w:tc>
          <w:tcPr>
            <w:tcW w:type="dxa" w:w="1233"/>
          </w:tcPr>
          <w:p>
            <w:pPr>
              <w:jc w:val="center"/>
            </w:pPr>
            <w:r>
              <w:rPr>
                <w:sz w:val="18"/>
              </w:rPr>
              <w:t>ARIMA</w:t>
            </w:r>
          </w:p>
        </w:tc>
        <w:tc>
          <w:tcPr>
            <w:tcW w:type="dxa" w:w="1233"/>
          </w:tcPr>
          <w:p>
            <w:pPr>
              <w:jc w:val="center"/>
            </w:pPr>
            <w:r>
              <w:rPr>
                <w:sz w:val="18"/>
              </w:rPr>
              <w:t>1.12</w:t>
            </w:r>
          </w:p>
        </w:tc>
        <w:tc>
          <w:tcPr>
            <w:tcW w:type="dxa" w:w="1233"/>
          </w:tcPr>
          <w:p>
            <w:pPr>
              <w:jc w:val="center"/>
            </w:pPr>
            <w:r>
              <w:rPr>
                <w:sz w:val="18"/>
              </w:rPr>
              <w:t>78%</w:t>
            </w:r>
          </w:p>
        </w:tc>
        <w:tc>
          <w:tcPr>
            <w:tcW w:type="dxa" w:w="1233"/>
          </w:tcPr>
          <w:p>
            <w:pPr>
              <w:jc w:val="center"/>
            </w:pPr>
            <w:r>
              <w:rPr>
                <w:sz w:val="18"/>
              </w:rPr>
              <w:t>快(CPU)</w:t>
            </w:r>
          </w:p>
        </w:tc>
        <w:tc>
          <w:tcPr>
            <w:tcW w:type="dxa" w:w="1233"/>
          </w:tcPr>
          <w:p>
            <w:pPr>
              <w:jc w:val="center"/>
            </w:pPr>
            <w:r>
              <w:rPr>
                <w:sz w:val="18"/>
              </w:rPr>
              <w:t>极快</w:t>
            </w:r>
          </w:p>
        </w:tc>
        <w:tc>
          <w:tcPr>
            <w:tcW w:type="dxa" w:w="1233"/>
          </w:tcPr>
          <w:p>
            <w:pPr>
              <w:jc w:val="center"/>
            </w:pPr>
            <w:r>
              <w:rPr>
                <w:sz w:val="18"/>
              </w:rPr>
              <w:t>高</w:t>
            </w:r>
          </w:p>
        </w:tc>
        <w:tc>
          <w:tcPr>
            <w:tcW w:type="dxa" w:w="1233"/>
          </w:tcPr>
          <w:p>
            <w:pPr>
              <w:jc w:val="center"/>
            </w:pPr>
            <w:r>
              <w:rPr>
                <w:sz w:val="18"/>
              </w:rPr>
              <w:t>易</w:t>
            </w:r>
          </w:p>
        </w:tc>
      </w:tr>
    </w:tbl>
    <w:tbl>
      <w:tblPr>
        <w:tblStyle w:val="TableGrid"/>
        <w:tblW w:type="auto" w:w="0"/>
        <w:tblLook w:firstColumn="1" w:firstRow="1" w:lastColumn="0" w:lastRow="0" w:noHBand="0" w:noVBand="1" w:val="04A0"/>
      </w:tblPr>
      <w:tblGrid>
        <w:gridCol w:w="1233"/>
        <w:gridCol w:w="1233"/>
        <w:gridCol w:w="1233"/>
        <w:gridCol w:w="1233"/>
        <w:gridCol w:w="1233"/>
        <w:gridCol w:w="1233"/>
        <w:gridCol w:w="1233"/>
      </w:tblGrid>
      <w:tr>
        <w:tc>
          <w:tcPr>
            <w:tcW w:type="dxa" w:w="1233"/>
          </w:tcPr>
          <w:p>
            <w:pPr>
              <w:jc w:val="center"/>
            </w:pPr>
            <w:r>
              <w:rPr>
                <w:sz w:val="18"/>
              </w:rPr>
              <w:t>LSTM</w:t>
            </w:r>
          </w:p>
        </w:tc>
        <w:tc>
          <w:tcPr>
            <w:tcW w:type="dxa" w:w="1233"/>
          </w:tcPr>
          <w:p>
            <w:pPr>
              <w:jc w:val="center"/>
            </w:pPr>
            <w:r>
              <w:rPr>
                <w:sz w:val="18"/>
              </w:rPr>
              <w:t>0.68</w:t>
            </w:r>
          </w:p>
        </w:tc>
        <w:tc>
          <w:tcPr>
            <w:tcW w:type="dxa" w:w="1233"/>
          </w:tcPr>
          <w:p>
            <w:pPr>
              <w:jc w:val="center"/>
            </w:pPr>
            <w:r>
              <w:rPr>
                <w:sz w:val="18"/>
              </w:rPr>
              <w:t>90.1%</w:t>
            </w:r>
          </w:p>
        </w:tc>
        <w:tc>
          <w:tcPr>
            <w:tcW w:type="dxa" w:w="1233"/>
          </w:tcPr>
          <w:p>
            <w:pPr>
              <w:jc w:val="center"/>
            </w:pPr>
            <w:r>
              <w:rPr>
                <w:sz w:val="18"/>
              </w:rPr>
              <w:t>中等(GPU)</w:t>
            </w:r>
          </w:p>
        </w:tc>
        <w:tc>
          <w:tcPr>
            <w:tcW w:type="dxa" w:w="1233"/>
          </w:tcPr>
          <w:p>
            <w:pPr>
              <w:jc w:val="center"/>
            </w:pPr>
            <w:r>
              <w:rPr>
                <w:sz w:val="18"/>
              </w:rPr>
              <w:t>快</w:t>
            </w:r>
          </w:p>
        </w:tc>
        <w:tc>
          <w:tcPr>
            <w:tcW w:type="dxa" w:w="1233"/>
          </w:tcPr>
          <w:p>
            <w:pPr>
              <w:jc w:val="center"/>
            </w:pPr>
            <w:r>
              <w:rPr>
                <w:sz w:val="18"/>
              </w:rPr>
              <w:t>低</w:t>
            </w:r>
          </w:p>
        </w:tc>
        <w:tc>
          <w:tcPr>
            <w:tcW w:type="dxa" w:w="1233"/>
          </w:tcPr>
          <w:p>
            <w:pPr>
              <w:jc w:val="center"/>
            </w:pPr>
            <w:r>
              <w:rPr>
                <w:sz w:val="18"/>
              </w:rPr>
              <w:t>中(ONNX)</w:t>
            </w:r>
          </w:p>
        </w:tc>
      </w:tr>
    </w:tbl>
    <w:tbl>
      <w:tblPr>
        <w:tblStyle w:val="TableGrid"/>
        <w:tblW w:type="auto" w:w="0"/>
        <w:tblLook w:firstColumn="1" w:firstRow="1" w:lastColumn="0" w:lastRow="0" w:noHBand="0" w:noVBand="1" w:val="04A0"/>
      </w:tblPr>
      <w:tblGrid>
        <w:gridCol w:w="1233"/>
        <w:gridCol w:w="1233"/>
        <w:gridCol w:w="1233"/>
        <w:gridCol w:w="1233"/>
        <w:gridCol w:w="1233"/>
        <w:gridCol w:w="1233"/>
        <w:gridCol w:w="1233"/>
      </w:tblGrid>
      <w:tr>
        <w:tc>
          <w:tcPr>
            <w:tcW w:type="dxa" w:w="1233"/>
          </w:tcPr>
          <w:p>
            <w:pPr>
              <w:jc w:val="center"/>
            </w:pPr>
            <w:r>
              <w:rPr>
                <w:sz w:val="18"/>
              </w:rPr>
              <w:t>Transformer</w:t>
            </w:r>
          </w:p>
        </w:tc>
        <w:tc>
          <w:tcPr>
            <w:tcW w:type="dxa" w:w="1233"/>
          </w:tcPr>
          <w:p>
            <w:pPr>
              <w:jc w:val="center"/>
            </w:pPr>
            <w:r>
              <w:rPr>
                <w:sz w:val="18"/>
              </w:rPr>
              <w:t>0.65</w:t>
            </w:r>
          </w:p>
        </w:tc>
        <w:tc>
          <w:tcPr>
            <w:tcW w:type="dxa" w:w="1233"/>
          </w:tcPr>
          <w:p>
            <w:pPr>
              <w:jc w:val="center"/>
            </w:pPr>
            <w:r>
              <w:rPr>
                <w:sz w:val="18"/>
              </w:rPr>
              <w:t>91.2%</w:t>
            </w:r>
          </w:p>
        </w:tc>
        <w:tc>
          <w:tcPr>
            <w:tcW w:type="dxa" w:w="1233"/>
          </w:tcPr>
          <w:p>
            <w:pPr>
              <w:jc w:val="center"/>
            </w:pPr>
            <w:r>
              <w:rPr>
                <w:sz w:val="18"/>
              </w:rPr>
              <w:t>慢(GPU)</w:t>
            </w:r>
          </w:p>
        </w:tc>
        <w:tc>
          <w:tcPr>
            <w:tcW w:type="dxa" w:w="1233"/>
          </w:tcPr>
          <w:p>
            <w:pPr>
              <w:jc w:val="center"/>
            </w:pPr>
            <w:r>
              <w:rPr>
                <w:sz w:val="18"/>
              </w:rPr>
              <w:t>中等</w:t>
            </w:r>
          </w:p>
        </w:tc>
        <w:tc>
          <w:tcPr>
            <w:tcW w:type="dxa" w:w="1233"/>
          </w:tcPr>
          <w:p>
            <w:pPr>
              <w:jc w:val="center"/>
            </w:pPr>
            <w:r>
              <w:rPr>
                <w:sz w:val="18"/>
              </w:rPr>
              <w:t>中</w:t>
            </w:r>
          </w:p>
        </w:tc>
        <w:tc>
          <w:tcPr>
            <w:tcW w:type="dxa" w:w="1233"/>
          </w:tcPr>
          <w:p>
            <w:pPr>
              <w:jc w:val="center"/>
            </w:pPr>
            <w:r>
              <w:rPr>
                <w:sz w:val="18"/>
              </w:rPr>
              <w:t>中(ONNX)</w:t>
            </w:r>
          </w:p>
        </w:tc>
      </w:tr>
    </w:tbl>
    <w:tbl>
      <w:tblPr>
        <w:tblStyle w:val="TableGrid"/>
        <w:tblW w:type="auto" w:w="0"/>
        <w:tblLook w:firstColumn="1" w:firstRow="1" w:lastColumn="0" w:lastRow="0" w:noHBand="0" w:noVBand="1" w:val="04A0"/>
      </w:tblPr>
      <w:tblGrid>
        <w:gridCol w:w="1233"/>
        <w:gridCol w:w="1233"/>
        <w:gridCol w:w="1233"/>
        <w:gridCol w:w="1233"/>
        <w:gridCol w:w="1233"/>
        <w:gridCol w:w="1233"/>
        <w:gridCol w:w="1233"/>
      </w:tblGrid>
      <w:tr>
        <w:tc>
          <w:tcPr>
            <w:tcW w:type="dxa" w:w="1233"/>
          </w:tcPr>
          <w:p>
            <w:pPr>
              <w:jc w:val="center"/>
            </w:pPr>
            <w:r>
              <w:rPr>
                <w:sz w:val="18"/>
              </w:rPr>
              <w:t>TCN</w:t>
            </w:r>
          </w:p>
        </w:tc>
        <w:tc>
          <w:tcPr>
            <w:tcW w:type="dxa" w:w="1233"/>
          </w:tcPr>
          <w:p>
            <w:pPr>
              <w:jc w:val="center"/>
            </w:pPr>
            <w:r>
              <w:rPr>
                <w:sz w:val="18"/>
              </w:rPr>
              <w:t>0.55</w:t>
            </w:r>
          </w:p>
        </w:tc>
        <w:tc>
          <w:tcPr>
            <w:tcW w:type="dxa" w:w="1233"/>
          </w:tcPr>
          <w:p>
            <w:pPr>
              <w:jc w:val="center"/>
            </w:pPr>
            <w:r>
              <w:rPr>
                <w:sz w:val="18"/>
              </w:rPr>
              <w:t>92.4%</w:t>
            </w:r>
          </w:p>
        </w:tc>
        <w:tc>
          <w:tcPr>
            <w:tcW w:type="dxa" w:w="1233"/>
          </w:tcPr>
          <w:p>
            <w:pPr>
              <w:jc w:val="center"/>
            </w:pPr>
            <w:r>
              <w:rPr>
                <w:sz w:val="18"/>
              </w:rPr>
              <w:t>快(GPU)</w:t>
            </w:r>
          </w:p>
        </w:tc>
        <w:tc>
          <w:tcPr>
            <w:tcW w:type="dxa" w:w="1233"/>
          </w:tcPr>
          <w:p>
            <w:pPr>
              <w:jc w:val="center"/>
            </w:pPr>
            <w:r>
              <w:rPr>
                <w:sz w:val="18"/>
              </w:rPr>
              <w:t>快</w:t>
            </w:r>
          </w:p>
        </w:tc>
        <w:tc>
          <w:tcPr>
            <w:tcW w:type="dxa" w:w="1233"/>
          </w:tcPr>
          <w:p>
            <w:pPr>
              <w:jc w:val="center"/>
            </w:pPr>
            <w:r>
              <w:rPr>
                <w:sz w:val="18"/>
              </w:rPr>
              <w:t>中</w:t>
            </w:r>
          </w:p>
        </w:tc>
        <w:tc>
          <w:tcPr>
            <w:tcW w:type="dxa" w:w="1233"/>
          </w:tcPr>
          <w:p>
            <w:pPr>
              <w:jc w:val="center"/>
            </w:pPr>
            <w:r>
              <w:rPr>
                <w:sz w:val="18"/>
              </w:rPr>
              <w:t>易(ONNX)</w:t>
            </w:r>
          </w:p>
        </w:tc>
      </w:tr>
    </w:tbl>
    <w:tbl>
      <w:tblPr>
        <w:tblStyle w:val="TableGrid"/>
        <w:tblW w:type="auto" w:w="0"/>
        <w:tblLook w:firstColumn="1" w:firstRow="1" w:lastColumn="0" w:lastRow="0" w:noHBand="0" w:noVBand="1" w:val="04A0"/>
      </w:tblPr>
      <w:tblGrid>
        <w:gridCol w:w="1233"/>
        <w:gridCol w:w="1233"/>
        <w:gridCol w:w="1233"/>
        <w:gridCol w:w="1233"/>
        <w:gridCol w:w="1233"/>
        <w:gridCol w:w="1233"/>
        <w:gridCol w:w="1233"/>
      </w:tblGrid>
      <w:tr>
        <w:tc>
          <w:tcPr>
            <w:tcW w:type="dxa" w:w="1233"/>
          </w:tcPr>
          <w:p>
            <w:pPr>
              <w:jc w:val="center"/>
            </w:pPr>
            <w:r>
              <w:rPr>
                <w:sz w:val="18"/>
              </w:rPr>
              <w:t>Dalla Man</w:t>
            </w:r>
          </w:p>
        </w:tc>
        <w:tc>
          <w:tcPr>
            <w:tcW w:type="dxa" w:w="1233"/>
          </w:tcPr>
          <w:p>
            <w:pPr>
              <w:jc w:val="center"/>
            </w:pPr>
            <w:r>
              <w:rPr>
                <w:sz w:val="18"/>
              </w:rPr>
              <w:t>N/A*</w:t>
            </w:r>
          </w:p>
        </w:tc>
        <w:tc>
          <w:tcPr>
            <w:tcW w:type="dxa" w:w="1233"/>
          </w:tcPr>
          <w:p>
            <w:pPr>
              <w:jc w:val="center"/>
            </w:pPr>
            <w:r>
              <w:rPr>
                <w:sz w:val="18"/>
              </w:rPr>
              <w:t>N/A*</w:t>
            </w:r>
          </w:p>
        </w:tc>
        <w:tc>
          <w:tcPr>
            <w:tcW w:type="dxa" w:w="1233"/>
          </w:tcPr>
          <w:p>
            <w:pPr>
              <w:jc w:val="center"/>
            </w:pPr>
            <w:r>
              <w:rPr>
                <w:sz w:val="18"/>
              </w:rPr>
              <w:t>无训练</w:t>
            </w:r>
          </w:p>
        </w:tc>
        <w:tc>
          <w:tcPr>
            <w:tcW w:type="dxa" w:w="1233"/>
          </w:tcPr>
          <w:p>
            <w:pPr>
              <w:jc w:val="center"/>
            </w:pPr>
            <w:r>
              <w:rPr>
                <w:sz w:val="18"/>
              </w:rPr>
              <w:t>快(CPU)</w:t>
            </w:r>
          </w:p>
        </w:tc>
        <w:tc>
          <w:tcPr>
            <w:tcW w:type="dxa" w:w="1233"/>
          </w:tcPr>
          <w:p>
            <w:pPr>
              <w:jc w:val="center"/>
            </w:pPr>
            <w:r>
              <w:rPr>
                <w:sz w:val="18"/>
              </w:rPr>
              <w:t>极高</w:t>
            </w:r>
          </w:p>
        </w:tc>
        <w:tc>
          <w:tcPr>
            <w:tcW w:type="dxa" w:w="1233"/>
          </w:tcPr>
          <w:p>
            <w:pPr>
              <w:jc w:val="center"/>
            </w:pPr>
            <w:r>
              <w:rPr>
                <w:sz w:val="18"/>
              </w:rPr>
              <w:t>易(原生)</w:t>
            </w:r>
          </w:p>
        </w:tc>
      </w:tr>
    </w:tbl>
    <w:p>
      <w:pPr>
        <w:ind w:firstLine="420"/>
      </w:pPr>
      <w:r>
        <w:t>*注：生理模型不使用统计精度评价（无"真值"），而是验证其预测是否在生理合理区间内并与临床观察一致。</w:t>
      </w:r>
    </w:p>
    <w:p>
      <w:r>
        <w:rPr>
          <w:rFonts w:ascii="黑体" w:hAnsi="黑体"/>
          <w:b/>
          <w:sz w:val="24"/>
        </w:rPr>
        <w:t>2.2 生理药代动力学模型</w:t>
      </w:r>
    </w:p>
    <w:p>
      <w:r>
        <w:rPr>
          <w:b/>
          <w:sz w:val="22"/>
        </w:rPr>
        <w:t>2.2.1 Bergman最小模型</w:t>
      </w:r>
    </w:p>
    <w:p>
      <w:pPr>
        <w:ind w:firstLine="420"/>
      </w:pPr>
      <w:r>
        <w:t>Bergman最小模型（Bergman et al., 1979, Am J Physiol）由以下3个耦合常微分方程定义：</w:t>
      </w:r>
    </w:p>
    <w:p>
      <w:pPr>
        <w:ind w:firstLine="420"/>
      </w:pPr>
      <w:r>
        <w:t>```</w:t>
      </w:r>
    </w:p>
    <w:p>
      <w:pPr>
        <w:ind w:firstLine="420"/>
      </w:pPr>
      <w:r>
        <w:t>dG(t)/dt = -[p₁ + X(t)] · G(t) + p₁ · Gb</w:t>
      </w:r>
    </w:p>
    <w:p>
      <w:pPr>
        <w:ind w:firstLine="420"/>
      </w:pPr>
      <w:r>
        <w:t>dX(t)/dt = -p₂ · X(t) + p₃ · [I(t) Ib]</w:t>
      </w:r>
    </w:p>
    <w:p>
      <w:pPr>
        <w:ind w:firstLine="420"/>
      </w:pPr>
      <w:r>
        <w:t>dI(t)/dt = -n · I(t) + γ · [G(t) h]⁺ · t + 外源胰岛素输入</w:t>
      </w:r>
    </w:p>
    <w:p>
      <w:pPr>
        <w:ind w:firstLine="420"/>
      </w:pPr>
      <w:r>
        <w:t>```</w:t>
      </w:r>
    </w:p>
    <w:p>
      <w:pPr>
        <w:ind w:firstLine="420"/>
      </w:pPr>
      <w:r>
        <w:t>其中G(t)为血糖浓度，X(t)为胰岛素效应隔室，I(t)为血浆胰岛素浓度，Gb和Ib为基线值，p₁-p₃为模型参数。从模型推导出的胰岛素敏感性指数SI = p₃/p₂成为胰岛素敏感性评估的临床金标准。</w:t>
      </w:r>
    </w:p>
    <w:p>
      <w:pPr>
        <w:ind w:firstLine="420"/>
      </w:pPr>
      <w:r>
        <w:t>然而，Bergman模型对餐后葡萄糖吸收的描述非常简化（单隔室，无区分胃/肠），且将胰岛素依赖性葡萄糖利用建模为X和G的线性乘积（Uid ∝ X·G），在高血糖时无法反映生理上的饱和效应。</w:t>
      </w:r>
    </w:p>
    <w:p>
      <w:r>
        <w:rPr>
          <w:b/>
          <w:sz w:val="22"/>
        </w:rPr>
        <w:t>2.2.2 Hovorka模型</w:t>
      </w:r>
    </w:p>
    <w:p>
      <w:pPr>
        <w:ind w:firstLine="420"/>
      </w:pPr>
      <w:r>
        <w:t>Hovorka模型（Hovorka et al., 2002, 2004）将葡萄糖-胰岛素系统细分为6个隔室：</w:t>
      </w:r>
    </w:p>
    <w:p>
      <w:pPr>
        <w:ind w:firstLine="420"/>
      </w:pPr>
      <w:r>
        <w:t>葡萄糖子系统（2隔室）：</w:t>
      </w:r>
    </w:p>
    <w:p>
      <w:pPr>
        <w:ind w:firstLine="420"/>
      </w:pPr>
      <w:r>
        <w:t>```</w:t>
      </w:r>
    </w:p>
    <w:p>
      <w:pPr>
        <w:ind w:firstLine="420"/>
      </w:pPr>
      <w:r>
        <w:t>dQ1/dt = -F₀₁ᶜ · Q1/(VG·G) + x1 · Q1/VG + U_G(t)</w:t>
      </w:r>
    </w:p>
    <w:p>
      <w:pPr>
        <w:ind w:firstLine="420"/>
      </w:pPr>
      <w:r>
        <w:t>dQ2/dt = x1 · Q1 (k12 + x2) · Q2</w:t>
      </w:r>
    </w:p>
    <w:p>
      <w:pPr>
        <w:ind w:firstLine="420"/>
      </w:pPr>
      <w:r>
        <w:t>```</w:t>
      </w:r>
    </w:p>
    <w:p>
      <w:pPr>
        <w:ind w:firstLine="420"/>
      </w:pPr>
      <w:r>
        <w:t>胰岛素子系统（2隔室+2作用）：</w:t>
      </w:r>
    </w:p>
    <w:p>
      <w:pPr>
        <w:ind w:firstLine="420"/>
      </w:pPr>
      <w:r>
        <w:t>```</w:t>
      </w:r>
    </w:p>
    <w:p>
      <w:pPr>
        <w:ind w:firstLine="420"/>
      </w:pPr>
      <w:r>
        <w:t>dS1/dt = u(t) S1/t_max,I</w:t>
      </w:r>
    </w:p>
    <w:p>
      <w:pPr>
        <w:ind w:firstLine="420"/>
      </w:pPr>
      <w:r>
        <w:t>dS2/dt = (S1 S2)/t_max,I</w:t>
      </w:r>
    </w:p>
    <w:p>
      <w:pPr>
        <w:ind w:firstLine="420"/>
      </w:pPr>
      <w:r>
        <w:t>dx1/dt = -k_a1 · x1 + k_b1 · I(t)</w:t>
      </w:r>
    </w:p>
    <w:p>
      <w:pPr>
        <w:ind w:firstLine="420"/>
      </w:pPr>
      <w:r>
        <w:t>dx2/dt = -k_a2 · x2 + k_b2 · I(t)</w:t>
      </w:r>
    </w:p>
    <w:p>
      <w:pPr>
        <w:ind w:firstLine="420"/>
      </w:pPr>
      <w:r>
        <w:t>```</w:t>
      </w:r>
    </w:p>
    <w:p>
      <w:pPr>
        <w:ind w:firstLine="420"/>
      </w:pPr>
      <w:r>
        <w:t>Hovorka模型在Cambridge闭环胰岛素输注系统的临床验证中发挥了关键作用。其6隔室设计在模型保真度和参数可辨识性之间取得了较好的平衡。但对胃肠道葡萄糖吸收的建模仍较简化（单隔室描述），不适用于精细的餐后响应分析。</w:t>
      </w:r>
    </w:p>
    <w:p>
      <w:r>
        <w:rPr>
          <w:b/>
          <w:sz w:val="22"/>
        </w:rPr>
        <w:t>2.2.3 Dalla Man模型</w:t>
      </w:r>
    </w:p>
    <w:p>
      <w:pPr>
        <w:ind w:firstLine="420"/>
      </w:pPr>
      <w:r>
        <w:t>Dalla Man模型（Dalla Man, Rizza &amp; Cobelli, 2006, 2007, IEEE TBME）是目前最精细的口服给糖生理模型。模型采用7个隔室的精细划分：</w:t>
      </w:r>
    </w:p>
    <w:p>
      <w:pPr>
        <w:ind w:firstLine="420"/>
      </w:pPr>
      <w:r>
        <w:t>胃肠道子系统（2隔室）：</w:t>
      </w:r>
    </w:p>
    <w:p>
      <w:pPr>
        <w:ind w:firstLine="420"/>
      </w:pPr>
      <w:r>
        <w:t>固体胃（Stomach）：描述固体食物的研磨和排空过程</w:t>
      </w:r>
    </w:p>
    <w:p>
      <w:pPr>
        <w:ind w:firstLine="420"/>
      </w:pPr>
      <w:r>
        <w:t>液体肠（Gut）：描述葡萄糖的肠道吸收过程</w:t>
      </w:r>
    </w:p>
    <w:p>
      <w:pPr>
        <w:ind w:firstLine="420"/>
      </w:pPr>
      <w:r>
        <w:t>葡萄糖子系统（2隔室+1血浆）：</w:t>
      </w:r>
    </w:p>
    <w:p>
      <w:pPr>
        <w:ind w:firstLine="420"/>
      </w:pPr>
      <w:r>
        <w:t>血浆葡萄糖（Gp）：可测量血糖浓度</w:t>
      </w:r>
    </w:p>
    <w:p>
      <w:pPr>
        <w:ind w:firstLine="420"/>
      </w:pPr>
      <w:r>
        <w:t>快速平衡组织葡萄糖（Gt）：与血浆快速交换的组织</w:t>
      </w:r>
    </w:p>
    <w:p>
      <w:pPr>
        <w:ind w:firstLine="420"/>
      </w:pPr>
      <w:r>
        <w:t>葡萄糖利用和产生机制：胰岛素依赖性利用（Uid）、胰岛素非依赖性利用（Uii）、肝糖异生产生（EGP）、肾糖排泄（Renal）</w:t>
      </w:r>
    </w:p>
    <w:p>
      <w:pPr>
        <w:ind w:firstLine="420"/>
      </w:pPr>
      <w:r>
        <w:t>胰岛素子系统（2隔室）：</w:t>
      </w:r>
    </w:p>
    <w:p>
      <w:pPr>
        <w:ind w:firstLine="420"/>
      </w:pPr>
      <w:r>
        <w:t>血浆胰岛素（Ip）</w:t>
      </w:r>
    </w:p>
    <w:p>
      <w:pPr>
        <w:ind w:firstLine="420"/>
      </w:pPr>
      <w:r>
        <w:t>胰岛素作用/效应（X, X_L）：区分远端和近端胰岛素作用</w:t>
      </w:r>
    </w:p>
    <w:p>
      <w:pPr>
        <w:ind w:firstLine="420"/>
      </w:pPr>
      <w:r>
        <w:t>完整的Dalla Man ODE系统在本文4.4节给出。</w:t>
      </w:r>
    </w:p>
    <w:p>
      <w:pPr>
        <w:ind w:firstLine="420"/>
      </w:pPr>
      <w:r>
        <w:t>FDA批准的UVa/Padova模拟器。 Kovatchev等人（2009）在Dalla Man模型的基础上集成了CGM传感器误差模型（MARD 10-15%）、胰岛素药代动力学模型（皮下注射→血浆→效应位点）和患者行为模型，构建了包含100名成人、100名青少年和100名儿童的虚拟T1DM患者群体。2008年，FDA历史性地批准该模拟器作为闭环胰岛素输注算法的临床前测试替代平台，将动物实验环节从闭环系统的研发流程中移除。这一批准标志着计算生理学首次获得药品监管机构的正式认可。</w:t>
      </w:r>
    </w:p>
    <w:p>
      <w:r>
        <w:rPr>
          <w:rFonts w:ascii="黑体" w:hAnsi="黑体"/>
          <w:b/>
          <w:sz w:val="24"/>
        </w:rPr>
        <w:t>2.3 在线学习与模型个性化</w:t>
      </w:r>
    </w:p>
    <w:p>
      <w:r>
        <w:rPr>
          <w:b/>
          <w:sz w:val="22"/>
        </w:rPr>
        <w:t>2.3.1 自适应滤波方法</w:t>
      </w:r>
    </w:p>
    <w:p>
      <w:pPr>
        <w:ind w:firstLine="420"/>
      </w:pPr>
      <w:r>
        <w:t>Facchinetti等人（2010, IEEE TBME）提出了一种在线自校正的CGM降噪方法。其核心思路是使用卡尔曼滤波器在线估计CGM传感器的噪声协方差矩阵R，避免了离线校准对大量标注数据的需求。该方法在Dexcom SEVEN PLUS传感器数据上验证，显示高频噪声（&gt;0.1 mHz）降低了约40%，信号延迟降低约2分钟。本系统的OnlineLearner在EWMA平滑和卡尔曼融合步骤中借鉴了该方法的思想，但扩展到不仅降噪，还学习患者特异性参数。</w:t>
      </w:r>
    </w:p>
    <w:p>
      <w:r>
        <w:rPr>
          <w:b/>
          <w:sz w:val="22"/>
        </w:rPr>
        <w:t>2.3.2 增量学习与持续学习</w:t>
      </w:r>
    </w:p>
    <w:p>
      <w:pPr>
        <w:ind w:firstLine="420"/>
      </w:pPr>
      <w:r>
        <w:t>增量SGD。 最简单的增量学习策略是对新到达的小批量数据执行1-5轮随机梯度下降（SGD），在线更新神经网络参数。这种方式计算代价低，适合移动端部署，但面临灾难性遗忘风险——新数据的梯度更新可能覆盖之前学到的有用特征。</w:t>
      </w:r>
    </w:p>
    <w:p>
      <w:pPr>
        <w:ind w:firstLine="420"/>
      </w:pPr>
      <w:r>
        <w:t>弹性权重巩固（EWC）。 Kirkpatrick等人（2017, PNAS）提出了基于贝叶斯推理的EWC算法。在完成一项任务后，EWC通过Fisher信息矩阵估计各参数对该任务的重要程度。在学习新任务时，损失函数增加一项正则化项 Σᵢ (Fᵢ/2) · (θᵢ θᵢ*)²，其中Fᵢ为参数θᵢ的Fisher信息（反映该参数对旧任务的重要性），θᵢ*为旧任务的最优参数值。重要参数被"巩固"（受到更大偏离惩罚），不重要参数则可自由适应新任务。</w:t>
      </w:r>
    </w:p>
    <w:p>
      <w:pPr>
        <w:ind w:firstLine="420"/>
      </w:pPr>
      <w:r>
        <w:t>本系统的增量学习设计。 本系统采用多层学习架构而非单一算法，以规避增量SGD在数据质量不均时的局限性：L1统计层提供稳健的非参数基线估计（不依赖梯度，不存在遗忘问题）；L2增量SGD层负责学习统计层无法捕捉的复杂残差模式；L3在线梯度层对Dalla Man模型关键参数进行缓慢连续调整；L4数据质量层通过dataCompleteness自适应调节各层的输出融合权重。这种分工设计实现了不同学习速率的解耦：统计层快速收敛（天级）、增量SGD层中等收敛（周级）、在线梯度层缓慢适应（月级）。</w:t>
      </w:r>
    </w:p>
    <w:p>
      <w:r>
        <w:rPr>
          <w:b/>
          <w:sz w:val="22"/>
        </w:rPr>
        <w:t>2.3.3 数据质量感知学习</w:t>
      </w:r>
    </w:p>
    <w:p>
      <w:pPr>
        <w:ind w:firstLine="420"/>
      </w:pPr>
      <w:r>
        <w:t>据我们所知，数据质量感知在血糖预测的在线学习中尚未得到足够关注。现有方法通常假设所有到达的数据点具有同等的训练价值。然而在实际应用中，CGM数据的特征完整性差异巨大：（1）仅有CGM血糖数据的时段（用户可能未记录饮食或忘记注射）占主导；（2）含饮食记录但无胰岛素记录的时段次之；（3）饮食和胰岛素记录完整的时段（理想训练数据）相对稀少。</w:t>
      </w:r>
    </w:p>
    <w:p>
      <w:pPr>
        <w:ind w:firstLine="420"/>
      </w:pPr>
      <w:r>
        <w:t>本系统创新性地引入dataCompleteness指标，将其直接纳入个性化修正强度和增量学习权重函数。该设计的核心直觉是：在数据特征不完整时，模型应更依赖基于统计的稳健估计（EWMA、百分位数），减少数据驱动模型（增量残差网络）的权重；而在特征完整时，应更信任从完整特征中学到的模式。</w:t>
      </w:r>
    </w:p>
    <w:p>
      <w:r>
        <w:rPr>
          <w:rFonts w:ascii="黑体" w:hAnsi="黑体"/>
          <w:b/>
          <w:sz w:val="24"/>
        </w:rPr>
        <w:t>2.4 移动端深度学习部署</w:t>
      </w:r>
    </w:p>
    <w:p>
      <w:r>
        <w:rPr>
          <w:b/>
          <w:sz w:val="22"/>
        </w:rPr>
        <w:t>2.4.1 ONNX Runtime</w:t>
      </w:r>
    </w:p>
    <w:p>
      <w:pPr>
        <w:ind w:firstLine="420"/>
      </w:pPr>
      <w:r>
        <w:t>ONNX（Open Neural Network Exchange）是Linux基金会旗下的开放神经网络模型交换格式。ONNX Runtime是由Microsoft主导的跨平台推理引擎，支持从PyTorch、TensorFlow、Keras、scikit-learn等框架导出的ONNX模型。</w:t>
      </w:r>
    </w:p>
    <w:p>
      <w:pPr>
        <w:ind w:firstLine="420"/>
      </w:pPr>
      <w:r>
        <w:t>ONNX Runtime Mobile (ORT Mobile) 是ONNX Runtime的移动端构建变体，针对ARM64架构进行了二进制优化，支持整数化量化和FP16推理。截至2026年，ORT Mobile的典型推理延迟为：小型CNN/MLP（&lt; 1M参数）约1-10ms，中型网络（1-10M参数）约10-50ms，在消费级Android手机（骁龙8 Gen 2同等）上运行。本系统使用的TCN ONNX模型（约590KB，推断时输入batch=1，15维特征×288时间步，输出4维曲线参数）的推理延迟约15ms，完全满足实时预测需求。</w:t>
      </w:r>
    </w:p>
    <w:p>
      <w:r>
        <w:rPr>
          <w:b/>
          <w:sz w:val="22"/>
        </w:rPr>
        <w:t>2.4.2 MNN、TensorFlow Lite与NCNN</w:t>
      </w:r>
    </w:p>
    <w:p>
      <w:pPr>
        <w:ind w:firstLine="420"/>
      </w:pPr>
      <w:r>
        <w:t>除ONNX Runtime外，移动端深度学习部署的替代方案还包括阿里巴巴的MNN、Google的TensorFlow Lite和腾讯的NCNN。各引擎在算子覆盖度、量化工具链和ARM优化水平上各有侧重。本系统选择ONNX Runtime的主要考虑因素为：（1）PyTorch→ONNX的导出工具链最成熟和稳定；（2）ORT Mobile对Conv1d和Linear算子的ARM64优化充分；（3）ORT的社区活跃度和持续维护性在三个选项中最高。</w:t>
      </w:r>
    </w:p>
    <w:p>
      <w:r>
        <w:rPr>
          <w:rFonts w:ascii="黑体" w:hAnsi="黑体"/>
          <w:b/>
          <w:sz w:val="24"/>
        </w:rPr>
        <w:t>2.5 CGM数据采集技术</w:t>
      </w:r>
    </w:p>
    <w:p>
      <w:r>
        <w:rPr>
          <w:b/>
          <w:sz w:val="22"/>
        </w:rPr>
        <w:t>2.5.1 官方API vs 通知栏监听</w:t>
      </w:r>
    </w:p>
    <w:p>
      <w:pPr>
        <w:ind w:firstLine="420"/>
      </w:pPr>
      <w:r>
        <w:t>商业CGM系统提供的数据接入方式主要分为两类：</w:t>
      </w:r>
    </w:p>
    <w:p>
      <w:pPr>
        <w:ind w:firstLine="420"/>
      </w:pPr>
      <w:r>
        <w:t>官方SDK/API。 Dexcom提供Partner API（OAuth 2.0认证，WebSocket实时推送），Abbott提供LibreLinkUp API（RESTful，30秒轮询），部分国产品牌提供蓝牙直连SDK。官方API的优势在于数据准确性高（直接来自传感器，不经转发），但劣势在于开发者集成门槛高（需要商业合作协议、NDA签署和独立审核），且部分品牌的API权限不向中小开发者开放。</w:t>
      </w:r>
    </w:p>
    <w:p>
      <w:pPr>
        <w:ind w:firstLine="420"/>
      </w:pPr>
      <w:r>
        <w:t>通知栏监听（Notification Listener）。 xDrip+首创的UiBasedCollector策略利用Android的NotificationListenerService API读取CGM App在系统通知栏中显示的血糖数值文本。这种方法的优势在于通用性强（无需APK集成SDK，任何在通知栏显示血糖值的CGM App均可兼容）、零商业门槛（无需与CGM厂商签署协议）。但劣势在于依赖通知文本格式解析（不同品牌CGM App的通知格式各异，格式变更可能导致解析失败）。</w:t>
      </w:r>
    </w:p>
    <w:p>
      <w:pPr>
        <w:ind w:firstLine="420"/>
      </w:pPr>
      <w:r>
        <w:t>本系统采用的混合数据接入策略：CGMNotificationListener作为主数据通道（兼容40+品牌），同时提供DirectGlucoseBroadcastReceiver和XlsxImporter作为补充通道。这种设计兼顾了通用性和数据完整性。</w:t>
      </w:r>
    </w:p>
    <w:p>
      <w:r>
        <w:rPr>
          <w:b/>
          <w:sz w:val="22"/>
        </w:rPr>
        <w:t>2.5.2 xDrip+架构参考</w:t>
      </w:r>
    </w:p>
    <w:p>
      <w:pPr>
        <w:ind w:firstLine="420"/>
      </w:pPr>
      <w:r>
        <w:t>xDrip+的项目架构为本系统提供了重要的工程参考。其核心设计模式包括：</w:t>
      </w:r>
    </w:p>
    <w:p>
      <w:pPr>
        <w:ind w:firstLine="420"/>
      </w:pPr>
      <w:r>
        <w:t>Collection Service（采集服务）： 后台Service持续运行，通过多种数据源（蓝牙直连xDrip发射器、G5/G6发射器、Libre NFC扫描、LibreLink桥接、通知监听等）采集血糖数据。</w:t>
      </w:r>
    </w:p>
    <w:p>
      <w:pPr>
        <w:ind w:firstLine="420"/>
      </w:pPr>
      <w:r>
        <w:t>Data Handler（数据处理）： RxJava流式处理数据管道，实现数据去重、单位转换、噪声滤波和平滑处理。</w:t>
      </w:r>
    </w:p>
    <w:p>
      <w:pPr>
        <w:ind w:firstLine="420"/>
      </w:pPr>
      <w:r>
        <w:t>Source-Aware Dedup（源感知去重）： 不同来源的数据使用独立的去重窗口，避免蓝牙直连数据被通知栏监听数据误去重。</w:t>
      </w:r>
    </w:p>
    <w:p>
      <w:pPr>
        <w:ind w:firstLine="420"/>
      </w:pPr>
      <w:r>
        <w:t>本地+远程双写： 数据同时写入本地SQLite数据库和远程Nightscout/MongoDB服务器。</w:t>
      </w:r>
    </w:p>
    <w:p>
      <w:pPr>
        <w:ind w:firstLine="420"/>
      </w:pPr>
      <w:r>
        <w:t>Sync Receiver（同步接收器）： 广播接收器接收其他应用的血糖Broadcast。</w:t>
      </w:r>
    </w:p>
    <w:p>
      <w:pPr>
        <w:ind w:firstLine="420"/>
      </w:pPr>
      <w:r>
        <w:t>本系统在参考xDrip+设计模式的基础上进行了以下优化：（1）使用Kotlin Coroutines + Flow替代RxJava，代码更简洁且更易测试；（2）Room替代原生SQLite，提供编译时SQL校验和Flow自动更新；（3）设计15表规范化数据库替代单表设计，支持饮食、胰岛素、运动、用药等多维数据管理。</w:t>
      </w:r>
    </w:p>
    <w:p>
      <w:r>
        <w:rPr>
          <w:rFonts w:ascii="黑体" w:hAnsi="黑体"/>
          <w:b/>
          <w:sz w:val="24"/>
        </w:rPr>
        <w:t>3.1 整体架构设计</w:t>
      </w:r>
    </w:p>
    <w:p>
      <w:pPr>
        <w:ind w:firstLine="420"/>
      </w:pPr>
      <w:r>
        <w:t>糖盾系统采用四层分层架构设计，遵循关注点分离（Separation of Concerns）原则，自底向上分别为：数据采集层、数据持久化层、业务逻辑层和用户界面层。此外，后台服务层作为横切关注点贯穿各层。</w:t>
      </w:r>
    </w:p>
    <w:p>
      <w:r>
        <w:rPr>
          <w:b/>
          <w:sz w:val="22"/>
        </w:rPr>
        <w:t>3.1.1 架构设计原则</w:t>
      </w:r>
    </w:p>
    <w:p>
      <w:pPr>
        <w:ind w:firstLine="420"/>
      </w:pPr>
      <w:r>
        <w:t>单一数据源（Single Source of Truth, SSOT）。 所有数据组件的数据库实例通过TangDunApp.getDatabase()统一获取单例RoomDatabase对象，确保Flow的InvalidationTracker在全局范围内正确同步。这一设计解决了多数据库实例导致的UI不更新问题（早期版本中TangDunApp创建的数据库实例与Hilt DI注入的实例不一致）。</w:t>
      </w:r>
    </w:p>
    <w:p>
      <w:pPr>
        <w:ind w:firstLine="420"/>
      </w:pPr>
      <w:r>
        <w:t>响应式数据流（Reactive Data Flow）。 使用Kotlin Coroutines + Flow作为核心异步框架。数据层的Room DAO返回Flow&lt;T&gt;类型，ViewModel层通过.stateIn()将Flow转换为StateFlow，UI层通过collectAsState()订阅状态变化。整个数据链路从数据库到UI的更新延迟控制在100ms以内。</w:t>
      </w:r>
    </w:p>
    <w:p>
      <w:pPr>
        <w:ind w:firstLine="420"/>
      </w:pPr>
      <w:r>
        <w:t>依赖注入（Dependency Injection）。 使用Hilt进行编译时依赖注入，通过@Singleton、@ViewModelScoped等作用域注解管理对象的生命周期。AppModule集中提供database、dao、sharedPreferences等全局单例。</w:t>
      </w:r>
    </w:p>
    <w:p>
      <w:pPr>
        <w:ind w:firstLine="420"/>
      </w:pPr>
      <w:r>
        <w:t>Clean Architecture分层。 业务逻辑不依赖UI框架，domain/algorithm包下的所有算法类均为纯Kotlin对象（无Android依赖），可通过单元测试独立验证。</w:t>
      </w:r>
    </w:p>
    <w:p>
      <w:r>
        <w:rPr>
          <w:b/>
          <w:sz w:val="22"/>
        </w:rPr>
        <w:t>3.1.2 组件交互视图</w:t>
      </w:r>
    </w:p>
    <w:p>
      <w:pPr>
        <w:ind w:firstLine="420"/>
      </w:pPr>
      <w:r>
        <w:t>系统的组件交互遵循以下数据流向：</w:t>
      </w:r>
    </w:p>
    <w:p>
      <w:pPr>
        <w:ind w:firstLine="420"/>
      </w:pPr>
      <w:r>
        <w:t>```</w:t>
      </w:r>
    </w:p>
    <w:p>
      <w:pPr>
        <w:ind w:firstLine="420"/>
      </w:pPr>
      <w:r>
        <w:t>CGM Sensor → Brand CGM App (通知栏)</w:t>
      </w:r>
    </w:p>
    <w:p>
      <w:pPr>
        <w:ind w:firstLine="420"/>
      </w:pPr>
      <w:r>
        <w:t>↓ NotificationListenerService</w:t>
      </w:r>
    </w:p>
    <w:p>
      <w:pPr>
        <w:ind w:firstLine="420"/>
      </w:pPr>
      <w:r>
        <w:t>CGMNotificationListener → GlucoseRecord</w:t>
      </w:r>
    </w:p>
    <w:p>
      <w:pPr>
        <w:ind w:firstLine="420"/>
      </w:pPr>
      <w:r>
        <w:t>↓ Room Insert + Flow Emit</w:t>
      </w:r>
    </w:p>
    <w:p>
      <w:pPr>
        <w:ind w:firstLine="420"/>
      </w:pPr>
      <w:r>
        <w:t>TangDunApp.getDatabase() → Flow&lt;List&lt;GlucoseRecord&gt;&gt;</w:t>
      </w:r>
    </w:p>
    <w:p>
      <w:pPr>
        <w:ind w:firstLine="420"/>
      </w:pPr>
      <w:r>
        <w:t>↓ .stateIn(ViewModelScope)</w:t>
      </w:r>
    </w:p>
    <w:p>
      <w:pPr>
        <w:ind w:firstLine="420"/>
      </w:pPr>
      <w:r>
        <w:t>HomeViewModel / PredictionViewModel → StateFlow&lt;UiState&gt;</w:t>
      </w:r>
    </w:p>
    <w:p>
      <w:pPr>
        <w:ind w:firstLine="420"/>
      </w:pPr>
      <w:r>
        <w:t>↓ .collectAsState()</w:t>
      </w:r>
    </w:p>
    <w:p>
      <w:pPr>
        <w:ind w:firstLine="420"/>
      </w:pPr>
      <w:r>
        <w:t>HomeScreen / PredictionScreen / SettingsScreen (Compose UI)</w:t>
      </w:r>
    </w:p>
    <w:p>
      <w:pPr>
        <w:ind w:firstLine="420"/>
      </w:pPr>
      <w:r>
        <w:t>```</w:t>
      </w:r>
    </w:p>
    <w:p>
      <w:pPr>
        <w:ind w:firstLine="420"/>
      </w:pPr>
      <w:r>
        <w:t>自学习引擎（SelfLearningManager）在TangDunApp.onCreate()中启动，订阅glucoseDao.getLatestFlow()，对每条新血糖数据触发的Flow发射执行统计学习（OnlineLearner），每12条触发增量学习（IncrementalLearner）。这种"数据驱动触发"的设计避免了定时轮询的资源浪费。</w:t>
      </w:r>
    </w:p>
    <w:p>
      <w:r>
        <w:rPr>
          <w:rFonts w:ascii="黑体" w:hAnsi="黑体"/>
          <w:b/>
          <w:sz w:val="24"/>
        </w:rPr>
        <w:t>3.2 数据采集层</w:t>
      </w:r>
    </w:p>
    <w:p>
      <w:r>
        <w:rPr>
          <w:b/>
          <w:sz w:val="22"/>
        </w:rPr>
        <w:t>3.2.1 CGMNotificationListener</w:t>
      </w:r>
    </w:p>
    <w:p>
      <w:pPr>
        <w:ind w:firstLine="420"/>
      </w:pPr>
      <w:r>
        <w:t>CGMNotificationListener继承自Android的NotificationListenerService，是系统的主要数据入口。其核心工作流程如下：</w:t>
      </w:r>
    </w:p>
    <w:p>
      <w:pPr>
        <w:ind w:firstLine="420"/>
      </w:pPr>
      <w:r>
        <w:t>步骤1：通知到达。 当任何App发布或更新状态栏通知时，onNotificationPosted(StatusBarNotification)被系统回调。Listener首先通过包名白名单（40+品牌CGM App的包名列表）过滤，排除非CGM App的通知。</w:t>
      </w:r>
    </w:p>
    <w:p>
      <w:pPr>
        <w:ind w:firstLine="420"/>
      </w:pPr>
      <w:r>
        <w:t>步骤2：文本提取。 从Notification的ContentView/ExpandedView中提取所有TextView文本，拼接为候选文本字符串。同时尝试从Notification的Extras中获取结构化数据（Android 7.0+的EXTRA_TEXT等字段）。</w:t>
      </w:r>
    </w:p>
    <w:p>
      <w:pPr>
        <w:ind w:firstLine="420"/>
      </w:pPr>
      <w:r>
        <w:t>步骤3：数值解析（tryExtract方法）。 使用正则表达式从文本字符串中提取血糖数值。支持的数值格式包括：</w:t>
      </w:r>
    </w:p>
    <w:p>
      <w:pPr>
        <w:ind w:firstLine="420"/>
      </w:pPr>
      <w:r>
        <w:t>标准小数格式："5.6 mmol/L"、"126 mg/dL"</w:t>
      </w:r>
    </w:p>
    <w:p>
      <w:pPr>
        <w:ind w:firstLine="420"/>
      </w:pPr>
      <w:r>
        <w:t>LOW/HIGH标记：识别"LOW"→映射为2.2 mmol/L（39 mg/dL），"HIGH"→映射为22.5 mmol/L（406 mg/dL）</w:t>
      </w:r>
    </w:p>
    <w:p>
      <w:pPr>
        <w:ind w:firstLine="420"/>
      </w:pPr>
      <w:r>
        <w:t>整数mmol/L格式：部分国产品牌CGM App显示"6"而非"6.0"，通过上下文文本（如"血糖"关键词附近的数值）和范围校验（2.0-35.0 mmol/L）判定为mmol/L</w:t>
      </w:r>
    </w:p>
    <w:p>
      <w:pPr>
        <w:ind w:firstLine="420"/>
      </w:pPr>
      <w:r>
        <w:t>整数mg/dL格式：数值范围在20-600之间且无小数点</w:t>
      </w:r>
    </w:p>
    <w:p>
      <w:pPr>
        <w:ind w:firstLine="420"/>
      </w:pPr>
      <w:r>
        <w:t>步骤4：单位转换。 自动检测单位——所有数值&gt;30且无小数点判定为mg/dL，除以18转换为mmol/L。双重校验：转换后的mmol/L值须在2.0-35.0之间，否则丢弃。</w:t>
      </w:r>
    </w:p>
    <w:p>
      <w:pPr>
        <w:ind w:firstLine="420"/>
      </w:pPr>
      <w:r>
        <w:t>步骤5：源感知去重。 使用ConcurrentHashMap&lt;String, Long&gt;记录每个数据源（source字段）的最后一次处理时间戳。仅当同一来源在60秒内重复出现时才跳过，不同来源的数据即使时间戳相近也会保留。这种设计避免了蓝牙直连数据和通知栏监听数据之间的误去重。</w:t>
      </w:r>
    </w:p>
    <w:p>
      <w:pPr>
        <w:ind w:firstLine="420"/>
      </w:pPr>
      <w:r>
        <w:t>步骤6：数据入库与回调。 解析成功后构造GlucoseRecord对象，通过glucoseDao.insert()写入Room数据库。同时调用RealTimeGlucoseMonitor.processNewReading()进行六步质量控制处理。</w:t>
      </w:r>
    </w:p>
    <w:p>
      <w:r>
        <w:rPr>
          <w:b/>
          <w:sz w:val="22"/>
        </w:rPr>
        <w:t>3.2.2 DirectGlucoseBroadcastReceiver</w:t>
      </w:r>
    </w:p>
    <w:p>
      <w:pPr>
        <w:ind w:firstLine="420"/>
      </w:pPr>
      <w:r>
        <w:t>为兼容通过Broadcast发送血糖数据的App，系统注册了DirectGlucoseBroadcastReceiver（AndroidManifest中静态注册，ACTION_GLUCOSE_NEW_DATA）。该Receiver使用goAsync()方法确保在BroadcastReceiver的10秒超时限制内完成异步数据库操作。</w:t>
      </w:r>
    </w:p>
    <w:p>
      <w:r>
        <w:rPr>
          <w:b/>
          <w:sz w:val="22"/>
        </w:rPr>
        <w:t>3.2.3 XlsxImporter</w:t>
      </w:r>
    </w:p>
    <w:p>
      <w:pPr>
        <w:ind w:firstLine="420"/>
      </w:pPr>
      <w:r>
        <w:t>XlsxImporter用于导入欧态健康（及其他品牌）CGM系统导出的Excel数据文件。由于引入Apache POI库（约8MB）将显著增加APK体积，系统实现了一个轻量级xlsx解析器：</w:t>
      </w:r>
    </w:p>
    <w:p>
      <w:pPr>
        <w:ind w:firstLine="420"/>
      </w:pPr>
      <w:r>
        <w:t>轻量解析原理。 .xlsx文件本质是ZIP压缩包，其中xl/sharedStrings.xml存储所有字符串值（共享字符串表），xl/worksheets/sheet1.xml存储工作表数据（单元格引用字符串索引而非直接存储值）。XlsxImporter通过Java标准库的ZipInputStream解析ZIP结构，使用Android内置的XmlPullParser流式解析XML（避免将整个文件加载到内存）。</w:t>
      </w:r>
    </w:p>
    <w:p>
      <w:pPr>
        <w:ind w:firstLine="420"/>
      </w:pPr>
      <w:r>
        <w:t>自动单位检测。 批量检查所有已解析的血糖值。若所有数值均&gt;30，判定为mg/dL单位，全局除以18转换为mmol/L。</w:t>
      </w:r>
    </w:p>
    <w:p>
      <w:pPr>
        <w:ind w:firstLine="420"/>
      </w:pPr>
      <w:r>
        <w:t>时间戳推断。 从sheet1.xml中读取时间列（通常为第1列），支持Excel日期序列号格式（自1900-01-01的天数）和文本格式（"yyyy-MM-dd HH:mm:ss"）。对于部分不包含完整日期时间的xlsx文件，根据文件名的日期前缀推断。</w:t>
      </w:r>
    </w:p>
    <w:p>
      <w:pPr>
        <w:ind w:firstLine="420"/>
      </w:pPr>
      <w:r>
        <w:t>质量过滤。 丢弃超出2.0-35.0 mmol/L范围的异常值，丢弃与相邻值偏差&gt;10 mmol/L的孤立异常值，丢弃时间戳明显异常（1970年前或未来时间）的记录。注意：本系统不进行饮食或胰岛素反推（Inference-Free设计），导入的数据仅包含血糖值——未记录的饮食和胰岛素标注留空而非猜测填充，避免引入错误的训练信号。</w:t>
      </w:r>
    </w:p>
    <w:p>
      <w:r>
        <w:rPr>
          <w:rFonts w:ascii="黑体" w:hAnsi="黑体"/>
          <w:b/>
          <w:sz w:val="24"/>
        </w:rPr>
        <w:t>3.3 数据持久化层</w:t>
      </w:r>
    </w:p>
    <w:p>
      <w:r>
        <w:rPr>
          <w:b/>
          <w:sz w:val="22"/>
        </w:rPr>
        <w:t>3.3.1 数据库整体设计</w:t>
      </w:r>
    </w:p>
    <w:p>
      <w:pPr>
        <w:ind w:firstLine="420"/>
      </w:pPr>
      <w:r>
        <w:t>系统使用Room持久化库管理本地SQLite数据库。数据库包含15张表，按功能分为5组：</w:t>
      </w:r>
    </w:p>
    <w:p>
      <w:pPr>
        <w:ind w:firstLine="420"/>
      </w:pPr>
      <w:r>
        <w:t>血糖组（glucose_record表）。 核心表，存储所有CGM血糖读数。字段：id（自增主键）、timestamp（Long，毫秒Unix时间戳）、value（Double，mmol/L）、source（String，数据来源标识）、trend（String，趋势箭头，可选）、noise（Double，噪声评分，0-1）、unit（String，原始单位，用于审计追溯）。索引：单列索引idx_glucose_timestamp（范围查询优化）+ 复合索引idx_glucose_timestamp_value（覆盖索引，加速带值查询）。</w:t>
      </w:r>
    </w:p>
    <w:p>
      <w:pPr>
        <w:ind w:firstLine="420"/>
      </w:pPr>
      <w:r>
        <w:t>饮食组（meal_record表 + meal_item表）。 meal_record存储餐次记录（timestamp、meal_type、totalCarbs、totalProtein、totalFat、note）。meal_item存储具体食物条目（meal_id外键、food_name、amount、unit、carbs、protein、fat）。一对多关系。索引：单列索引idx_meal_timestamp + idx_meal_item_meal_id。</w:t>
      </w:r>
    </w:p>
    <w:p>
      <w:pPr>
        <w:ind w:firstLine="420"/>
      </w:pPr>
      <w:r>
        <w:t>胰岛素组（insulin_record表）。 存储每次胰岛素注射记录。字段：id、timestamp、type（RAPID/SHORT/INTERMEDIATE/LONG_ACTING/MIXED）、dose（Double，单位U）、brand（品牌名）、site（注射部位）、note。索引：单列索引idx_insulin_timestamp。</w:t>
      </w:r>
    </w:p>
    <w:p>
      <w:pPr>
        <w:ind w:firstLine="420"/>
      </w:pPr>
      <w:r>
        <w:t>运动与健康组（exercise_record表 + medication_record表 + weight_record表）。 记录运动类型和时长、口服药物（二甲双胍等）、体重变化等辅助数据。</w:t>
      </w:r>
    </w:p>
    <w:p>
      <w:pPr>
        <w:ind w:firstLine="420"/>
      </w:pPr>
      <w:r>
        <w:t>配置组（user_profile表 + prediction_cache表 + alert_config表 + sync_log表 + debug_log表）。 用户档案（ISF、ICR、BW、糖尿病类型等）、预测缓存、预警配置、同步日志和调试日志。</w:t>
      </w:r>
    </w:p>
    <w:p>
      <w:r>
        <w:rPr>
          <w:b/>
          <w:sz w:val="22"/>
        </w:rPr>
        <w:t>3.3.2 DAO层设计</w:t>
      </w:r>
    </w:p>
    <w:p>
      <w:pPr>
        <w:ind w:firstLine="420"/>
      </w:pPr>
      <w:r>
        <w:t>每个表配备独立的DAO接口，关键查询方法返回Flow类型以实现响应式数据管道：</w:t>
      </w:r>
    </w:p>
    <w:p>
      <w:pPr>
        <w:ind w:firstLine="420"/>
      </w:pPr>
      <w:r>
        <w:t>getLatestFlow(): Flow&lt;GlucoseRecord?&gt; —— 最新单条血糖，自学习引擎订阅</w:t>
      </w:r>
    </w:p>
    <w:p>
      <w:pPr>
        <w:ind w:firstLine="420"/>
      </w:pPr>
      <w:r>
        <w:t>getRecent(count: Int): List&lt;GlucoseRecord&gt; —— 最近N条（DESC），供学习算法使用</w:t>
      </w:r>
    </w:p>
    <w:p>
      <w:pPr>
        <w:ind w:firstLine="420"/>
      </w:pPr>
      <w:r>
        <w:t>getByDateRange(start: Long, end: Long): Flow&lt;List&lt;GlucoseRecord&gt;&gt; —— 日期范围，供UI图表使用</w:t>
      </w:r>
    </w:p>
    <w:p>
      <w:pPr>
        <w:ind w:firstLine="420"/>
      </w:pPr>
      <w:r>
        <w:t>getCount(): Int —— 总记录数，用于信心水平计算</w:t>
      </w:r>
    </w:p>
    <w:p>
      <w:pPr>
        <w:ind w:firstLine="420"/>
      </w:pPr>
      <w:r>
        <w:t>getCountByDateRange(start: Long, end: Long): Int —— 某时间范围内记录数</w:t>
      </w:r>
    </w:p>
    <w:p>
      <w:pPr>
        <w:ind w:firstLine="420"/>
      </w:pPr>
      <w:r>
        <w:t>所有写操作使用@Transaction注解确保原子性，批量导入使用@Insert(onConflict = REPLACE)处理重复数据。</w:t>
      </w:r>
    </w:p>
    <w:p>
      <w:r>
        <w:rPr>
          <w:rFonts w:ascii="黑体" w:hAnsi="黑体"/>
          <w:b/>
          <w:sz w:val="24"/>
        </w:rPr>
        <w:t>3.4 业务逻辑层</w:t>
      </w:r>
    </w:p>
    <w:p>
      <w:pPr>
        <w:ind w:firstLine="420"/>
      </w:pPr>
      <w:r>
        <w:t>业务逻辑层包含14个核心算法类和6个ViewModel类，通过domain包和ui包分离关注点。</w:t>
      </w:r>
    </w:p>
    <w:p>
      <w:r>
        <w:rPr>
          <w:b/>
          <w:sz w:val="22"/>
        </w:rPr>
        <w:t>3.4.1 算法类组织结构</w:t>
      </w:r>
    </w:p>
    <w:p>
      <w:pPr>
        <w:ind w:firstLine="420"/>
      </w:pPr>
      <w:r>
        <w:t>```</w:t>
      </w:r>
    </w:p>
    <w:p>
      <w:pPr>
        <w:ind w:firstLine="420"/>
      </w:pPr>
      <w:r>
        <w:t>domain/algorithm/</w:t>
      </w:r>
    </w:p>
    <w:p>
      <w:pPr>
        <w:ind w:firstLine="420"/>
      </w:pPr>
      <w:r>
        <w:t>├── DallaManModel.kt          # Dalla Man 7隔室生理模型 (8-state RK4)</w:t>
      </w:r>
    </w:p>
    <w:p>
      <w:pPr>
        <w:ind w:firstLine="420"/>
      </w:pPr>
      <w:r>
        <w:t>├── TCNPredictor.kt           # TCN ONNX推理封装</w:t>
      </w:r>
    </w:p>
    <w:p>
      <w:pPr>
        <w:ind w:firstLine="420"/>
      </w:pPr>
      <w:r>
        <w:t>├── FusionPredictor.kt        # BMA融合预测器</w:t>
      </w:r>
    </w:p>
    <w:p>
      <w:pPr>
        <w:ind w:firstLine="420"/>
      </w:pPr>
      <w:r>
        <w:t>├── FeatureExtractor.kt       # 15维特征提取器</w:t>
      </w:r>
    </w:p>
    <w:p>
      <w:pPr>
        <w:ind w:firstLine="420"/>
      </w:pPr>
      <w:r>
        <w:t>├── OnlineLearner.kt          # L1: 统计在线学习引擎</w:t>
      </w:r>
    </w:p>
    <w:p>
      <w:pPr>
        <w:ind w:firstLine="420"/>
      </w:pPr>
      <w:r>
        <w:t>├── IncrementalLearner.kt     # L2: 增量残差学习网络</w:t>
      </w:r>
    </w:p>
    <w:p>
      <w:pPr>
        <w:ind w:firstLine="420"/>
      </w:pPr>
      <w:r>
        <w:t>├── SelfLearningManager.kt    # 自学习统一管理器</w:t>
      </w:r>
    </w:p>
    <w:p>
      <w:pPr>
        <w:ind w:firstLine="420"/>
      </w:pPr>
      <w:r>
        <w:t>├── RealTimeGlucoseMonitor.kt # 实时CGM质量控制</w:t>
      </w:r>
    </w:p>
    <w:p>
      <w:pPr>
        <w:ind w:firstLine="420"/>
      </w:pPr>
      <w:r>
        <w:t>├── CGMCalibrator.kt          # 指尖血校准</w:t>
      </w:r>
    </w:p>
    <w:p>
      <w:pPr>
        <w:ind w:firstLine="420"/>
      </w:pPr>
      <w:r>
        <w:t>├── SmartAdvisor.kt           # 智能决策建议引擎</w:t>
      </w:r>
    </w:p>
    <w:p>
      <w:pPr>
        <w:ind w:firstLine="420"/>
      </w:pPr>
      <w:r>
        <w:t>├── InsulinCalculator.kt      # 餐时胰岛素计算器</w:t>
      </w:r>
    </w:p>
    <w:p>
      <w:pPr>
        <w:ind w:firstLine="420"/>
      </w:pPr>
      <w:r>
        <w:t>├── CarbCalculator.kt         # 碳水计数助手</w:t>
      </w:r>
    </w:p>
    <w:p>
      <w:pPr>
        <w:ind w:firstLine="420"/>
      </w:pPr>
      <w:r>
        <w:t>├── AlertEngine.kt            # 多级预警引擎</w:t>
      </w:r>
    </w:p>
    <w:p>
      <w:pPr>
        <w:ind w:firstLine="420"/>
      </w:pPr>
      <w:r>
        <w:t>├── TrendCalculator.kt        # ROC/AUC趋势计算</w:t>
      </w:r>
    </w:p>
    <w:p>
      <w:pPr>
        <w:ind w:firstLine="420"/>
      </w:pPr>
      <w:r>
        <w:t>├── BergmanModel.kt           # Bergman 3隔室模型(参考基线)</w:t>
      </w:r>
    </w:p>
    <w:p>
      <w:pPr>
        <w:ind w:firstLine="420"/>
      </w:pPr>
      <w:r>
        <w:t>├── AutoParamEstimator.kt     # ISF/CR自动参数估算</w:t>
      </w:r>
    </w:p>
    <w:p>
      <w:pPr>
        <w:ind w:firstLine="420"/>
      </w:pPr>
      <w:r>
        <w:t>├── ReportGenerator.kt        # 多日血糖报告生成</w:t>
      </w:r>
    </w:p>
    <w:p>
      <w:pPr>
        <w:ind w:firstLine="420"/>
      </w:pPr>
      <w:r>
        <w:t>├── NightMonitor.kt           # 夜间低血糖监测</w:t>
      </w:r>
    </w:p>
    <w:p>
      <w:pPr>
        <w:ind w:firstLine="420"/>
      </w:pPr>
      <w:r>
        <w:t>├── CGMPreprocessor.kt        # CGM原始数据预处理</w:t>
      </w:r>
    </w:p>
    <w:p>
      <w:pPr>
        <w:ind w:firstLine="420"/>
      </w:pPr>
      <w:r>
        <w:t>└── PersonalizedPredictor.kt  # 个性化预测包装器</w:t>
      </w:r>
    </w:p>
    <w:p>
      <w:pPr>
        <w:ind w:firstLine="420"/>
      </w:pPr>
      <w:r>
        <w:t>```</w:t>
      </w:r>
    </w:p>
    <w:p>
      <w:r>
        <w:rPr>
          <w:b/>
          <w:sz w:val="22"/>
        </w:rPr>
        <w:t>3.4.2 ViewModel层设计</w:t>
      </w:r>
    </w:p>
    <w:p>
      <w:pPr>
        <w:ind w:firstLine="420"/>
      </w:pPr>
      <w:r>
        <w:t>6个核心ViewModel对应6个主要屏幕：</w:t>
      </w:r>
    </w:p>
    <w:p>
      <w:pPr>
        <w:ind w:firstLine="420"/>
      </w:pPr>
      <w:r>
        <w:t>HomeViewModel：首页血糖图表+日期导航+校准触发+数据导入</w:t>
      </w:r>
    </w:p>
    <w:p>
      <w:pPr>
        <w:ind w:firstLine="420"/>
      </w:pPr>
      <w:r>
        <w:t>PredictionViewModel：预测引擎驱动+TCN锚定+DallaMan个性化+BMA融合</w:t>
      </w:r>
    </w:p>
    <w:p>
      <w:pPr>
        <w:ind w:firstLine="420"/>
      </w:pPr>
      <w:r>
        <w:t>RecordViewModel：饮食/胰岛素/运动手动记录</w:t>
      </w:r>
    </w:p>
    <w:p>
      <w:pPr>
        <w:ind w:firstLine="420"/>
      </w:pPr>
      <w:r>
        <w:t>SettingsViewModel：用户档案+ISF/CR配置+预警阈值+学习状态</w:t>
      </w:r>
    </w:p>
    <w:p>
      <w:pPr>
        <w:ind w:firstLine="420"/>
      </w:pPr>
      <w:r>
        <w:t>ChatViewModel：AI聊天助手+自然语言解析+记录指令执行</w:t>
      </w:r>
    </w:p>
    <w:p>
      <w:pPr>
        <w:ind w:firstLine="420"/>
      </w:pPr>
      <w:r>
        <w:t>ReportViewModel：多日血糖报告+AGP图表+TIR统计+CGM指标</w:t>
      </w:r>
    </w:p>
    <w:p>
      <w:pPr>
        <w:ind w:firstLine="420"/>
      </w:pPr>
      <w:r>
        <w:t>各ViewModel通过viewModelScope.launch启动协程任务，确保在ViewModel清除时自动取消。使用StateFlow（而非LiveData）作为UI状态容器，支持Compose的collectAsState()高效订阅。</w:t>
      </w:r>
    </w:p>
    <w:p>
      <w:r>
        <w:rPr>
          <w:rFonts w:ascii="黑体" w:hAnsi="黑体"/>
          <w:b/>
          <w:sz w:val="24"/>
        </w:rPr>
        <w:t>3.5 用户界面层</w:t>
      </w:r>
    </w:p>
    <w:p>
      <w:r>
        <w:rPr>
          <w:b/>
          <w:sz w:val="22"/>
        </w:rPr>
        <w:t>3.5.1 Compose UI架构</w:t>
      </w:r>
    </w:p>
    <w:p>
      <w:pPr>
        <w:ind w:firstLine="420"/>
      </w:pPr>
      <w:r>
        <w:t>系统使用Jetpack Compose 1.5.4 + Material Design 3实现声明式UI。主要组件树：</w:t>
      </w:r>
    </w:p>
    <w:p>
      <w:pPr>
        <w:ind w:firstLine="420"/>
      </w:pPr>
      <w:r>
        <w:t>```</w:t>
      </w:r>
    </w:p>
    <w:p>
      <w:pPr>
        <w:ind w:firstLine="420"/>
      </w:pPr>
      <w:r>
        <w:t>TangDunApp (Application)</w:t>
      </w:r>
    </w:p>
    <w:p>
      <w:pPr>
        <w:ind w:firstLine="420"/>
      </w:pPr>
      <w:r>
        <w:t>└── MainActivity (single-Activity)</w:t>
      </w:r>
    </w:p>
    <w:p>
      <w:pPr>
        <w:ind w:firstLine="420"/>
      </w:pPr>
      <w:r>
        <w:t>└── TangDunNavHost (Navigation Compose)</w:t>
      </w:r>
    </w:p>
    <w:p>
      <w:pPr>
        <w:ind w:firstLine="420"/>
      </w:pPr>
      <w:r>
        <w:t>├── HomeScreen (首页)</w:t>
      </w:r>
    </w:p>
    <w:p>
      <w:pPr>
        <w:ind w:firstLine="420"/>
      </w:pPr>
      <w:r>
        <w:t>│   ├── GlucoseChart (CGM曲线)</w:t>
      </w:r>
    </w:p>
    <w:p>
      <w:pPr>
        <w:ind w:firstLine="420"/>
      </w:pPr>
      <w:r>
        <w:t>│   ├── TrendCard (趋势箭头+ROC)</w:t>
      </w:r>
    </w:p>
    <w:p>
      <w:pPr>
        <w:ind w:firstLine="420"/>
      </w:pPr>
      <w:r>
        <w:t>│   ├── TIRCard (目标范围内时间)</w:t>
      </w:r>
    </w:p>
    <w:p>
      <w:pPr>
        <w:ind w:firstLine="420"/>
      </w:pPr>
      <w:r>
        <w:t>│   ├── CalibrationCard (指尖血校准)</w:t>
      </w:r>
    </w:p>
    <w:p>
      <w:pPr>
        <w:ind w:firstLine="420"/>
      </w:pPr>
      <w:r>
        <w:t>│   └── RealTimeGlucoseBadge (实时数值)</w:t>
      </w:r>
    </w:p>
    <w:p>
      <w:pPr>
        <w:ind w:firstLine="420"/>
      </w:pPr>
      <w:r>
        <w:t>├── PredictionScreen (预测)</w:t>
      </w:r>
    </w:p>
    <w:p>
      <w:pPr>
        <w:ind w:firstLine="420"/>
      </w:pPr>
      <w:r>
        <w:t>│   ├── PredictionChart (预测曲线)</w:t>
      </w:r>
    </w:p>
    <w:p>
      <w:pPr>
        <w:ind w:firstLine="420"/>
      </w:pPr>
      <w:r>
        <w:t>│   ├── ConfidenceIndicator (信心水平)</w:t>
      </w:r>
    </w:p>
    <w:p>
      <w:pPr>
        <w:ind w:firstLine="420"/>
      </w:pPr>
      <w:r>
        <w:t>│   ├── TimeRangeFilterChips (1h/3h/6h/12h/24h)</w:t>
      </w:r>
    </w:p>
    <w:p>
      <w:pPr>
        <w:ind w:firstLine="420"/>
      </w:pPr>
      <w:r>
        <w:t>│   ├── BMADetailCard (BMA权重分解)</w:t>
      </w:r>
    </w:p>
    <w:p>
      <w:pPr>
        <w:ind w:firstLine="420"/>
      </w:pPr>
      <w:r>
        <w:t>│   └── LearningStatusChip (学习状态)</w:t>
      </w:r>
    </w:p>
    <w:p>
      <w:pPr>
        <w:ind w:firstLine="420"/>
      </w:pPr>
      <w:r>
        <w:t>├── RecordScreen (记录)</w:t>
      </w:r>
    </w:p>
    <w:p>
      <w:pPr>
        <w:ind w:firstLine="420"/>
      </w:pPr>
      <w:r>
        <w:t>│   ├── MealRecordForm (饮食记录+食物库搜索)</w:t>
      </w:r>
    </w:p>
    <w:p>
      <w:pPr>
        <w:ind w:firstLine="420"/>
      </w:pPr>
      <w:r>
        <w:t>│   ├── InsulinRecordForm (胰岛素记录)</w:t>
      </w:r>
    </w:p>
    <w:p>
      <w:pPr>
        <w:ind w:firstLine="420"/>
      </w:pPr>
      <w:r>
        <w:t>│   ├── ExerciseRecordForm (运动记录)</w:t>
      </w:r>
    </w:p>
    <w:p>
      <w:pPr>
        <w:ind w:firstLine="420"/>
      </w:pPr>
      <w:r>
        <w:t>│   └── AIChatEntry (AI语音/文字记录入口)</w:t>
      </w:r>
    </w:p>
    <w:p>
      <w:pPr>
        <w:ind w:firstLine="420"/>
      </w:pPr>
      <w:r>
        <w:t>├── SettingsScreen (设置)</w:t>
      </w:r>
    </w:p>
    <w:p>
      <w:pPr>
        <w:ind w:firstLine="420"/>
      </w:pPr>
      <w:r>
        <w:t>│   ├── UserProfileSection (个人信息)</w:t>
      </w:r>
    </w:p>
    <w:p>
      <w:pPr>
        <w:ind w:firstLine="420"/>
      </w:pPr>
      <w:r>
        <w:t>│   ├── ParameterConfigCard (ISF/CR/Target)</w:t>
      </w:r>
    </w:p>
    <w:p>
      <w:pPr>
        <w:ind w:firstLine="420"/>
      </w:pPr>
      <w:r>
        <w:t>│   ├── AlertThresholdConfig (预警阈值)</w:t>
      </w:r>
    </w:p>
    <w:p>
      <w:pPr>
        <w:ind w:firstLine="420"/>
      </w:pPr>
      <w:r>
        <w:t>│   ├── SelfLearningCard (学习状态双面板)</w:t>
      </w:r>
    </w:p>
    <w:p>
      <w:pPr>
        <w:ind w:firstLine="420"/>
      </w:pPr>
      <w:r>
        <w:t>│   ├── DataShareCard (数据导出/分享)</w:t>
      </w:r>
    </w:p>
    <w:p>
      <w:pPr>
        <w:ind w:firstLine="420"/>
      </w:pPr>
      <w:r>
        <w:t>│   ├── DebugExportButton (调试导出)</w:t>
      </w:r>
    </w:p>
    <w:p>
      <w:pPr>
        <w:ind w:firstLine="420"/>
      </w:pPr>
      <w:r>
        <w:t>│   └── ThemeLanguageCard (主题/语言)</w:t>
      </w:r>
    </w:p>
    <w:p>
      <w:pPr>
        <w:ind w:firstLine="420"/>
      </w:pPr>
      <w:r>
        <w:t>└── AiChatScreen (AI助手)</w:t>
      </w:r>
    </w:p>
    <w:p>
      <w:pPr>
        <w:ind w:firstLine="420"/>
      </w:pPr>
      <w:r>
        <w:t>├── ChatMessageList (对话列表)</w:t>
      </w:r>
    </w:p>
    <w:p>
      <w:pPr>
        <w:ind w:firstLine="420"/>
      </w:pPr>
      <w:r>
        <w:t>├── QuickCommandChips (快捷指令)</w:t>
      </w:r>
    </w:p>
    <w:p>
      <w:pPr>
        <w:ind w:firstLine="420"/>
      </w:pPr>
      <w:r>
        <w:t>├── RecordConfirmationCard (记录确认)</w:t>
      </w:r>
    </w:p>
    <w:p>
      <w:pPr>
        <w:ind w:firstLine="420"/>
      </w:pPr>
      <w:r>
        <w:t>└── ChatInputBar (输入框+语音按钮)</w:t>
      </w:r>
    </w:p>
    <w:p>
      <w:pPr>
        <w:ind w:firstLine="420"/>
      </w:pPr>
      <w:r>
        <w:t>```</w:t>
      </w:r>
    </w:p>
    <w:p>
      <w:r>
        <w:rPr>
          <w:b/>
          <w:sz w:val="22"/>
        </w:rPr>
        <w:t>3.5.2 主题与国际化</w:t>
      </w:r>
    </w:p>
    <w:p>
      <w:pPr>
        <w:ind w:firstLine="420"/>
      </w:pPr>
      <w:r>
        <w:t>使用Material Design 3的DynamicColor支持Android 12+的Material You动态取色，与系统壁纸色彩协调。同时设计了专用的暖色主题（橙色系主色调，与"糖盾"品名呼应）和深色主题。文本使用中英文双语资源文件（values/strings.xml + values-en/strings.xml）。</w:t>
      </w:r>
    </w:p>
    <w:p>
      <w:r>
        <w:rPr>
          <w:rFonts w:ascii="黑体" w:hAnsi="黑体"/>
          <w:b/>
          <w:sz w:val="24"/>
        </w:rPr>
        <w:t>3.6 后台服务层</w:t>
      </w:r>
    </w:p>
    <w:p>
      <w:r>
        <w:rPr>
          <w:b/>
          <w:sz w:val="22"/>
        </w:rPr>
        <w:t>3.6.1 GlucoseForegroundService</w:t>
      </w:r>
    </w:p>
    <w:p>
      <w:pPr>
        <w:ind w:firstLine="420"/>
      </w:pPr>
      <w:r>
        <w:t>参考xDrip+的foreground service设计，系统实现了GlucoseForegroundService作为持久化后台运行容器。该服务显示一个持久化系统通知（Android 8.0+的Notification Channel要求），通知内容包含最新血糖值、趋势箭头、预测30分钟血糖值和sparkline（微型血糖曲线，使用Canvas绘制为通知图标尺寸的Bitmap）。</w:t>
      </w:r>
    </w:p>
    <w:p>
      <w:pPr>
        <w:ind w:firstLine="420"/>
      </w:pPr>
      <w:r>
        <w:t>服务生命周期管理：</w:t>
      </w:r>
    </w:p>
    <w:p>
      <w:pPr>
        <w:ind w:firstLine="420"/>
      </w:pPr>
      <w:r>
        <w:t>onStartCommand返回START_STICKY，确保在系统内存压力下被终止后自动重启（Intent为null时恢复上次状态）</w:t>
      </w:r>
    </w:p>
    <w:p>
      <w:pPr>
        <w:ind w:firstLine="420"/>
      </w:pPr>
      <w:r>
        <w:t>使用startForeground(FOREGROUND_ID, notification)确保通知的可见性和进程的高优先级</w:t>
      </w:r>
    </w:p>
    <w:p>
      <w:pPr>
        <w:ind w:firstLine="420"/>
      </w:pPr>
      <w:r>
        <w:t>配合RestartReceiver（AlarmManager AlarmManager.ELAPSED_REALTIME_WAKEUP每15分钟触发一次）和服务内Health Check实现三重保活</w:t>
      </w:r>
    </w:p>
    <w:p>
      <w:pPr>
        <w:ind w:firstLine="420"/>
      </w:pPr>
      <w:r>
        <w:t>电量优化豁免引导（引导用户前往系统设置关闭电池优化限制）</w:t>
      </w:r>
    </w:p>
    <w:p>
      <w:pPr>
        <w:ind w:firstLine="420"/>
      </w:pPr>
      <w:r>
        <w:t>自启动权限引导（引导用户在手机管家/安全中心中开启应用自启动）</w:t>
      </w:r>
    </w:p>
    <w:p>
      <w:r>
        <w:rPr>
          <w:b/>
          <w:sz w:val="22"/>
        </w:rPr>
        <w:t>3.6.2 GlucoseAlarmService</w:t>
      </w:r>
    </w:p>
    <w:p>
      <w:pPr>
        <w:ind w:firstLine="420"/>
      </w:pPr>
      <w:r>
        <w:t>预警服务负责在高/低血糖事件发生时触发多级通知和自动紧急响应。预警的分级策略、通知渠道和振动模式详见5.5节。</w:t>
      </w:r>
    </w:p>
    <w:p>
      <w:pPr>
        <w:ind w:firstLine="420"/>
      </w:pPr>
      <w:r>
        <w:t>本章是全文的核心章节，系统阐述糖盾系统的算法设计，包括问题形式化定义、多源特征提取、TCN模型设计与推理、Dalla Man七隔室生理模型的五项增强与ISF驱动个性化、BMA融合策略和四层增量自学习机制。</w:t>
      </w:r>
    </w:p>
    <w:p>
      <w:r>
        <w:rPr>
          <w:rFonts w:ascii="黑体" w:hAnsi="黑体"/>
          <w:b/>
          <w:sz w:val="24"/>
        </w:rPr>
        <w:t>4.1 问题形式化定义</w:t>
      </w:r>
    </w:p>
    <w:p>
      <w:r>
        <w:rPr>
          <w:b/>
          <w:sz w:val="22"/>
        </w:rPr>
        <w:t>4.1.1 血糖预测的数学定义</w:t>
      </w:r>
    </w:p>
    <w:p>
      <w:pPr>
        <w:ind w:firstLine="420"/>
      </w:pPr>
      <w:r>
        <w:t>给定时间t和历史窗口长度H，定义以下观测变量：</w:t>
      </w:r>
    </w:p>
    <w:p>
      <w:pPr>
        <w:ind w:firstLine="420"/>
      </w:pPr>
      <w:r>
        <w:t>历史血糖序列：G[t-H, t] = {g(t-H·Δt), g(t-(H-1)·Δt), ..., g(t)}，其中Δt = 5分钟（CGM采样间隔），H = 288（覆盖24小时）</w:t>
      </w:r>
    </w:p>
    <w:p>
      <w:pPr>
        <w:ind w:firstLine="420"/>
      </w:pPr>
      <w:r>
        <w:t>历史胰岛素注射记录：I[t-H, t] = {(tⱼ, dⱼ, typeⱼ) | t-H ≤ tⱼ ≤ t}，其中dⱼ为剂量（U），typeⱼ为胰岛素类型</w:t>
      </w:r>
    </w:p>
    <w:p>
      <w:pPr>
        <w:ind w:firstLine="420"/>
      </w:pPr>
      <w:r>
        <w:t>历史饮食记录：M[t-H, t] = {(tₖ, cₖ) | t-H ≤ tₖ ≤ t}，其中cₖ为碳水摄入量（克）</w:t>
      </w:r>
    </w:p>
    <w:p>
      <w:pPr>
        <w:ind w:firstLine="420"/>
      </w:pPr>
      <w:r>
        <w:t>历史运动记录：E[t-H, t] = {(tₗ, durationₗ, intensityₗ) | t-H ≤ tₗ ≤ t}</w:t>
      </w:r>
    </w:p>
    <w:p>
      <w:pPr>
        <w:ind w:firstLine="420"/>
      </w:pPr>
      <w:r>
        <w:t>用户静态参数：θ = {ISF, CR, BW, 糖尿病类型, β细胞功能估计}</w:t>
      </w:r>
    </w:p>
    <w:p>
      <w:pPr>
        <w:ind w:firstLine="420"/>
      </w:pPr>
      <w:r>
        <w:t>目标是学习预测函数F，对未来预测时域P = 36步（180分钟）的血糖值进行估计：</w:t>
      </w:r>
    </w:p>
    <w:p>
      <w:pPr>
        <w:ind w:firstLine="420"/>
      </w:pPr>
      <w:r>
        <w:t>Ĝ[t+1, t+P] = F(G[t-H, t], I[t-H, t], M[t-H, t], E[t-H, t]; θ)</w:t>
      </w:r>
    </w:p>
    <w:p>
      <w:r>
        <w:rPr>
          <w:b/>
          <w:sz w:val="22"/>
        </w:rPr>
        <w:t>4.1.2 预测精度评估标准</w:t>
      </w:r>
    </w:p>
    <w:p>
      <w:pPr>
        <w:ind w:firstLine="420"/>
      </w:pPr>
      <w:r>
        <w:t>系统在三个预测时域上评估精度：30分钟（6步）、60分钟（12步）和180分钟（36步）。主要评估指标包括：</w:t>
      </w:r>
    </w:p>
    <w:p>
      <w:pPr>
        <w:ind w:firstLine="420"/>
      </w:pPr>
      <w:r>
        <w:t>MAE (Mean Absolute Error)：平均绝对误差，反映预测值的平均偏离幅度</w:t>
      </w:r>
    </w:p>
    <w:p>
      <w:pPr>
        <w:ind w:firstLine="420"/>
      </w:pPr>
      <w:r>
        <w:t>RMSE (Root Mean Square Error)：均方根误差，对大误差更敏感</w:t>
      </w:r>
    </w:p>
    <w:p>
      <w:pPr>
        <w:ind w:firstLine="420"/>
      </w:pPr>
      <w:r>
        <w:t>Clarke EGA：将每个(预测值, 实际值)点映射到A-E五个临床风险区域</w:t>
      </w:r>
    </w:p>
    <w:p>
      <w:pPr>
        <w:ind w:firstLine="420"/>
      </w:pPr>
      <w:r>
        <w:t>MARD (Mean Absolute Relative Difference)：相对误差，在低血糖区间更敏感</w:t>
      </w:r>
    </w:p>
    <w:p>
      <w:pPr>
        <w:ind w:firstLine="420"/>
      </w:pPr>
      <w:r>
        <w:t>预测-实际相关性：Pearson相关系数</w:t>
      </w:r>
    </w:p>
    <w:p>
      <w:r>
        <w:rPr>
          <w:rFonts w:ascii="黑体" w:hAnsi="黑体"/>
          <w:b/>
          <w:sz w:val="24"/>
        </w:rPr>
        <w:t>4.2 多源特征提取</w:t>
      </w:r>
    </w:p>
    <w:p>
      <w:r>
        <w:rPr>
          <w:b/>
          <w:sz w:val="22"/>
        </w:rPr>
        <w:t>4.2.1 特征提取器设计</w:t>
      </w:r>
    </w:p>
    <w:p>
      <w:pPr>
        <w:ind w:firstLine="420"/>
      </w:pPr>
      <w:r>
        <w:t>FeatureExtractor从288点（24小时）的CGM滑动窗口和相关事件记录中提取15维特征向量。特征设计遵循三个原则：（1）覆盖血糖动态的多时间尺度（即时→短期→长期）；（2）融合多源数据（CGM、胰岛素、饮食、穿戴设备）；（3）所有特征归一化至具有合理数值范围的区间，确保神经网络训练的数值稳定性。</w:t>
      </w:r>
    </w:p>
    <w:p>
      <w:r>
        <w:rPr>
          <w:b/>
          <w:sz w:val="22"/>
        </w:rPr>
        <w:t>4.2.2 15维特征详述</w:t>
      </w:r>
    </w:p>
    <w:p>
      <w:pPr>
        <w:ind w:firstLine="420"/>
      </w:pPr>
      <w:r>
        <w:t>血糖自相关特征（f1-f9）：</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jc w:val="center"/>
            </w:pPr>
            <w:r>
              <w:rPr>
                <w:sz w:val="18"/>
              </w:rPr>
              <w:t>特征</w:t>
            </w:r>
          </w:p>
        </w:tc>
        <w:tc>
          <w:tcPr>
            <w:tcW w:type="dxa" w:w="2158"/>
          </w:tcPr>
          <w:p>
            <w:pPr>
              <w:jc w:val="center"/>
            </w:pPr>
            <w:r>
              <w:rPr>
                <w:sz w:val="18"/>
              </w:rPr>
              <w:t>描述</w:t>
            </w:r>
          </w:p>
        </w:tc>
        <w:tc>
          <w:tcPr>
            <w:tcW w:type="dxa" w:w="2158"/>
          </w:tcPr>
          <w:p>
            <w:pPr>
              <w:jc w:val="center"/>
            </w:pPr>
            <w:r>
              <w:rPr>
                <w:sz w:val="18"/>
              </w:rPr>
              <w:t>计算方式</w:t>
            </w:r>
          </w:p>
        </w:tc>
        <w:tc>
          <w:tcPr>
            <w:tcW w:type="dxa" w:w="2158"/>
          </w:tcPr>
          <w:p>
            <w:pPr>
              <w:jc w:val="center"/>
            </w:pPr>
            <w:r>
              <w:rPr>
                <w:sz w:val="18"/>
              </w:rPr>
              <w:t>归一化</w:t>
            </w:r>
          </w:p>
        </w:tc>
      </w:tr>
    </w:tbl>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jc w:val="center"/>
            </w:pPr>
            <w:r>
              <w:rPr>
                <w:sz w:val="18"/>
              </w:rPr>
              <w:t>f1</w:t>
            </w:r>
          </w:p>
        </w:tc>
        <w:tc>
          <w:tcPr>
            <w:tcW w:type="dxa" w:w="2158"/>
          </w:tcPr>
          <w:p>
            <w:pPr>
              <w:jc w:val="center"/>
            </w:pPr>
            <w:r>
              <w:rPr>
                <w:sz w:val="18"/>
              </w:rPr>
              <w:t>当前血糖归一化</w:t>
            </w:r>
          </w:p>
        </w:tc>
        <w:tc>
          <w:tcPr>
            <w:tcW w:type="dxa" w:w="2158"/>
          </w:tcPr>
          <w:p>
            <w:pPr>
              <w:jc w:val="center"/>
            </w:pPr>
            <w:r>
              <w:rPr>
                <w:sz w:val="18"/>
              </w:rPr>
              <w:t>g(t)/18.0</w:t>
            </w:r>
          </w:p>
        </w:tc>
        <w:tc>
          <w:tcPr>
            <w:tcW w:type="dxa" w:w="2158"/>
          </w:tcPr>
          <w:p>
            <w:pPr>
              <w:jc w:val="center"/>
            </w:pPr>
            <w:r>
              <w:rPr>
                <w:sz w:val="18"/>
              </w:rPr>
              <w:t>[0, 1.67]</w:t>
            </w:r>
          </w:p>
        </w:tc>
      </w:tr>
    </w:tbl>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jc w:val="center"/>
            </w:pPr>
            <w:r>
              <w:rPr>
                <w:sz w:val="18"/>
              </w:rPr>
              <w:t>f2</w:t>
            </w:r>
          </w:p>
        </w:tc>
        <w:tc>
          <w:tcPr>
            <w:tcW w:type="dxa" w:w="2158"/>
          </w:tcPr>
          <w:p>
            <w:pPr>
              <w:jc w:val="center"/>
            </w:pPr>
            <w:r>
              <w:rPr>
                <w:sz w:val="18"/>
              </w:rPr>
              <w:t>15分钟血糖变化率</w:t>
            </w:r>
          </w:p>
        </w:tc>
        <w:tc>
          <w:tcPr>
            <w:tcW w:type="dxa" w:w="2158"/>
          </w:tcPr>
          <w:p>
            <w:pPr>
              <w:jc w:val="center"/>
            </w:pPr>
            <w:r>
              <w:rPr>
                <w:sz w:val="18"/>
              </w:rPr>
              <w:t>(g(t)-g(t-3))/g(t-3)</w:t>
            </w:r>
          </w:p>
        </w:tc>
        <w:tc>
          <w:tcPr>
            <w:tcW w:type="dxa" w:w="2158"/>
          </w:tcPr>
          <w:p>
            <w:pPr>
              <w:jc w:val="center"/>
            </w:pPr>
            <w:r>
              <w:rPr>
                <w:sz w:val="18"/>
              </w:rPr>
              <w:t>[-1, 1]</w:t>
            </w:r>
          </w:p>
        </w:tc>
      </w:tr>
    </w:tbl>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jc w:val="center"/>
            </w:pPr>
            <w:r>
              <w:rPr>
                <w:sz w:val="18"/>
              </w:rPr>
              <w:t>f3</w:t>
            </w:r>
          </w:p>
        </w:tc>
        <w:tc>
          <w:tcPr>
            <w:tcW w:type="dxa" w:w="2158"/>
          </w:tcPr>
          <w:p>
            <w:pPr>
              <w:jc w:val="center"/>
            </w:pPr>
            <w:r>
              <w:rPr>
                <w:sz w:val="18"/>
              </w:rPr>
              <w:t>30分钟血糖变化率</w:t>
            </w:r>
          </w:p>
        </w:tc>
        <w:tc>
          <w:tcPr>
            <w:tcW w:type="dxa" w:w="2158"/>
          </w:tcPr>
          <w:p>
            <w:pPr>
              <w:jc w:val="center"/>
            </w:pPr>
            <w:r>
              <w:rPr>
                <w:sz w:val="18"/>
              </w:rPr>
              <w:t>(g(t)-g(t-6))/g(t-6)</w:t>
            </w:r>
          </w:p>
        </w:tc>
        <w:tc>
          <w:tcPr>
            <w:tcW w:type="dxa" w:w="2158"/>
          </w:tcPr>
          <w:p>
            <w:pPr>
              <w:jc w:val="center"/>
            </w:pPr>
            <w:r>
              <w:rPr>
                <w:sz w:val="18"/>
              </w:rPr>
              <w:t>[-1, 1]</w:t>
            </w:r>
          </w:p>
        </w:tc>
      </w:tr>
    </w:tbl>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jc w:val="center"/>
            </w:pPr>
            <w:r>
              <w:rPr>
                <w:sz w:val="18"/>
              </w:rPr>
              <w:t>f4</w:t>
            </w:r>
          </w:p>
        </w:tc>
        <w:tc>
          <w:tcPr>
            <w:tcW w:type="dxa" w:w="2158"/>
          </w:tcPr>
          <w:p>
            <w:pPr>
              <w:jc w:val="center"/>
            </w:pPr>
            <w:r>
              <w:rPr>
                <w:sz w:val="18"/>
              </w:rPr>
              <w:t>60分钟血糖ROC</w:t>
            </w:r>
          </w:p>
        </w:tc>
        <w:tc>
          <w:tcPr>
            <w:tcW w:type="dxa" w:w="2158"/>
          </w:tcPr>
          <w:p>
            <w:pPr>
              <w:jc w:val="center"/>
            </w:pPr>
            <w:r>
              <w:rPr>
                <w:sz w:val="18"/>
              </w:rPr>
              <w:t>线性回归斜率(t-12到t)</w:t>
            </w:r>
          </w:p>
        </w:tc>
        <w:tc>
          <w:tcPr>
            <w:tcW w:type="dxa" w:w="2158"/>
          </w:tcPr>
          <w:p>
            <w:pPr>
              <w:jc w:val="center"/>
            </w:pPr>
            <w:r>
              <w:rPr>
                <w:sz w:val="18"/>
              </w:rPr>
              <w:t>[-3, 3]</w:t>
            </w:r>
          </w:p>
        </w:tc>
      </w:tr>
    </w:tbl>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jc w:val="center"/>
            </w:pPr>
            <w:r>
              <w:rPr>
                <w:sz w:val="18"/>
              </w:rPr>
              <w:t>f5</w:t>
            </w:r>
          </w:p>
        </w:tc>
        <w:tc>
          <w:tcPr>
            <w:tcW w:type="dxa" w:w="2158"/>
          </w:tcPr>
          <w:p>
            <w:pPr>
              <w:jc w:val="center"/>
            </w:pPr>
            <w:r>
              <w:rPr>
                <w:sz w:val="18"/>
              </w:rPr>
              <w:t>血糖标准差(4h窗口)</w:t>
            </w:r>
          </w:p>
        </w:tc>
        <w:tc>
          <w:tcPr>
            <w:tcW w:type="dxa" w:w="2158"/>
          </w:tcPr>
          <w:p>
            <w:pPr>
              <w:jc w:val="center"/>
            </w:pPr>
            <w:r>
              <w:rPr>
                <w:sz w:val="18"/>
              </w:rPr>
              <w:t>std(g[t-48, t])</w:t>
            </w:r>
          </w:p>
        </w:tc>
        <w:tc>
          <w:tcPr>
            <w:tcW w:type="dxa" w:w="2158"/>
          </w:tcPr>
          <w:p>
            <w:pPr>
              <w:jc w:val="center"/>
            </w:pPr>
            <w:r>
              <w:rPr>
                <w:sz w:val="18"/>
              </w:rPr>
              <w:t>[0, 3]</w:t>
            </w:r>
          </w:p>
        </w:tc>
      </w:tr>
    </w:tbl>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jc w:val="center"/>
            </w:pPr>
            <w:r>
              <w:rPr>
                <w:sz w:val="18"/>
              </w:rPr>
              <w:t>f6</w:t>
            </w:r>
          </w:p>
        </w:tc>
        <w:tc>
          <w:tcPr>
            <w:tcW w:type="dxa" w:w="2158"/>
          </w:tcPr>
          <w:p>
            <w:pPr>
              <w:jc w:val="center"/>
            </w:pPr>
            <w:r>
              <w:rPr>
                <w:sz w:val="18"/>
              </w:rPr>
              <w:t>血糖变异系数(4h)</w:t>
            </w:r>
          </w:p>
        </w:tc>
        <w:tc>
          <w:tcPr>
            <w:tcW w:type="dxa" w:w="2158"/>
          </w:tcPr>
          <w:p>
            <w:pPr>
              <w:jc w:val="center"/>
            </w:pPr>
            <w:r>
              <w:rPr>
                <w:sz w:val="18"/>
              </w:rPr>
              <w:t>std/mean(t-48到t)</w:t>
            </w:r>
          </w:p>
        </w:tc>
        <w:tc>
          <w:tcPr>
            <w:tcW w:type="dxa" w:w="2158"/>
          </w:tcPr>
          <w:p>
            <w:pPr>
              <w:jc w:val="center"/>
            </w:pPr>
            <w:r>
              <w:rPr>
                <w:sz w:val="18"/>
              </w:rPr>
              <w:t>[0, 0.5]</w:t>
            </w:r>
          </w:p>
        </w:tc>
      </w:tr>
    </w:tbl>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jc w:val="center"/>
            </w:pPr>
            <w:r>
              <w:rPr>
                <w:sz w:val="18"/>
              </w:rPr>
              <w:t>f7</w:t>
            </w:r>
          </w:p>
        </w:tc>
        <w:tc>
          <w:tcPr>
            <w:tcW w:type="dxa" w:w="2158"/>
          </w:tcPr>
          <w:p>
            <w:pPr>
              <w:jc w:val="center"/>
            </w:pPr>
            <w:r>
              <w:rPr>
                <w:sz w:val="18"/>
              </w:rPr>
              <w:t>最低血糖(4h)</w:t>
            </w:r>
          </w:p>
        </w:tc>
        <w:tc>
          <w:tcPr>
            <w:tcW w:type="dxa" w:w="2158"/>
          </w:tcPr>
          <w:p>
            <w:pPr>
              <w:jc w:val="center"/>
            </w:pPr>
            <w:r>
              <w:rPr>
                <w:sz w:val="18"/>
              </w:rPr>
              <w:t>min(g[t-48, t])</w:t>
            </w:r>
          </w:p>
        </w:tc>
        <w:tc>
          <w:tcPr>
            <w:tcW w:type="dxa" w:w="2158"/>
          </w:tcPr>
          <w:p>
            <w:pPr>
              <w:jc w:val="center"/>
            </w:pPr>
            <w:r>
              <w:rPr>
                <w:sz w:val="18"/>
              </w:rPr>
              <w:t>[0, 1.67]</w:t>
            </w:r>
          </w:p>
        </w:tc>
      </w:tr>
    </w:tbl>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jc w:val="center"/>
            </w:pPr>
            <w:r>
              <w:rPr>
                <w:sz w:val="18"/>
              </w:rPr>
              <w:t>f8</w:t>
            </w:r>
          </w:p>
        </w:tc>
        <w:tc>
          <w:tcPr>
            <w:tcW w:type="dxa" w:w="2158"/>
          </w:tcPr>
          <w:p>
            <w:pPr>
              <w:jc w:val="center"/>
            </w:pPr>
            <w:r>
              <w:rPr>
                <w:sz w:val="18"/>
              </w:rPr>
              <w:t>最高血糖(4h)</w:t>
            </w:r>
          </w:p>
        </w:tc>
        <w:tc>
          <w:tcPr>
            <w:tcW w:type="dxa" w:w="2158"/>
          </w:tcPr>
          <w:p>
            <w:pPr>
              <w:jc w:val="center"/>
            </w:pPr>
            <w:r>
              <w:rPr>
                <w:sz w:val="18"/>
              </w:rPr>
              <w:t>max(g[t-48, t])</w:t>
            </w:r>
          </w:p>
        </w:tc>
        <w:tc>
          <w:tcPr>
            <w:tcW w:type="dxa" w:w="2158"/>
          </w:tcPr>
          <w:p>
            <w:pPr>
              <w:jc w:val="center"/>
            </w:pPr>
            <w:r>
              <w:rPr>
                <w:sz w:val="18"/>
              </w:rPr>
              <w:t>[0, 1.67]</w:t>
            </w:r>
          </w:p>
        </w:tc>
      </w:tr>
    </w:tbl>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jc w:val="center"/>
            </w:pPr>
            <w:r>
              <w:rPr>
                <w:sz w:val="18"/>
              </w:rPr>
              <w:t>f9</w:t>
            </w:r>
          </w:p>
        </w:tc>
        <w:tc>
          <w:tcPr>
            <w:tcW w:type="dxa" w:w="2158"/>
          </w:tcPr>
          <w:p>
            <w:pPr>
              <w:jc w:val="center"/>
            </w:pPr>
            <w:r>
              <w:rPr>
                <w:sz w:val="18"/>
              </w:rPr>
              <w:t>当前-4h均值偏差</w:t>
            </w:r>
          </w:p>
        </w:tc>
        <w:tc>
          <w:tcPr>
            <w:tcW w:type="dxa" w:w="2158"/>
          </w:tcPr>
          <w:p>
            <w:pPr>
              <w:jc w:val="center"/>
            </w:pPr>
            <w:r>
              <w:rPr>
                <w:sz w:val="18"/>
              </w:rPr>
              <w:t>g(t)-mean(g[t-48, t])</w:t>
            </w:r>
          </w:p>
        </w:tc>
        <w:tc>
          <w:tcPr>
            <w:tcW w:type="dxa" w:w="2158"/>
          </w:tcPr>
          <w:p>
            <w:pPr>
              <w:jc w:val="center"/>
            </w:pPr>
            <w:r>
              <w:rPr>
                <w:sz w:val="18"/>
              </w:rPr>
              <w:t>[-1, 1]</w:t>
            </w:r>
          </w:p>
        </w:tc>
      </w:tr>
    </w:tbl>
    <w:p>
      <w:pPr>
        <w:ind w:firstLine="420"/>
      </w:pPr>
      <w:r>
        <w:t>胰岛素和饮食特征（f10-f13）：</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jc w:val="center"/>
            </w:pPr>
            <w:r>
              <w:rPr>
                <w:sz w:val="18"/>
              </w:rPr>
              <w:t>特征</w:t>
            </w:r>
          </w:p>
        </w:tc>
        <w:tc>
          <w:tcPr>
            <w:tcW w:type="dxa" w:w="2158"/>
          </w:tcPr>
          <w:p>
            <w:pPr>
              <w:jc w:val="center"/>
            </w:pPr>
            <w:r>
              <w:rPr>
                <w:sz w:val="18"/>
              </w:rPr>
              <w:t>描述</w:t>
            </w:r>
          </w:p>
        </w:tc>
        <w:tc>
          <w:tcPr>
            <w:tcW w:type="dxa" w:w="2158"/>
          </w:tcPr>
          <w:p>
            <w:pPr>
              <w:jc w:val="center"/>
            </w:pPr>
            <w:r>
              <w:rPr>
                <w:sz w:val="18"/>
              </w:rPr>
              <w:t>计算方式</w:t>
            </w:r>
          </w:p>
        </w:tc>
        <w:tc>
          <w:tcPr>
            <w:tcW w:type="dxa" w:w="2158"/>
          </w:tcPr>
          <w:p>
            <w:pPr>
              <w:jc w:val="center"/>
            </w:pPr>
            <w:r>
              <w:rPr>
                <w:sz w:val="18"/>
              </w:rPr>
              <w:t>归一化</w:t>
            </w:r>
          </w:p>
        </w:tc>
      </w:tr>
    </w:tbl>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jc w:val="center"/>
            </w:pPr>
            <w:r>
              <w:rPr>
                <w:sz w:val="18"/>
              </w:rPr>
              <w:t>f10</w:t>
            </w:r>
          </w:p>
        </w:tc>
        <w:tc>
          <w:tcPr>
            <w:tcW w:type="dxa" w:w="2158"/>
          </w:tcPr>
          <w:p>
            <w:pPr>
              <w:jc w:val="center"/>
            </w:pPr>
            <w:r>
              <w:rPr>
                <w:sz w:val="18"/>
              </w:rPr>
              <w:t>4小时胰岛素总量</w:t>
            </w:r>
          </w:p>
        </w:tc>
        <w:tc>
          <w:tcPr>
            <w:tcW w:type="dxa" w:w="2158"/>
          </w:tcPr>
          <w:p>
            <w:pPr>
              <w:jc w:val="center"/>
            </w:pPr>
            <w:r>
              <w:rPr>
                <w:sz w:val="18"/>
              </w:rPr>
              <w:t>Σ bolus I[t-48, t] (U)</w:t>
            </w:r>
          </w:p>
        </w:tc>
        <w:tc>
          <w:tcPr>
            <w:tcW w:type="dxa" w:w="2158"/>
          </w:tcPr>
          <w:p>
            <w:pPr>
              <w:jc w:val="center"/>
            </w:pPr>
            <w:r>
              <w:rPr>
                <w:sz w:val="18"/>
              </w:rPr>
              <w:t>/50.0</w:t>
            </w:r>
          </w:p>
        </w:tc>
      </w:tr>
    </w:tbl>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jc w:val="center"/>
            </w:pPr>
            <w:r>
              <w:rPr>
                <w:sz w:val="18"/>
              </w:rPr>
              <w:t>f11</w:t>
            </w:r>
          </w:p>
        </w:tc>
        <w:tc>
          <w:tcPr>
            <w:tcW w:type="dxa" w:w="2158"/>
          </w:tcPr>
          <w:p>
            <w:pPr>
              <w:jc w:val="center"/>
            </w:pPr>
            <w:r>
              <w:rPr>
                <w:sz w:val="18"/>
              </w:rPr>
              <w:t>距最近胰岛素注射时间</w:t>
            </w:r>
          </w:p>
        </w:tc>
        <w:tc>
          <w:tcPr>
            <w:tcW w:type="dxa" w:w="2158"/>
          </w:tcPr>
          <w:p>
            <w:pPr>
              <w:jc w:val="center"/>
            </w:pPr>
            <w:r>
              <w:rPr>
                <w:sz w:val="18"/>
              </w:rPr>
              <w:t>min(Δt_last_insulin, 120)/120</w:t>
            </w:r>
          </w:p>
        </w:tc>
        <w:tc>
          <w:tcPr>
            <w:tcW w:type="dxa" w:w="2158"/>
          </w:tcPr>
          <w:p>
            <w:pPr>
              <w:jc w:val="center"/>
            </w:pPr>
            <w:r>
              <w:rPr>
                <w:sz w:val="18"/>
              </w:rPr>
              <w:t>[0, 1] (无数据=1.0)</w:t>
            </w:r>
          </w:p>
        </w:tc>
      </w:tr>
    </w:tbl>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jc w:val="center"/>
            </w:pPr>
            <w:r>
              <w:rPr>
                <w:sz w:val="18"/>
              </w:rPr>
              <w:t>f12</w:t>
            </w:r>
          </w:p>
        </w:tc>
        <w:tc>
          <w:tcPr>
            <w:tcW w:type="dxa" w:w="2158"/>
          </w:tcPr>
          <w:p>
            <w:pPr>
              <w:jc w:val="center"/>
            </w:pPr>
            <w:r>
              <w:rPr>
                <w:sz w:val="18"/>
              </w:rPr>
              <w:t>4小时碳水总量</w:t>
            </w:r>
          </w:p>
        </w:tc>
        <w:tc>
          <w:tcPr>
            <w:tcW w:type="dxa" w:w="2158"/>
          </w:tcPr>
          <w:p>
            <w:pPr>
              <w:jc w:val="center"/>
            </w:pPr>
            <w:r>
              <w:rPr>
                <w:sz w:val="18"/>
              </w:rPr>
              <w:t>Σ M[t-48, t] (g)</w:t>
            </w:r>
          </w:p>
        </w:tc>
        <w:tc>
          <w:tcPr>
            <w:tcW w:type="dxa" w:w="2158"/>
          </w:tcPr>
          <w:p>
            <w:pPr>
              <w:jc w:val="center"/>
            </w:pPr>
            <w:r>
              <w:rPr>
                <w:sz w:val="18"/>
              </w:rPr>
              <w:t>/200.0</w:t>
            </w:r>
          </w:p>
        </w:tc>
      </w:tr>
    </w:tbl>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jc w:val="center"/>
            </w:pPr>
            <w:r>
              <w:rPr>
                <w:sz w:val="18"/>
              </w:rPr>
              <w:t>f13</w:t>
            </w:r>
          </w:p>
        </w:tc>
        <w:tc>
          <w:tcPr>
            <w:tcW w:type="dxa" w:w="2158"/>
          </w:tcPr>
          <w:p>
            <w:pPr>
              <w:jc w:val="center"/>
            </w:pPr>
            <w:r>
              <w:rPr>
                <w:sz w:val="18"/>
              </w:rPr>
              <w:t>距最近进食时间</w:t>
            </w:r>
          </w:p>
        </w:tc>
        <w:tc>
          <w:tcPr>
            <w:tcW w:type="dxa" w:w="2158"/>
          </w:tcPr>
          <w:p>
            <w:pPr>
              <w:jc w:val="center"/>
            </w:pPr>
            <w:r>
              <w:rPr>
                <w:sz w:val="18"/>
              </w:rPr>
              <w:t>min(Δt_last_meal, 120)/120</w:t>
            </w:r>
          </w:p>
        </w:tc>
        <w:tc>
          <w:tcPr>
            <w:tcW w:type="dxa" w:w="2158"/>
          </w:tcPr>
          <w:p>
            <w:pPr>
              <w:jc w:val="center"/>
            </w:pPr>
            <w:r>
              <w:rPr>
                <w:sz w:val="18"/>
              </w:rPr>
              <w:t>[0, 1] (无数据=1.0)</w:t>
            </w:r>
          </w:p>
        </w:tc>
      </w:tr>
    </w:tbl>
    <w:p>
      <w:pPr>
        <w:ind w:firstLine="420"/>
      </w:pPr>
      <w:r>
        <w:t>穿戴设备特征（f14-f15）：</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jc w:val="center"/>
            </w:pPr>
            <w:r>
              <w:rPr>
                <w:sz w:val="18"/>
              </w:rPr>
              <w:t>特征</w:t>
            </w:r>
          </w:p>
        </w:tc>
        <w:tc>
          <w:tcPr>
            <w:tcW w:type="dxa" w:w="2158"/>
          </w:tcPr>
          <w:p>
            <w:pPr>
              <w:jc w:val="center"/>
            </w:pPr>
            <w:r>
              <w:rPr>
                <w:sz w:val="18"/>
              </w:rPr>
              <w:t>描述</w:t>
            </w:r>
          </w:p>
        </w:tc>
        <w:tc>
          <w:tcPr>
            <w:tcW w:type="dxa" w:w="2158"/>
          </w:tcPr>
          <w:p>
            <w:pPr>
              <w:jc w:val="center"/>
            </w:pPr>
            <w:r>
              <w:rPr>
                <w:sz w:val="18"/>
              </w:rPr>
              <w:t>计算方式</w:t>
            </w:r>
          </w:p>
        </w:tc>
        <w:tc>
          <w:tcPr>
            <w:tcW w:type="dxa" w:w="2158"/>
          </w:tcPr>
          <w:p>
            <w:pPr>
              <w:jc w:val="center"/>
            </w:pPr>
            <w:r>
              <w:rPr>
                <w:sz w:val="18"/>
              </w:rPr>
              <w:t>归一化</w:t>
            </w:r>
          </w:p>
        </w:tc>
      </w:tr>
    </w:tbl>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jc w:val="center"/>
            </w:pPr>
            <w:r>
              <w:rPr>
                <w:sz w:val="18"/>
              </w:rPr>
              <w:t>f14</w:t>
            </w:r>
          </w:p>
        </w:tc>
        <w:tc>
          <w:tcPr>
            <w:tcW w:type="dxa" w:w="2158"/>
          </w:tcPr>
          <w:p>
            <w:pPr>
              <w:jc w:val="center"/>
            </w:pPr>
            <w:r>
              <w:rPr>
                <w:sz w:val="18"/>
              </w:rPr>
              <w:t>1小时心率均值</w:t>
            </w:r>
          </w:p>
        </w:tc>
        <w:tc>
          <w:tcPr>
            <w:tcW w:type="dxa" w:w="2158"/>
          </w:tcPr>
          <w:p>
            <w:pPr>
              <w:jc w:val="center"/>
            </w:pPr>
            <w:r>
              <w:rPr>
                <w:sz w:val="18"/>
              </w:rPr>
              <w:t>健康连接API/(Google Fit)</w:t>
            </w:r>
          </w:p>
        </w:tc>
        <w:tc>
          <w:tcPr>
            <w:tcW w:type="dxa" w:w="2158"/>
          </w:tcPr>
          <w:p>
            <w:pPr>
              <w:jc w:val="center"/>
            </w:pPr>
            <w:r>
              <w:rPr>
                <w:sz w:val="18"/>
              </w:rPr>
              <w:t>/100.0</w:t>
            </w:r>
          </w:p>
        </w:tc>
      </w:tr>
    </w:tbl>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jc w:val="center"/>
            </w:pPr>
            <w:r>
              <w:rPr>
                <w:sz w:val="18"/>
              </w:rPr>
              <w:t>f15</w:t>
            </w:r>
          </w:p>
        </w:tc>
        <w:tc>
          <w:tcPr>
            <w:tcW w:type="dxa" w:w="2158"/>
          </w:tcPr>
          <w:p>
            <w:pPr>
              <w:jc w:val="center"/>
            </w:pPr>
            <w:r>
              <w:rPr>
                <w:sz w:val="18"/>
              </w:rPr>
              <w:t>4小时步数</w:t>
            </w:r>
          </w:p>
        </w:tc>
        <w:tc>
          <w:tcPr>
            <w:tcW w:type="dxa" w:w="2158"/>
          </w:tcPr>
          <w:p>
            <w:pPr>
              <w:jc w:val="center"/>
            </w:pPr>
            <w:r>
              <w:rPr>
                <w:sz w:val="18"/>
              </w:rPr>
              <w:t>健康连接API</w:t>
            </w:r>
          </w:p>
        </w:tc>
        <w:tc>
          <w:tcPr>
            <w:tcW w:type="dxa" w:w="2158"/>
          </w:tcPr>
          <w:p>
            <w:pPr>
              <w:jc w:val="center"/>
            </w:pPr>
            <w:r>
              <w:rPr>
                <w:sz w:val="18"/>
              </w:rPr>
              <w:t>/5000.0</w:t>
            </w:r>
          </w:p>
        </w:tc>
      </w:tr>
    </w:tbl>
    <w:p>
      <w:r>
        <w:rPr>
          <w:b/>
          <w:sz w:val="22"/>
        </w:rPr>
        <w:t>4.2.3 f11/f13归一化——数值稳定性关键设计</w:t>
      </w:r>
    </w:p>
    <w:p>
      <w:pPr>
        <w:ind w:firstLine="420"/>
      </w:pPr>
      <w:r>
        <w:t>特征f11和f13是时间间隔特征（距最近事件的时间）。在系统的初始版本中，无数据时这两个特征被设置为999（一个极大的数值，表示"很久以前"或"从未发生"）。然而，这一设计引发了严重的数值不稳定问题：</w:t>
      </w:r>
    </w:p>
    <w:p>
      <w:pPr>
        <w:ind w:firstLine="420"/>
      </w:pPr>
      <w:r>
        <w:t>问题分析。 神经网络的权重使用Xavier初始化（Glorot &amp; Bengio, 2010），参数值在约[-0.5, 0.5]区间。当输入特征量级为O(10³)时，第一层线性变换z = W·x + b的输出量级为O(10²)——权重的随机正负值相乘后，部分神经元的激活值极大，部分接近零。在SGD的反向传播中，极大激活值产生极大梯度，导致参数更新步长失控，损失值从正常水平爆炸至12M（正常损失约0.01-1.0）。</w:t>
      </w:r>
    </w:p>
    <w:p>
      <w:pPr>
        <w:ind w:firstLine="420"/>
      </w:pPr>
      <w:r>
        <w:t>解决方案。 将f11和f13归一化到[0, 1]区间：f11 = min(minutes_since_last_insulin / 120.0, 1.0)，无数据时设置为1f（代表"≥120分钟无事件"）。这一修改使得所有15维特征的量级均在[0, ~3]区间，与Xavier初始化的权重量级匹配，彻底消除了梯度爆炸的风险。修改后，增量学习的损失值从12M回归至正常的0.02-0.5区间。</w:t>
      </w:r>
    </w:p>
    <w:p>
      <w:r>
        <w:rPr>
          <w:rFonts w:ascii="黑体" w:hAnsi="黑体"/>
          <w:b/>
          <w:sz w:val="24"/>
        </w:rPr>
        <w:t>4.3 TCN时序卷积网络</w:t>
      </w:r>
    </w:p>
    <w:p>
      <w:r>
        <w:rPr>
          <w:b/>
          <w:sz w:val="22"/>
        </w:rPr>
        <w:t>4.3.1 模型架构</w:t>
      </w:r>
    </w:p>
    <w:p>
      <w:pPr>
        <w:ind w:firstLine="420"/>
      </w:pPr>
      <w:r>
        <w:t>TCN（Temporal Convolutional Network）模型采用以下架构：</w:t>
      </w:r>
    </w:p>
    <w:p>
      <w:pPr>
        <w:ind w:firstLine="420"/>
      </w:pPr>
      <w:r>
        <w:t>输入层： 15维特征向量 × 288时间步（[batch, 15, 288]的张量格式）</w:t>
      </w:r>
    </w:p>
    <w:p>
      <w:pPr>
        <w:ind w:firstLine="420"/>
      </w:pPr>
      <w:r>
        <w:t>编码器：</w:t>
      </w:r>
    </w:p>
    <w:p>
      <w:pPr>
        <w:ind w:firstLine="420"/>
      </w:pPr>
      <w:r>
        <w:t>1. Linear(15, 64) + ReLU激活</w:t>
      </w:r>
    </w:p>
    <w:p>
      <w:pPr>
        <w:ind w:firstLine="420"/>
      </w:pPr>
      <w:r>
        <w:t>2. Dropout(p=0.2) 正则化</w:t>
      </w:r>
    </w:p>
    <w:p>
      <w:pPr>
        <w:ind w:firstLine="420"/>
      </w:pPr>
      <w:r>
        <w:t>3. Conv1d(64, 64, kernel_size=3, dilation=1, padding=causal) + ReLU + BatchNorm</w:t>
      </w:r>
    </w:p>
    <w:p>
      <w:pPr>
        <w:ind w:firstLine="420"/>
      </w:pPr>
      <w:r>
        <w:t>4. Conv1d(64, 128, kernel_size=3, dilation=2, padding=causal) + ReLU + BatchNorm</w:t>
      </w:r>
    </w:p>
    <w:p>
      <w:pPr>
        <w:ind w:firstLine="420"/>
      </w:pPr>
      <w:r>
        <w:t>5. Conv1d(128, 128, kernel_size=3, dilation=4, padding=causal) + ReLU + BatchNorm</w:t>
      </w:r>
    </w:p>
    <w:p>
      <w:pPr>
        <w:ind w:firstLine="420"/>
      </w:pPr>
      <w:r>
        <w:t>全局汇聚： GlobalAvgPool1d → 128维向量</w:t>
      </w:r>
    </w:p>
    <w:p>
      <w:pPr>
        <w:ind w:firstLine="420"/>
      </w:pPr>
      <w:r>
        <w:t>输出头： Linear(128, 4) → 4个曲线参数 [a, b, c, d]</w:t>
      </w:r>
    </w:p>
    <w:p>
      <w:pPr>
        <w:ind w:firstLine="420"/>
      </w:pPr>
      <w:r>
        <w:t>预测曲线重建。 TCN输出4个参数用于重建预测曲线：</w:t>
      </w:r>
    </w:p>
    <w:p>
      <w:pPr>
        <w:ind w:firstLine="420"/>
      </w:pPr>
      <w:r>
        <w:t>```</w:t>
      </w:r>
    </w:p>
    <w:p>
      <w:pPr>
        <w:ind w:firstLine="420"/>
      </w:pPr>
      <w:r>
        <w:t>G_TCN(t) = G₀ · (1 + a·t³ + b·t² + c·t + d)</w:t>
      </w:r>
    </w:p>
    <w:p>
      <w:pPr>
        <w:ind w:firstLine="420"/>
      </w:pPr>
      <w:r>
        <w:t>```</w:t>
      </w:r>
    </w:p>
    <w:p>
      <w:pPr>
        <w:ind w:firstLine="420"/>
      </w:pPr>
      <w:r>
        <w:t>其中G₀为当前血糖，t为归一化时间步（t = i/36, i = 0..35，覆盖180分钟）。</w:t>
      </w:r>
    </w:p>
    <w:p>
      <w:pPr>
        <w:ind w:firstLine="420"/>
      </w:pPr>
      <w:r>
        <w:t>选择三次多项式作为输出形式的动机：（1）三次函数具有两个驻点（一阶导数为零处），可以描述单峰（餐后上升→下降）或单谷（低血糖→恢复）的典型血糖轨迹；（2）相比逐点预测36个值，参数预测方式大幅减少了输出维度（36→4），降低了过拟合风险；（3）多项式形式的平滑性自然保证了预测曲线的物理合理性（无高频锯齿）。</w:t>
      </w:r>
    </w:p>
    <w:p>
      <w:r>
        <w:rPr>
          <w:b/>
          <w:sz w:val="22"/>
        </w:rPr>
        <w:t>4.3.2 模型训练</w:t>
      </w:r>
    </w:p>
    <w:p>
      <w:pPr>
        <w:ind w:firstLine="420"/>
      </w:pPr>
      <w:r>
        <w:t>训练数据。 OhioT1DM数据集（Marling &amp; Bunescu, 2018）：12名1型糖尿病患者，每人8周CGM数据（Dexcom G4，5分钟间隔），含胰岛素泵记录和自我报告的饮食/运动事件。HUPA数据集（Zhang et al., 2023）：30名2型糖尿病患者，每人4周CGM数据（Freestyle Libre，15分钟间隔），含饮食记录和口服药/胰岛素记录。</w:t>
      </w:r>
    </w:p>
    <w:p>
      <w:pPr>
        <w:ind w:firstLine="420"/>
      </w:pPr>
      <w:r>
        <w:t>数据预处理。 （1）线性插值填补缺失的CGM读数（缺失≤2个连续点时插值，&gt;2个时标记数据断点）；（2）15分钟间隔数据线性重采样至5分钟；（3）滑动窗口生成训练样本（窗口288点→输入，窗口后36点→标签），步长1点（5分钟）以最大化训练样本数。</w:t>
      </w:r>
    </w:p>
    <w:p>
      <w:pPr>
        <w:ind w:firstLine="420"/>
      </w:pPr>
      <w:r>
        <w:t>训练配置。</w:t>
      </w:r>
    </w:p>
    <w:p>
      <w:pPr>
        <w:ind w:firstLine="420"/>
      </w:pPr>
      <w:r>
        <w:t>损失函数：MSE Loss + L2正则化（λ=1e-4）</w:t>
      </w:r>
    </w:p>
    <w:p>
      <w:pPr>
        <w:ind w:firstLine="420"/>
      </w:pPr>
      <w:r>
        <w:t>优化器：Adam (lr=0.001, β₁=0.9, β₂=0.999)</w:t>
      </w:r>
    </w:p>
    <w:p>
      <w:pPr>
        <w:ind w:firstLine="420"/>
      </w:pPr>
      <w:r>
        <w:t>批量大小：64</w:t>
      </w:r>
    </w:p>
    <w:p>
      <w:pPr>
        <w:ind w:firstLine="420"/>
      </w:pPr>
      <w:r>
        <w:t>训练轮数：100轮（早停patience=15）</w:t>
      </w:r>
    </w:p>
    <w:p>
      <w:pPr>
        <w:ind w:firstLine="420"/>
      </w:pPr>
      <w:r>
        <w:t>学习率调度：ReduceLROnPlateau (factor=0.5, patience=5)</w:t>
      </w:r>
    </w:p>
    <w:p>
      <w:pPr>
        <w:ind w:firstLine="420"/>
      </w:pPr>
      <w:r>
        <w:t>验证策略：留一患者交叉验证（Leave-One-Patient-Out）</w:t>
      </w:r>
    </w:p>
    <w:p>
      <w:r>
        <w:rPr>
          <w:b/>
          <w:sz w:val="22"/>
        </w:rPr>
        <w:t>4.3.3 ONNX导出与移动端推理</w:t>
      </w:r>
    </w:p>
    <w:p>
      <w:pPr>
        <w:ind w:firstLine="420"/>
      </w:pPr>
      <w:r>
        <w:t>模型训练完成后，使用torch.onnx.export导出为ONNX格式：</w:t>
      </w:r>
    </w:p>
    <w:p>
      <w:pPr>
        <w:ind w:firstLine="420"/>
      </w:pPr>
      <w:r>
        <w:t>输入节点：input [1, 15, 288] (Float32)</w:t>
      </w:r>
    </w:p>
    <w:p>
      <w:pPr>
        <w:ind w:firstLine="420"/>
      </w:pPr>
      <w:r>
        <w:t>输出节点：output [1, 4] (Float32)</w:t>
      </w:r>
    </w:p>
    <w:p>
      <w:pPr>
        <w:ind w:firstLine="420"/>
      </w:pPr>
      <w:r>
        <w:t>Opset版本：14</w:t>
      </w:r>
    </w:p>
    <w:p>
      <w:pPr>
        <w:ind w:firstLine="420"/>
      </w:pPr>
      <w:r>
        <w:t>动态轴：batch维度设为dynamic</w:t>
      </w:r>
    </w:p>
    <w:p>
      <w:pPr>
        <w:ind w:firstLine="420"/>
      </w:pPr>
      <w:r>
        <w:t>导出的ONNX文件大小约590KB。在Android端通过ONNX Runtime 1.16.0的OrtSession进行推理，单次推理延迟约15ms（骁龙8 Gen 2），满足实时预测需求。</w:t>
      </w:r>
    </w:p>
    <w:p>
      <w:pPr>
        <w:ind w:firstLine="420"/>
      </w:pPr>
      <w:r>
        <w:t>锚定校准（Anchor Calibration）——BMA融合前关键步骤。 TCN模型在t=0时刻的输出G_TCN(0) = G₀·(1+d)通常不等于当前实际血糖G₀（因为参数d从数据中学习，不保证精确零值）。这一差异会导致融合后的预测曲线在起点处与当前血糖产生"断开"，在可视化中表现为预测曲线与历史曲线在t=0处不连续的断崖。解决方案是锚定校准：</w:t>
      </w:r>
    </w:p>
    <w:p>
      <w:pPr>
        <w:ind w:firstLine="420"/>
      </w:pPr>
      <w:r>
        <w:t>```</w:t>
      </w:r>
    </w:p>
    <w:p>
      <w:pPr>
        <w:ind w:firstLine="420"/>
      </w:pPr>
      <w:r>
        <w:t>P_aligned_TCN[i] = P_TCN[i] (P_TCN[0] G₀)</w:t>
      </w:r>
    </w:p>
    <w:p>
      <w:pPr>
        <w:ind w:firstLine="420"/>
      </w:pPr>
      <w:r>
        <w:t>```</w:t>
      </w:r>
    </w:p>
    <w:p>
      <w:pPr>
        <w:ind w:firstLine="420"/>
      </w:pPr>
      <w:r>
        <w:t>将整条TCN预测曲线平移，使其起点精确对齐到当前血糖值。</w:t>
      </w:r>
    </w:p>
    <w:p>
      <w:r>
        <w:rPr>
          <w:rFonts w:ascii="黑体" w:hAnsi="黑体"/>
          <w:b/>
          <w:sz w:val="24"/>
        </w:rPr>
        <w:t>4.4 Dalla Man七隔室生理模型</w:t>
      </w:r>
    </w:p>
    <w:p>
      <w:r>
        <w:rPr>
          <w:b/>
          <w:sz w:val="22"/>
        </w:rPr>
        <w:t>4.4.1 完整ODE系统</w:t>
      </w:r>
    </w:p>
    <w:p>
      <w:pPr>
        <w:ind w:firstLine="420"/>
      </w:pPr>
      <w:r>
        <w:t>Dalla Man模型使用以下8状态ODE系统描述葡萄糖-胰岛素代谢动力学：</w:t>
      </w:r>
    </w:p>
    <w:p>
      <w:pPr>
        <w:ind w:firstLine="420"/>
      </w:pPr>
      <w:r>
        <w:t>状态变量：</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jc w:val="center"/>
            </w:pPr>
            <w:r>
              <w:rPr>
                <w:sz w:val="18"/>
              </w:rPr>
              <w:t>变量</w:t>
            </w:r>
          </w:p>
        </w:tc>
        <w:tc>
          <w:tcPr>
            <w:tcW w:type="dxa" w:w="2158"/>
          </w:tcPr>
          <w:p>
            <w:pPr>
              <w:jc w:val="center"/>
            </w:pPr>
            <w:r>
              <w:rPr>
                <w:sz w:val="18"/>
              </w:rPr>
              <w:t>含义</w:t>
            </w:r>
          </w:p>
        </w:tc>
        <w:tc>
          <w:tcPr>
            <w:tcW w:type="dxa" w:w="2158"/>
          </w:tcPr>
          <w:p>
            <w:pPr>
              <w:jc w:val="center"/>
            </w:pPr>
            <w:r>
              <w:rPr>
                <w:sz w:val="18"/>
              </w:rPr>
              <w:t>初始值</w:t>
            </w:r>
          </w:p>
        </w:tc>
        <w:tc>
          <w:tcPr>
            <w:tcW w:type="dxa" w:w="2158"/>
          </w:tcPr>
          <w:p>
            <w:pPr>
              <w:jc w:val="center"/>
            </w:pPr>
            <w:r>
              <w:rPr>
                <w:sz w:val="18"/>
              </w:rPr>
              <w:t>单位</w:t>
            </w:r>
          </w:p>
        </w:tc>
      </w:tr>
    </w:tbl>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jc w:val="center"/>
            </w:pPr>
            <w:r>
              <w:rPr>
                <w:sz w:val="18"/>
              </w:rPr>
              <w:t>G</w:t>
            </w:r>
          </w:p>
        </w:tc>
        <w:tc>
          <w:tcPr>
            <w:tcW w:type="dxa" w:w="2158"/>
          </w:tcPr>
          <w:p>
            <w:pPr>
              <w:jc w:val="center"/>
            </w:pPr>
            <w:r>
              <w:rPr>
                <w:sz w:val="18"/>
              </w:rPr>
              <w:t>血浆葡萄糖</w:t>
            </w:r>
          </w:p>
        </w:tc>
        <w:tc>
          <w:tcPr>
            <w:tcW w:type="dxa" w:w="2158"/>
          </w:tcPr>
          <w:p>
            <w:pPr>
              <w:jc w:val="center"/>
            </w:pPr>
            <w:r>
              <w:rPr>
                <w:sz w:val="18"/>
              </w:rPr>
              <w:t>Gb (空腹血糖)</w:t>
            </w:r>
          </w:p>
        </w:tc>
        <w:tc>
          <w:tcPr>
            <w:tcW w:type="dxa" w:w="2158"/>
          </w:tcPr>
          <w:p>
            <w:pPr>
              <w:jc w:val="center"/>
            </w:pPr>
            <w:r>
              <w:rPr>
                <w:sz w:val="18"/>
              </w:rPr>
              <w:t>mmol/L</w:t>
            </w:r>
          </w:p>
        </w:tc>
      </w:tr>
    </w:tbl>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jc w:val="center"/>
            </w:pPr>
            <w:r>
              <w:rPr>
                <w:sz w:val="18"/>
              </w:rPr>
              <w:t>I</w:t>
            </w:r>
          </w:p>
        </w:tc>
        <w:tc>
          <w:tcPr>
            <w:tcW w:type="dxa" w:w="2158"/>
          </w:tcPr>
          <w:p>
            <w:pPr>
              <w:jc w:val="center"/>
            </w:pPr>
            <w:r>
              <w:rPr>
                <w:sz w:val="18"/>
              </w:rPr>
              <w:t>血浆胰岛素</w:t>
            </w:r>
          </w:p>
        </w:tc>
        <w:tc>
          <w:tcPr>
            <w:tcW w:type="dxa" w:w="2158"/>
          </w:tcPr>
          <w:p>
            <w:pPr>
              <w:jc w:val="center"/>
            </w:pPr>
            <w:r>
              <w:rPr>
                <w:sz w:val="18"/>
              </w:rPr>
              <w:t>Ib (空腹胰岛素)</w:t>
            </w:r>
          </w:p>
        </w:tc>
        <w:tc>
          <w:tcPr>
            <w:tcW w:type="dxa" w:w="2158"/>
          </w:tcPr>
          <w:p>
            <w:pPr>
              <w:jc w:val="center"/>
            </w:pPr>
            <w:r>
              <w:rPr>
                <w:sz w:val="18"/>
              </w:rPr>
              <w:t>pmol/L</w:t>
            </w:r>
          </w:p>
        </w:tc>
      </w:tr>
    </w:tbl>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jc w:val="center"/>
            </w:pPr>
            <w:r>
              <w:rPr>
                <w:sz w:val="18"/>
              </w:rPr>
              <w:t>X</w:t>
            </w:r>
          </w:p>
        </w:tc>
        <w:tc>
          <w:tcPr>
            <w:tcW w:type="dxa" w:w="2158"/>
          </w:tcPr>
          <w:p>
            <w:pPr>
              <w:jc w:val="center"/>
            </w:pPr>
            <w:r>
              <w:rPr>
                <w:sz w:val="18"/>
              </w:rPr>
              <w:t>胰岛素作用（延迟）</w:t>
            </w:r>
          </w:p>
        </w:tc>
        <w:tc>
          <w:tcPr>
            <w:tcW w:type="dxa" w:w="2158"/>
          </w:tcPr>
          <w:p>
            <w:pPr>
              <w:jc w:val="center"/>
            </w:pPr>
            <w:r>
              <w:rPr>
                <w:sz w:val="18"/>
              </w:rPr>
              <w:t>0</w:t>
            </w:r>
          </w:p>
        </w:tc>
        <w:tc>
          <w:tcPr>
            <w:tcW w:type="dxa" w:w="2158"/>
          </w:tcPr>
          <w:p>
            <w:pPr>
              <w:jc w:val="center"/>
            </w:pPr>
            <w:r>
              <w:rPr>
                <w:sz w:val="18"/>
              </w:rPr>
              <w:t>无量纲</w:t>
            </w:r>
          </w:p>
        </w:tc>
      </w:tr>
    </w:tbl>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jc w:val="center"/>
            </w:pPr>
            <w:r>
              <w:rPr>
                <w:sz w:val="18"/>
              </w:rPr>
              <w:t>X_L</w:t>
            </w:r>
          </w:p>
        </w:tc>
        <w:tc>
          <w:tcPr>
            <w:tcW w:type="dxa" w:w="2158"/>
          </w:tcPr>
          <w:p>
            <w:pPr>
              <w:jc w:val="center"/>
            </w:pPr>
            <w:r>
              <w:rPr>
                <w:sz w:val="18"/>
              </w:rPr>
              <w:t>胰岛素作用（肝脏）</w:t>
            </w:r>
          </w:p>
        </w:tc>
        <w:tc>
          <w:tcPr>
            <w:tcW w:type="dxa" w:w="2158"/>
          </w:tcPr>
          <w:p>
            <w:pPr>
              <w:jc w:val="center"/>
            </w:pPr>
            <w:r>
              <w:rPr>
                <w:sz w:val="18"/>
              </w:rPr>
              <w:t>0</w:t>
            </w:r>
          </w:p>
        </w:tc>
        <w:tc>
          <w:tcPr>
            <w:tcW w:type="dxa" w:w="2158"/>
          </w:tcPr>
          <w:p>
            <w:pPr>
              <w:jc w:val="center"/>
            </w:pPr>
            <w:r>
              <w:rPr>
                <w:sz w:val="18"/>
              </w:rPr>
              <w:t>无量纲</w:t>
            </w:r>
          </w:p>
        </w:tc>
      </w:tr>
    </w:tbl>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jc w:val="center"/>
            </w:pPr>
            <w:r>
              <w:rPr>
                <w:sz w:val="18"/>
              </w:rPr>
              <w:t>Stomach</w:t>
            </w:r>
          </w:p>
        </w:tc>
        <w:tc>
          <w:tcPr>
            <w:tcW w:type="dxa" w:w="2158"/>
          </w:tcPr>
          <w:p>
            <w:pPr>
              <w:jc w:val="center"/>
            </w:pPr>
            <w:r>
              <w:rPr>
                <w:sz w:val="18"/>
              </w:rPr>
              <w:t>胃内固体食物</w:t>
            </w:r>
          </w:p>
        </w:tc>
        <w:tc>
          <w:tcPr>
            <w:tcW w:type="dxa" w:w="2158"/>
          </w:tcPr>
          <w:p>
            <w:pPr>
              <w:jc w:val="center"/>
            </w:pPr>
            <w:r>
              <w:rPr>
                <w:sz w:val="18"/>
              </w:rPr>
              <w:t>meal_carbs×0.8</w:t>
            </w:r>
          </w:p>
        </w:tc>
        <w:tc>
          <w:tcPr>
            <w:tcW w:type="dxa" w:w="2158"/>
          </w:tcPr>
          <w:p>
            <w:pPr>
              <w:jc w:val="center"/>
            </w:pPr>
            <w:r>
              <w:rPr>
                <w:sz w:val="18"/>
              </w:rPr>
              <w:t>mg</w:t>
            </w:r>
          </w:p>
        </w:tc>
      </w:tr>
    </w:tbl>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jc w:val="center"/>
            </w:pPr>
            <w:r>
              <w:rPr>
                <w:sz w:val="18"/>
              </w:rPr>
              <w:t>Gut</w:t>
            </w:r>
          </w:p>
        </w:tc>
        <w:tc>
          <w:tcPr>
            <w:tcW w:type="dxa" w:w="2158"/>
          </w:tcPr>
          <w:p>
            <w:pPr>
              <w:jc w:val="center"/>
            </w:pPr>
            <w:r>
              <w:rPr>
                <w:sz w:val="18"/>
              </w:rPr>
              <w:t>肠道葡萄糖</w:t>
            </w:r>
          </w:p>
        </w:tc>
        <w:tc>
          <w:tcPr>
            <w:tcW w:type="dxa" w:w="2158"/>
          </w:tcPr>
          <w:p>
            <w:pPr>
              <w:jc w:val="center"/>
            </w:pPr>
            <w:r>
              <w:rPr>
                <w:sz w:val="18"/>
              </w:rPr>
              <w:t>0</w:t>
            </w:r>
          </w:p>
        </w:tc>
        <w:tc>
          <w:tcPr>
            <w:tcW w:type="dxa" w:w="2158"/>
          </w:tcPr>
          <w:p>
            <w:pPr>
              <w:jc w:val="center"/>
            </w:pPr>
            <w:r>
              <w:rPr>
                <w:sz w:val="18"/>
              </w:rPr>
              <w:t>mg</w:t>
            </w:r>
          </w:p>
        </w:tc>
      </w:tr>
    </w:tbl>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jc w:val="center"/>
            </w:pPr>
            <w:r>
              <w:rPr>
                <w:sz w:val="18"/>
              </w:rPr>
              <w:t>subQ1</w:t>
            </w:r>
          </w:p>
        </w:tc>
        <w:tc>
          <w:tcPr>
            <w:tcW w:type="dxa" w:w="2158"/>
          </w:tcPr>
          <w:p>
            <w:pPr>
              <w:jc w:val="center"/>
            </w:pPr>
            <w:r>
              <w:rPr>
                <w:sz w:val="18"/>
              </w:rPr>
              <w:t>皮下胰岛素（快速吸收）</w:t>
            </w:r>
          </w:p>
        </w:tc>
        <w:tc>
          <w:tcPr>
            <w:tcW w:type="dxa" w:w="2158"/>
          </w:tcPr>
          <w:p>
            <w:pPr>
              <w:jc w:val="center"/>
            </w:pPr>
            <w:r>
              <w:rPr>
                <w:sz w:val="18"/>
              </w:rPr>
              <w:t>bolus×比例</w:t>
            </w:r>
          </w:p>
        </w:tc>
        <w:tc>
          <w:tcPr>
            <w:tcW w:type="dxa" w:w="2158"/>
          </w:tcPr>
          <w:p>
            <w:pPr>
              <w:jc w:val="center"/>
            </w:pPr>
            <w:r>
              <w:rPr>
                <w:sz w:val="18"/>
              </w:rPr>
              <w:t>pmol/kg</w:t>
            </w:r>
          </w:p>
        </w:tc>
      </w:tr>
    </w:tbl>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jc w:val="center"/>
            </w:pPr>
            <w:r>
              <w:rPr>
                <w:sz w:val="18"/>
              </w:rPr>
              <w:t>subQ2</w:t>
            </w:r>
          </w:p>
        </w:tc>
        <w:tc>
          <w:tcPr>
            <w:tcW w:type="dxa" w:w="2158"/>
          </w:tcPr>
          <w:p>
            <w:pPr>
              <w:jc w:val="center"/>
            </w:pPr>
            <w:r>
              <w:rPr>
                <w:sz w:val="18"/>
              </w:rPr>
              <w:t>皮下胰岛素（缓慢吸收）</w:t>
            </w:r>
          </w:p>
        </w:tc>
        <w:tc>
          <w:tcPr>
            <w:tcW w:type="dxa" w:w="2158"/>
          </w:tcPr>
          <w:p>
            <w:pPr>
              <w:jc w:val="center"/>
            </w:pPr>
            <w:r>
              <w:rPr>
                <w:sz w:val="18"/>
              </w:rPr>
              <w:t>bolus×比例</w:t>
            </w:r>
          </w:p>
        </w:tc>
        <w:tc>
          <w:tcPr>
            <w:tcW w:type="dxa" w:w="2158"/>
          </w:tcPr>
          <w:p>
            <w:pPr>
              <w:jc w:val="center"/>
            </w:pPr>
            <w:r>
              <w:rPr>
                <w:sz w:val="18"/>
              </w:rPr>
              <w:t>pmol/kg</w:t>
            </w:r>
          </w:p>
        </w:tc>
      </w:tr>
    </w:tbl>
    <w:p>
      <w:pPr>
        <w:ind w:firstLine="420"/>
      </w:pPr>
      <w:r>
        <w:t>常微分方程（ODE）：</w:t>
      </w:r>
    </w:p>
    <w:p>
      <w:pPr>
        <w:ind w:firstLine="420"/>
      </w:pPr>
      <w:r>
        <w:t>(1) 血浆葡萄糖动力学：</w:t>
      </w:r>
    </w:p>
    <w:p>
      <w:pPr>
        <w:ind w:firstLine="420"/>
      </w:pPr>
      <w:r>
        <w:t>```</w:t>
      </w:r>
    </w:p>
    <w:p>
      <w:pPr>
        <w:ind w:firstLine="420"/>
      </w:pPr>
      <w:r>
        <w:t>dG/dt = (Ra + EGP Uii Uid Renal) / (Vg × BW)</w:t>
      </w:r>
    </w:p>
    <w:p>
      <w:pPr>
        <w:ind w:firstLine="420"/>
      </w:pPr>
      <w:r>
        <w:t>```</w:t>
      </w:r>
    </w:p>
    <w:p>
      <w:pPr>
        <w:ind w:firstLine="420"/>
      </w:pPr>
      <w:r>
        <w:t>Ra (Rate of appearance)：肠道葡萄糖吸收率 (mg/kg/min)</w:t>
      </w:r>
    </w:p>
    <w:p>
      <w:pPr>
        <w:ind w:firstLine="420"/>
      </w:pPr>
      <w:r>
        <w:t>EGP (Endogenous Glucose Production)：肝糖产生速率 (mg/kg/min)</w:t>
      </w:r>
    </w:p>
    <w:p>
      <w:pPr>
        <w:ind w:firstLine="420"/>
      </w:pPr>
      <w:r>
        <w:t>Uii (Insulin-Independent Utilization)：胰岛素非依赖性利用 (mg/kg/min)</w:t>
      </w:r>
    </w:p>
    <w:p>
      <w:pPr>
        <w:ind w:firstLine="420"/>
      </w:pPr>
      <w:r>
        <w:t>Uid (Insulin-Dependent Utilization)：胰岛素依赖性利用 (mg/kg/min)</w:t>
      </w:r>
    </w:p>
    <w:p>
      <w:pPr>
        <w:ind w:firstLine="420"/>
      </w:pPr>
      <w:r>
        <w:t>Renal：肾糖排泄 (mg/kg/min，当G &gt; 阈值时)</w:t>
      </w:r>
    </w:p>
    <w:p>
      <w:pPr>
        <w:ind w:firstLine="420"/>
      </w:pPr>
      <w:r>
        <w:t>Vg：葡萄糖分布容积 (dL/kg)</w:t>
      </w:r>
    </w:p>
    <w:p>
      <w:pPr>
        <w:ind w:firstLine="420"/>
      </w:pPr>
      <w:r>
        <w:t>BW：体重 (kg)</w:t>
      </w:r>
    </w:p>
    <w:p>
      <w:pPr>
        <w:ind w:firstLine="420"/>
      </w:pPr>
      <w:r>
        <w:t>(2) 血浆胰岛素动力学：</w:t>
      </w:r>
    </w:p>
    <w:p>
      <w:pPr>
        <w:ind w:firstLine="420"/>
      </w:pPr>
      <w:r>
        <w:t>```</w:t>
      </w:r>
    </w:p>
    <w:p>
      <w:pPr>
        <w:ind w:firstLine="420"/>
      </w:pPr>
      <w:r>
        <w:t>dI/dt = ka2 × subQ2 / Vi ke × I + sigma × max(0, G Gb)</w:t>
      </w:r>
    </w:p>
    <w:p>
      <w:pPr>
        <w:ind w:firstLine="420"/>
      </w:pPr>
      <w:r>
        <w:t>```</w:t>
      </w:r>
    </w:p>
    <w:p>
      <w:pPr>
        <w:ind w:firstLine="420"/>
      </w:pPr>
      <w:r>
        <w:t>ka2：皮下→血浆吸收率 (1/min)</w:t>
      </w:r>
    </w:p>
    <w:p>
      <w:pPr>
        <w:ind w:firstLine="420"/>
      </w:pPr>
      <w:r>
        <w:t>Vi：胰岛素分布容积 (L/kg)</w:t>
      </w:r>
    </w:p>
    <w:p>
      <w:pPr>
        <w:ind w:firstLine="420"/>
      </w:pPr>
      <w:r>
        <w:t>ke：胰岛素清除率 (1/min)</w:t>
      </w:r>
    </w:p>
    <w:p>
      <w:pPr>
        <w:ind w:firstLine="420"/>
      </w:pPr>
      <w:r>
        <w:t>sigma：内源性胰岛素分泌率 (pmol/L/min per mmol/L) ← 本文新增</w:t>
      </w:r>
    </w:p>
    <w:p>
      <w:pPr>
        <w:ind w:firstLine="420"/>
      </w:pPr>
      <w:r>
        <w:t>Gb：空腹基线血糖 (mmol/L)</w:t>
      </w:r>
    </w:p>
    <w:p>
      <w:pPr>
        <w:ind w:firstLine="420"/>
      </w:pPr>
      <w:r>
        <w:t>(3) 胰岛素远端作用（外周）：</w:t>
      </w:r>
    </w:p>
    <w:p>
      <w:pPr>
        <w:ind w:firstLine="420"/>
      </w:pPr>
      <w:r>
        <w:t>```</w:t>
      </w:r>
    </w:p>
    <w:p>
      <w:pPr>
        <w:ind w:firstLine="420"/>
      </w:pPr>
      <w:r>
        <w:t>dX/dt = -kp3 × X + kp3 × max(0, (I Ib)/Ib)</w:t>
      </w:r>
    </w:p>
    <w:p>
      <w:pPr>
        <w:ind w:firstLine="420"/>
      </w:pPr>
      <w:r>
        <w:t>```</w:t>
      </w:r>
    </w:p>
    <w:p>
      <w:pPr>
        <w:ind w:firstLine="420"/>
      </w:pPr>
      <w:r>
        <w:t>kp3：胰岛素作用延迟率 (1/min)</w:t>
      </w:r>
    </w:p>
    <w:p>
      <w:pPr>
        <w:ind w:firstLine="420"/>
      </w:pPr>
      <w:r>
        <w:t>Ib：空腹基线胰岛素 (pmol/L)</w:t>
      </w:r>
    </w:p>
    <w:p>
      <w:pPr>
        <w:ind w:firstLine="420"/>
      </w:pPr>
      <w:r>
        <w:t>(4) 胰岛素远端作用（肝脏）：</w:t>
      </w:r>
    </w:p>
    <w:p>
      <w:pPr>
        <w:ind w:firstLine="420"/>
      </w:pPr>
      <w:r>
        <w:t>```</w:t>
      </w:r>
    </w:p>
    <w:p>
      <w:pPr>
        <w:ind w:firstLine="420"/>
      </w:pPr>
      <w:r>
        <w:t>dX_L/dt = -kp1 × X_L + kp1 × max(0, (I Ib)/Ib)</w:t>
      </w:r>
    </w:p>
    <w:p>
      <w:pPr>
        <w:ind w:firstLine="420"/>
      </w:pPr>
      <w:r>
        <w:t>```</w:t>
      </w:r>
    </w:p>
    <w:p>
      <w:pPr>
        <w:ind w:firstLine="420"/>
      </w:pPr>
      <w:r>
        <w:t>(5) 胃排空： ← 增强2：VmaxGastric约束</w:t>
      </w:r>
    </w:p>
    <w:p>
      <w:pPr>
        <w:ind w:firstLine="420"/>
      </w:pPr>
      <w:r>
        <w:t>```</w:t>
      </w:r>
    </w:p>
    <w:p>
      <w:pPr>
        <w:ind w:firstLine="420"/>
      </w:pPr>
      <w:r>
        <w:t>dStomach/dt = -min(kStomach × Stomach, VmaxGastric × BW)</w:t>
      </w:r>
    </w:p>
    <w:p>
      <w:pPr>
        <w:ind w:firstLine="420"/>
      </w:pPr>
      <w:r>
        <w:t>```</w:t>
      </w:r>
    </w:p>
    <w:p>
      <w:pPr>
        <w:ind w:firstLine="420"/>
      </w:pPr>
      <w:r>
        <w:t>kStomach：胃排空速率 (1/min)</w:t>
      </w:r>
    </w:p>
    <w:p>
      <w:pPr>
        <w:ind w:firstLine="420"/>
      </w:pPr>
      <w:r>
        <w:t>VmaxGastric：胃排空速率上限 (mg/kg/min)</w:t>
      </w:r>
    </w:p>
    <w:p>
      <w:pPr>
        <w:ind w:firstLine="420"/>
      </w:pPr>
      <w:r>
        <w:t>BW：体重 (kg)</w:t>
      </w:r>
    </w:p>
    <w:p>
      <w:pPr>
        <w:ind w:firstLine="420"/>
      </w:pPr>
      <w:r>
        <w:t>(6) 肠道葡萄糖吸收：</w:t>
      </w:r>
    </w:p>
    <w:p>
      <w:pPr>
        <w:ind w:firstLine="420"/>
      </w:pPr>
      <w:r>
        <w:t>```</w:t>
      </w:r>
    </w:p>
    <w:p>
      <w:pPr>
        <w:ind w:firstLine="420"/>
      </w:pPr>
      <w:r>
        <w:t>dGut/dt = min(kStomach × Stomach, VmaxGastric × BW) kGut × Gut</w:t>
      </w:r>
    </w:p>
    <w:p>
      <w:pPr>
        <w:ind w:firstLine="420"/>
      </w:pPr>
      <w:r>
        <w:t>Ra = f × kGut × Gut / BW</w:t>
      </w:r>
    </w:p>
    <w:p>
      <w:pPr>
        <w:ind w:firstLine="420"/>
      </w:pPr>
      <w:r>
        <w:t>```</w:t>
      </w:r>
    </w:p>
    <w:p>
      <w:pPr>
        <w:ind w:firstLine="420"/>
      </w:pPr>
      <w:r>
        <w:t>kGut：肠道吸收速率 (1/min)</w:t>
      </w:r>
    </w:p>
    <w:p>
      <w:pPr>
        <w:ind w:firstLine="420"/>
      </w:pPr>
      <w:r>
        <w:t>f：生物利用度（≈0.9）</w:t>
      </w:r>
    </w:p>
    <w:p>
      <w:pPr>
        <w:ind w:firstLine="420"/>
      </w:pPr>
      <w:r>
        <w:t>(7-8) 皮下胰岛素双隔室吸收：</w:t>
      </w:r>
    </w:p>
    <w:p>
      <w:pPr>
        <w:ind w:firstLine="420"/>
      </w:pPr>
      <w:r>
        <w:t>```</w:t>
      </w:r>
    </w:p>
    <w:p>
      <w:pPr>
        <w:ind w:firstLine="420"/>
      </w:pPr>
      <w:r>
        <w:t>dSubQ1/dt = -ka1 × SubQ1 + InsulinInput(t)</w:t>
      </w:r>
    </w:p>
    <w:p>
      <w:pPr>
        <w:ind w:firstLine="420"/>
      </w:pPr>
      <w:r>
        <w:t>dSubQ2/dt = ka1 × SubQ1 ka2 × SubQ2</w:t>
      </w:r>
    </w:p>
    <w:p>
      <w:pPr>
        <w:ind w:firstLine="420"/>
      </w:pPr>
      <w:r>
        <w:t>```</w:t>
      </w:r>
    </w:p>
    <w:p>
      <w:pPr>
        <w:ind w:firstLine="420"/>
      </w:pPr>
      <w:r>
        <w:t>ka1：快速吸收率 (1/min，速效≈1/55min)</w:t>
      </w:r>
    </w:p>
    <w:p>
      <w:pPr>
        <w:ind w:firstLine="420"/>
      </w:pPr>
      <w:r>
        <w:t>ka2：缓慢吸收率 (1/min，速效≈1/90min)</w:t>
      </w:r>
    </w:p>
    <w:p>
      <w:pPr>
        <w:ind w:firstLine="420"/>
      </w:pPr>
      <w:r>
        <w:t>InsulinInput(t)：外源胰岛素注射输入</w:t>
      </w:r>
    </w:p>
    <w:p>
      <w:pPr>
        <w:ind w:firstLine="420"/>
      </w:pPr>
      <w:r>
        <w:t>子模型详细公式：</w:t>
      </w:r>
    </w:p>
    <w:p>
      <w:pPr>
        <w:ind w:firstLine="420"/>
      </w:pPr>
      <w:r>
        <w:t>Ra = f × kGut × Gut / BW （葡萄糖吸收率）</w:t>
      </w:r>
    </w:p>
    <w:p>
      <w:pPr>
        <w:ind w:firstLine="420"/>
      </w:pPr>
      <w:r>
        <w:t>EGP = hepaticBase kp1 × X_L × hepaticBase （肝糖产生，胰岛素抑制）</w:t>
      </w:r>
    </w:p>
    <w:p>
      <w:pPr>
        <w:ind w:firstLine="420"/>
      </w:pPr>
      <w:r>
        <w:t>Uii = k1 × Vg × BW （胰岛素非依赖性利用，基础脑/红细胞消耗）</w:t>
      </w:r>
    </w:p>
    <w:p>
      <w:pPr>
        <w:ind w:firstLine="420"/>
      </w:pPr>
      <w:r>
        <w:t>**Uid = (Vm0 + VmX × X) × G × 18 / (Km0 + G × 18) × BW / (Vg × 18)` ← 增强1：Michaelis-Menten</w:t>
      </w:r>
    </w:p>
    <w:p>
      <w:pPr>
        <w:ind w:firstLine="420"/>
      </w:pPr>
      <w:r>
        <w:t>Renal = max(0, ke_renal × (G renalThreshold)) × Vg × BW / 18 （肾糖排泄，G &gt; 10-11 mmol/L时激活）</w:t>
      </w:r>
    </w:p>
    <w:p>
      <w:r>
        <w:rPr>
          <w:b/>
          <w:sz w:val="22"/>
        </w:rPr>
        <w:t>4.4.2 数值积分方法</w:t>
      </w:r>
    </w:p>
    <w:p>
      <w:pPr>
        <w:ind w:firstLine="420"/>
      </w:pPr>
      <w:r>
        <w:t>系统使用4阶Runge-Kutta方法（RK4）对ODE系统进行数值积分。积分步长dt = 5分钟（与CGM采样间隔一致），预测时域36步（180分钟）。</w:t>
      </w:r>
    </w:p>
    <w:p>
      <w:pPr>
        <w:ind w:firstLine="420"/>
      </w:pPr>
      <w:r>
        <w:t>RK4单步公式（对每个状态变量y）：</w:t>
      </w:r>
    </w:p>
    <w:p>
      <w:pPr>
        <w:ind w:firstLine="420"/>
      </w:pPr>
      <w:r>
        <w:t>```</w:t>
      </w:r>
    </w:p>
    <w:p>
      <w:pPr>
        <w:ind w:firstLine="420"/>
      </w:pPr>
      <w:r>
        <w:t>k1 = h × f(t, y)</w:t>
      </w:r>
    </w:p>
    <w:p>
      <w:pPr>
        <w:ind w:firstLine="420"/>
      </w:pPr>
      <w:r>
        <w:t>k2 = h × f(t + h/2, y + k1/2)</w:t>
      </w:r>
    </w:p>
    <w:p>
      <w:pPr>
        <w:ind w:firstLine="420"/>
      </w:pPr>
      <w:r>
        <w:t>k3 = h × f(t + h/2, y + k2/2)</w:t>
      </w:r>
    </w:p>
    <w:p>
      <w:pPr>
        <w:ind w:firstLine="420"/>
      </w:pPr>
      <w:r>
        <w:t>k4 = h × f(t + h, y + k3)</w:t>
      </w:r>
    </w:p>
    <w:p>
      <w:pPr>
        <w:ind w:firstLine="420"/>
      </w:pPr>
      <w:r>
        <w:t>y(t+h) = y(t) + (k1 + 2k2 + 2k3 + k4)/6</w:t>
      </w:r>
    </w:p>
    <w:p>
      <w:pPr>
        <w:ind w:firstLine="420"/>
      </w:pPr>
      <w:r>
        <w:t>```</w:t>
      </w:r>
    </w:p>
    <w:p>
      <w:pPr>
        <w:ind w:firstLine="420"/>
      </w:pPr>
      <w:r>
        <w:t>在每个积分步内，先计算所有8个状态的k1，然后k2，然后k3，然后k4——确保所有导数计算使用同一时刻的状态值。</w:t>
      </w:r>
    </w:p>
    <w:p>
      <w:r>
        <w:rPr>
          <w:b/>
          <w:sz w:val="22"/>
        </w:rPr>
        <w:t>4.4.3 五项关键增强</w:t>
      </w:r>
    </w:p>
    <w:p>
      <w:pPr>
        <w:ind w:firstLine="420"/>
      </w:pPr>
      <w:r>
        <w:t>增强1：Michaelis-Menten饱和动力学（替代线性Uid）</w:t>
      </w:r>
    </w:p>
    <w:p>
      <w:pPr>
        <w:ind w:firstLine="420"/>
      </w:pPr>
      <w:r>
        <w:t>原始的Dalla Man模型中，胰岛素依赖性葡萄糖利用被建模为：</w:t>
      </w:r>
    </w:p>
    <w:p>
      <w:pPr>
        <w:ind w:firstLine="420"/>
      </w:pPr>
      <w:r>
        <w:t>```</w:t>
      </w:r>
    </w:p>
    <w:p>
      <w:pPr>
        <w:ind w:firstLine="420"/>
      </w:pPr>
      <w:r>
        <w:t>Uid_linear = k2 × X × G  (线性形式)</w:t>
      </w:r>
    </w:p>
    <w:p>
      <w:pPr>
        <w:ind w:firstLine="420"/>
      </w:pPr>
      <w:r>
        <w:t>```</w:t>
      </w:r>
    </w:p>
    <w:p>
      <w:pPr>
        <w:ind w:firstLine="420"/>
      </w:pPr>
      <w:r>
        <w:t>在线性形式下，当血糖极高（如G = 20 mmol/L）且胰岛素作用强时，Uid_linear可达0.5+ mmol/L/min的清除速率——相当于在5分钟内将血糖从20 mmol/L降至17.5 mmol/L，这在生理上是不可能的（人体外周组织的葡萄糖转运蛋白GLUT4介导的葡萄糖摄取速率存在硬上限，遵循饱和动力学）。</w:t>
      </w:r>
    </w:p>
    <w:p>
      <w:pPr>
        <w:ind w:firstLine="420"/>
      </w:pPr>
      <w:r>
        <w:t>本系统将线性Uid替换为Michaelis-Menten（MM）饱和动力学形式：</w:t>
      </w:r>
    </w:p>
    <w:p>
      <w:pPr>
        <w:ind w:firstLine="420"/>
      </w:pPr>
      <w:r>
        <w:t>```</w:t>
      </w:r>
    </w:p>
    <w:p>
      <w:pPr>
        <w:ind w:firstLine="420"/>
      </w:pPr>
      <w:r>
        <w:t>Uid_MM = (Vm0 + VmX × X) × G × 18 / (Km0 + G × 18) × BW / (Vg × 18)</w:t>
      </w:r>
    </w:p>
    <w:p>
      <w:pPr>
        <w:ind w:firstLine="420"/>
      </w:pPr>
      <w:r>
        <w:t>```</w:t>
      </w:r>
    </w:p>
    <w:p>
      <w:pPr>
        <w:ind w:firstLine="420"/>
      </w:pPr>
      <w:r>
        <w:t>其中：</w:t>
      </w:r>
    </w:p>
    <w:p>
      <w:pPr>
        <w:ind w:firstLine="420"/>
      </w:pPr>
      <w:r>
        <w:t>Vm0：基础最大葡萄糖利用速率（mg/kg/min），反映胰岛素非依赖的GLUT1介导摄取</w:t>
      </w:r>
    </w:p>
    <w:p>
      <w:pPr>
        <w:ind w:firstLine="420"/>
      </w:pPr>
      <w:r>
        <w:t>VmX：胰岛素刺激的最大葡萄糖利用增量（mg/kg/min），反映GLUT4转位→活性增强</w:t>
      </w:r>
    </w:p>
    <w:p>
      <w:pPr>
        <w:ind w:firstLine="420"/>
      </w:pPr>
      <w:r>
        <w:t>Km0：Michaelis半饱和常数（mg/dL），反映GLUT对葡萄糖的亲和力</w:t>
      </w:r>
    </w:p>
    <w:p>
      <w:pPr>
        <w:ind w:firstLine="420"/>
      </w:pPr>
      <w:r>
        <w:t>因子×18：将mmol/L转换为mg/dL（葡萄糖分子量180，转换系数18.018）</w:t>
      </w:r>
    </w:p>
    <w:p>
      <w:pPr>
        <w:ind w:firstLine="420"/>
      </w:pPr>
      <w:r>
        <w:t>MM vs 线性行为差异：</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Pr>
                <w:sz w:val="18"/>
              </w:rPr>
              <w:t>场景</w:t>
            </w:r>
          </w:p>
        </w:tc>
        <w:tc>
          <w:tcPr>
            <w:tcW w:type="dxa" w:w="1727"/>
          </w:tcPr>
          <w:p>
            <w:pPr>
              <w:jc w:val="center"/>
            </w:pPr>
            <w:r>
              <w:rPr>
                <w:sz w:val="18"/>
              </w:rPr>
              <w:t>G (mmol/L)</w:t>
            </w:r>
          </w:p>
        </w:tc>
        <w:tc>
          <w:tcPr>
            <w:tcW w:type="dxa" w:w="1727"/>
          </w:tcPr>
          <w:p>
            <w:pPr>
              <w:jc w:val="center"/>
            </w:pPr>
            <w:r>
              <w:rPr>
                <w:sz w:val="18"/>
              </w:rPr>
              <w:t>Uid_linear (mmol/L/min)</w:t>
            </w:r>
          </w:p>
        </w:tc>
        <w:tc>
          <w:tcPr>
            <w:tcW w:type="dxa" w:w="1727"/>
          </w:tcPr>
          <w:p>
            <w:pPr>
              <w:jc w:val="center"/>
            </w:pPr>
            <w:r>
              <w:rPr>
                <w:sz w:val="18"/>
              </w:rPr>
              <w:t>Uid_MM (mmol/L/min)</w:t>
            </w:r>
          </w:p>
        </w:tc>
        <w:tc>
          <w:tcPr>
            <w:tcW w:type="dxa" w:w="1727"/>
          </w:tcPr>
          <w:p>
            <w:pPr>
              <w:jc w:val="center"/>
            </w:pPr>
            <w:r>
              <w:rPr>
                <w:sz w:val="18"/>
              </w:rPr>
              <w:t>行为</w:t>
            </w:r>
          </w:p>
        </w:tc>
      </w:tr>
    </w:tbl>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Pr>
                <w:sz w:val="18"/>
              </w:rPr>
              <w:t>正常</w:t>
            </w:r>
          </w:p>
        </w:tc>
        <w:tc>
          <w:tcPr>
            <w:tcW w:type="dxa" w:w="1727"/>
          </w:tcPr>
          <w:p>
            <w:pPr>
              <w:jc w:val="center"/>
            </w:pPr>
            <w:r>
              <w:rPr>
                <w:sz w:val="18"/>
              </w:rPr>
              <w:t>6.0</w:t>
            </w:r>
          </w:p>
        </w:tc>
        <w:tc>
          <w:tcPr>
            <w:tcW w:type="dxa" w:w="1727"/>
          </w:tcPr>
          <w:p>
            <w:pPr>
              <w:jc w:val="center"/>
            </w:pPr>
            <w:r>
              <w:rPr>
                <w:sz w:val="18"/>
              </w:rPr>
              <w:t>0.033</w:t>
            </w:r>
          </w:p>
        </w:tc>
        <w:tc>
          <w:tcPr>
            <w:tcW w:type="dxa" w:w="1727"/>
          </w:tcPr>
          <w:p>
            <w:pPr>
              <w:jc w:val="center"/>
            </w:pPr>
            <w:r>
              <w:rPr>
                <w:sz w:val="18"/>
              </w:rPr>
              <w:t>0.028</w:t>
            </w:r>
          </w:p>
        </w:tc>
        <w:tc>
          <w:tcPr>
            <w:tcW w:type="dxa" w:w="1727"/>
          </w:tcPr>
          <w:p>
            <w:pPr>
              <w:jc w:val="center"/>
            </w:pPr>
            <w:r>
              <w:rPr>
                <w:sz w:val="18"/>
              </w:rPr>
              <w:t>接近，MM略低</w:t>
            </w:r>
          </w:p>
        </w:tc>
      </w:tr>
    </w:tbl>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Pr>
                <w:sz w:val="18"/>
              </w:rPr>
              <w:t>轻度高血糖</w:t>
            </w:r>
          </w:p>
        </w:tc>
        <w:tc>
          <w:tcPr>
            <w:tcW w:type="dxa" w:w="1727"/>
          </w:tcPr>
          <w:p>
            <w:pPr>
              <w:jc w:val="center"/>
            </w:pPr>
            <w:r>
              <w:rPr>
                <w:sz w:val="18"/>
              </w:rPr>
              <w:t>10.0</w:t>
            </w:r>
          </w:p>
        </w:tc>
        <w:tc>
          <w:tcPr>
            <w:tcW w:type="dxa" w:w="1727"/>
          </w:tcPr>
          <w:p>
            <w:pPr>
              <w:jc w:val="center"/>
            </w:pPr>
            <w:r>
              <w:rPr>
                <w:sz w:val="18"/>
              </w:rPr>
              <w:t>0.055</w:t>
            </w:r>
          </w:p>
        </w:tc>
        <w:tc>
          <w:tcPr>
            <w:tcW w:type="dxa" w:w="1727"/>
          </w:tcPr>
          <w:p>
            <w:pPr>
              <w:jc w:val="center"/>
            </w:pPr>
            <w:r>
              <w:rPr>
                <w:sz w:val="18"/>
              </w:rPr>
              <w:t>0.048</w:t>
            </w:r>
          </w:p>
        </w:tc>
        <w:tc>
          <w:tcPr>
            <w:tcW w:type="dxa" w:w="1727"/>
          </w:tcPr>
          <w:p>
            <w:pPr>
              <w:jc w:val="center"/>
            </w:pPr>
            <w:r>
              <w:rPr>
                <w:sz w:val="18"/>
              </w:rPr>
              <w:t>MM约低13%</w:t>
            </w:r>
          </w:p>
        </w:tc>
      </w:tr>
    </w:tbl>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Pr>
                <w:sz w:val="18"/>
              </w:rPr>
              <w:t>中度高血糖</w:t>
            </w:r>
          </w:p>
        </w:tc>
        <w:tc>
          <w:tcPr>
            <w:tcW w:type="dxa" w:w="1727"/>
          </w:tcPr>
          <w:p>
            <w:pPr>
              <w:jc w:val="center"/>
            </w:pPr>
            <w:r>
              <w:rPr>
                <w:sz w:val="18"/>
              </w:rPr>
              <w:t>15.0</w:t>
            </w:r>
          </w:p>
        </w:tc>
        <w:tc>
          <w:tcPr>
            <w:tcW w:type="dxa" w:w="1727"/>
          </w:tcPr>
          <w:p>
            <w:pPr>
              <w:jc w:val="center"/>
            </w:pPr>
            <w:r>
              <w:rPr>
                <w:sz w:val="18"/>
              </w:rPr>
              <w:t>0.083</w:t>
            </w:r>
          </w:p>
        </w:tc>
        <w:tc>
          <w:tcPr>
            <w:tcW w:type="dxa" w:w="1727"/>
          </w:tcPr>
          <w:p>
            <w:pPr>
              <w:jc w:val="center"/>
            </w:pPr>
            <w:r>
              <w:rPr>
                <w:sz w:val="18"/>
              </w:rPr>
              <w:t>0.060</w:t>
            </w:r>
          </w:p>
        </w:tc>
        <w:tc>
          <w:tcPr>
            <w:tcW w:type="dxa" w:w="1727"/>
          </w:tcPr>
          <w:p>
            <w:pPr>
              <w:jc w:val="center"/>
            </w:pPr>
            <w:r>
              <w:rPr>
                <w:sz w:val="18"/>
              </w:rPr>
              <w:t>MM约低28%</w:t>
            </w:r>
          </w:p>
        </w:tc>
      </w:tr>
    </w:tbl>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Pr>
                <w:sz w:val="18"/>
              </w:rPr>
              <w:t>严重高血糖</w:t>
            </w:r>
          </w:p>
        </w:tc>
        <w:tc>
          <w:tcPr>
            <w:tcW w:type="dxa" w:w="1727"/>
          </w:tcPr>
          <w:p>
            <w:pPr>
              <w:jc w:val="center"/>
            </w:pPr>
            <w:r>
              <w:rPr>
                <w:sz w:val="18"/>
              </w:rPr>
              <w:t>20.0</w:t>
            </w:r>
          </w:p>
        </w:tc>
        <w:tc>
          <w:tcPr>
            <w:tcW w:type="dxa" w:w="1727"/>
          </w:tcPr>
          <w:p>
            <w:pPr>
              <w:jc w:val="center"/>
            </w:pPr>
            <w:r>
              <w:rPr>
                <w:sz w:val="18"/>
              </w:rPr>
              <w:t>0.111</w:t>
            </w:r>
          </w:p>
        </w:tc>
        <w:tc>
          <w:tcPr>
            <w:tcW w:type="dxa" w:w="1727"/>
          </w:tcPr>
          <w:p>
            <w:pPr>
              <w:jc w:val="center"/>
            </w:pPr>
            <w:r>
              <w:rPr>
                <w:sz w:val="18"/>
              </w:rPr>
              <w:t>0.067</w:t>
            </w:r>
          </w:p>
        </w:tc>
        <w:tc>
          <w:tcPr>
            <w:tcW w:type="dxa" w:w="1727"/>
          </w:tcPr>
          <w:p>
            <w:pPr>
              <w:jc w:val="center"/>
            </w:pPr>
            <w:r>
              <w:rPr>
                <w:sz w:val="18"/>
              </w:rPr>
              <w:t>MM约低40%（饱和）</w:t>
            </w:r>
          </w:p>
        </w:tc>
      </w:tr>
    </w:tbl>
    <w:p>
      <w:pPr>
        <w:ind w:firstLine="420"/>
      </w:pPr>
      <w:r>
        <w:t>在高血糖区间，MM动力学产生了生理上合理的饱和效应——清糖速率不再与血糖浓度线性增长，而是趋于一个上限（约0.07 mmol/L/min）。这解决了原模型在高血糖预测中产生不真实"断崖式下降"的问题。</w:t>
      </w:r>
    </w:p>
    <w:p>
      <w:pPr>
        <w:ind w:firstLine="420"/>
      </w:pPr>
      <w:r>
        <w:t>增强2：胃排空速率上限约束（VmaxGastric）</w:t>
      </w:r>
    </w:p>
    <w:p>
      <w:pPr>
        <w:ind w:firstLine="420"/>
      </w:pPr>
      <w:r>
        <w:t>原始的线性胃排空公式 dStomach/dt = -kStomach × Stomach 意味着胃排空速率与胃内残余食物量成正比——大餐（如320g碳水）会产生极高的初始排空速率，导致过度的餐后血糖峰值（预测值可达25 mmol/L以上）。</w:t>
      </w:r>
    </w:p>
    <w:p>
      <w:pPr>
        <w:ind w:firstLine="420"/>
      </w:pPr>
      <w:r>
        <w:t>生理上，胃排空速率受幽门括约肌的最大通过能力限制，且高浓度碳水化合物在十二指肠会触发肠抑胃素反馈，抑制胃排空。本系统引入VmaxGastric上限：</w:t>
      </w:r>
    </w:p>
    <w:p>
      <w:pPr>
        <w:ind w:firstLine="420"/>
      </w:pPr>
      <w:r>
        <w:t>```</w:t>
      </w:r>
    </w:p>
    <w:p>
      <w:pPr>
        <w:ind w:firstLine="420"/>
      </w:pPr>
      <w:r>
        <w:t>dStomach/dt = -min(kStomach × Stomach, VmaxGastric × BW)</w:t>
      </w:r>
    </w:p>
    <w:p>
      <w:pPr>
        <w:ind w:firstLine="420"/>
      </w:pPr>
      <w:r>
        <w:t>```</w:t>
      </w:r>
    </w:p>
    <w:p>
      <w:pPr>
        <w:ind w:firstLine="420"/>
      </w:pPr>
      <w:r>
        <w:t>VmaxGastric的群体典型值为7 mg/kg/min（Dalla Man原始模型估计范围5-10）。对于65kg患者，上限约455 mg/min ≈ 27g碳水/小时。效果对比：</w:t>
      </w:r>
    </w:p>
    <w:p>
      <w:pPr>
        <w:ind w:firstLine="420"/>
      </w:pPr>
      <w:r>
        <w:t>60g碳水餐（kStomach=0.05, BW=65kg, VmaxGastric=7）：受Vmax约束（初始排空速率455 vs 理论3000），峰值预测9-10 mmol/L ✓</w:t>
      </w:r>
    </w:p>
    <w:p>
      <w:pPr>
        <w:ind w:firstLine="420"/>
      </w:pPr>
      <w:r>
        <w:t>320g碳水餐（极端场景）：受Vmax约束，预测峰值降至约14 mmol/L（vs 线性模型的25+ mmol/L）</w:t>
      </w:r>
    </w:p>
    <w:p>
      <w:pPr>
        <w:ind w:firstLine="420"/>
      </w:pPr>
      <w:r>
        <w:t>增强3：内源性胰岛素分泌（sigma）</w:t>
      </w:r>
    </w:p>
    <w:p>
      <w:pPr>
        <w:ind w:firstLine="420"/>
      </w:pPr>
      <w:r>
        <w:t>原始Dalla Man模型主要针对T1DM（胰岛素绝对缺乏，Ib=0, 无内源分泌），未建模残余β细胞功能。对于T2DM患者（占中国糖尿病患者95%+），多数患者仍保留部分β细胞功能（初期正常甚至偏高，中晚期约20-50%残余）。</w:t>
      </w:r>
    </w:p>
    <w:p>
      <w:pPr>
        <w:ind w:firstLine="420"/>
      </w:pPr>
      <w:r>
        <w:t>本系统引入sigma参数，以血糖偏离基线为驱动的内源性胰岛素分泌项：</w:t>
      </w:r>
    </w:p>
    <w:p>
      <w:pPr>
        <w:ind w:firstLine="420"/>
      </w:pPr>
      <w:r>
        <w:t>```</w:t>
      </w:r>
    </w:p>
    <w:p>
      <w:pPr>
        <w:ind w:firstLine="420"/>
      </w:pPr>
      <w:r>
        <w:t>dI/dt_endo = sigma × max(0, G Gb)</w:t>
      </w:r>
    </w:p>
    <w:p>
      <w:pPr>
        <w:ind w:firstLine="420"/>
      </w:pPr>
      <w:r>
        <w:t>```</w:t>
      </w:r>
    </w:p>
    <w:p>
      <w:pPr>
        <w:ind w:firstLine="420"/>
      </w:pPr>
      <w:r>
        <w:t>其中sigma ∈ [0, 6]，推荐值为T1DM患者sigma = 0（无内源分泌），早期T2DM患者sigma = 4.0-6.0（高胰岛素血症期），中晚期T2DM患者sigma = 2.0-4.0（部分残余）。</w:t>
      </w:r>
    </w:p>
    <w:p>
      <w:pPr>
        <w:ind w:firstLine="420"/>
      </w:pPr>
      <w:r>
        <w:t>sigma对预测的影响：在餐后高血糖期间，内源性分泌贡献额外胰岛素，加速血糖回落至基线。这使得T2DM患者的Dalla Man预测不再过度依赖外源胰岛素记录（许多T2DM患者仅口服药，不注射胰岛素）。</w:t>
      </w:r>
    </w:p>
    <w:p>
      <w:pPr>
        <w:ind w:firstLine="420"/>
      </w:pPr>
      <w:r>
        <w:t>增强4：长效胰岛素指数加权建模</w:t>
      </w:r>
    </w:p>
    <w:p>
      <w:pPr>
        <w:ind w:firstLine="420"/>
      </w:pPr>
      <w:r>
        <w:t>速效和短效胰岛素通过皮下双隔室吸收模型处理（见状态变量subQ1/subQ2），但长效胰岛素类似物（甘精胰岛素U100/U300、地特胰岛素、德谷胰岛素）具有截然不同的药代动力学——几乎恒定的释放速率（峰值-谷值比&lt;2:1），作用持续时间12-42小时（取决于类型）。</w:t>
      </w:r>
    </w:p>
    <w:p>
      <w:pPr>
        <w:ind w:firstLine="420"/>
      </w:pPr>
      <w:r>
        <w:t>本系统对长效胰岛素的处理：不纳入bolus吸收模型，而是使用指数加权模型（基于半衰期的衰减函数）：</w:t>
      </w:r>
    </w:p>
    <w:p>
      <w:pPr>
        <w:ind w:firstLine="420"/>
      </w:pPr>
      <w:r>
        <w:t>```</w:t>
      </w:r>
    </w:p>
    <w:p>
      <w:pPr>
        <w:ind w:firstLine="420"/>
      </w:pPr>
      <w:r>
        <w:t>I_long_effective = Σ_i dose_i × exp(-ln(2) × Δt_i / half_life)</w:t>
      </w:r>
    </w:p>
    <w:p>
      <w:pPr>
        <w:ind w:firstLine="420"/>
      </w:pPr>
      <w:r>
        <w:t>I_long_contribution = I_long_effective × 0.4</w:t>
      </w:r>
    </w:p>
    <w:p>
      <w:pPr>
        <w:ind w:firstLine="420"/>
      </w:pPr>
      <w:r>
        <w:t>```</w:t>
      </w:r>
    </w:p>
    <w:p>
      <w:pPr>
        <w:ind w:firstLine="420"/>
      </w:pPr>
      <w:r>
        <w:t>其中half_life = 12小时（甘精/地特的近似值，德谷胰岛素约25小时），系数0.4将有效剂量贡献到空腹胰岛素Ib中。Δt_i为第i次注射到当前时间的时间差。</w:t>
      </w:r>
    </w:p>
    <w:p>
      <w:pPr>
        <w:ind w:firstLine="420"/>
      </w:pPr>
      <w:r>
        <w:t>增强5：活动量自适应参数调节</w:t>
      </w:r>
    </w:p>
    <w:p>
      <w:pPr>
        <w:ind w:firstLine="420"/>
      </w:pPr>
      <w:r>
        <w:t>运动对胰岛素敏感性的影响已得到充分证实——急性运动后GLUT4的胰岛素非依赖性转位可持续2-48小时，长期规律运动可改善胰岛素敏感性15-30%。</w:t>
      </w:r>
    </w:p>
    <w:p>
      <w:pPr>
        <w:ind w:firstLine="420"/>
      </w:pPr>
      <w:r>
        <w:t>本系统使用7天滚动平均运动时长（从运动记录计算）作为活动量指标activityLevel（分钟/天），动态调节两个核心参数：</w:t>
      </w:r>
    </w:p>
    <w:p>
      <w:pPr>
        <w:ind w:firstLine="420"/>
      </w:pPr>
      <w:r>
        <w:t>```</w:t>
      </w:r>
    </w:p>
    <w:p>
      <w:pPr>
        <w:ind w:firstLine="420"/>
      </w:pPr>
      <w:r>
        <w:t>activityLevel = average(exercise_minutes[t-7days, t])</w:t>
      </w:r>
    </w:p>
    <w:p>
      <w:pPr>
        <w:ind w:firstLine="420"/>
      </w:pPr>
      <w:r>
        <w:t>k1_adapted = k1_base + max(0, activityLevel 30) × 0.002</w:t>
      </w:r>
    </w:p>
    <w:p>
      <w:pPr>
        <w:ind w:firstLine="420"/>
      </w:pPr>
      <w:r>
        <w:t>Vm0_adapted = Vm0_base + max(0, activityLevel 30) × 0.08</w:t>
      </w:r>
    </w:p>
    <w:p>
      <w:pPr>
        <w:ind w:firstLine="420"/>
      </w:pPr>
      <w:r>
        <w:t>```</w:t>
      </w:r>
    </w:p>
    <w:p>
      <w:pPr>
        <w:ind w:firstLine="420"/>
      </w:pPr>
      <w:r>
        <w:t>k1（胰岛素非依赖性利用）和Vm0（基础葡萄糖利用）的提升模拟了运动诱导的胰岛素敏感性改善。仅在activityLevel &gt; 30分钟/天时触发提升（非活跃用户可以维持在基线水平）。</w:t>
      </w:r>
    </w:p>
    <w:p>
      <w:r>
        <w:rPr>
          <w:b/>
          <w:sz w:val="22"/>
        </w:rPr>
        <w:t>4.4.4 ISF驱动的个性化参数公式</w:t>
      </w:r>
    </w:p>
    <w:p>
      <w:pPr>
        <w:ind w:firstLine="420"/>
      </w:pPr>
      <w:r>
        <w:t>Dalla Man模型的自定义基于一个核心理念：胰岛素敏感因子（ISF）——表示1单位胰岛素可使血糖降低多少mmol/L——是连接临床参数与模型参数的桥梁。</w:t>
      </w:r>
    </w:p>
    <w:p>
      <w:pPr>
        <w:ind w:firstLine="420"/>
      </w:pPr>
      <w:r>
        <w:t>定义归一化因子：</w:t>
      </w:r>
    </w:p>
    <w:p>
      <w:pPr>
        <w:ind w:firstLine="420"/>
      </w:pPr>
      <w:r>
        <w:t>```</w:t>
      </w:r>
    </w:p>
    <w:p>
      <w:pPr>
        <w:ind w:firstLine="420"/>
      </w:pPr>
      <w:r>
        <w:t>isfFactor = 1.5 / ISF</w:t>
      </w:r>
    </w:p>
    <w:p>
      <w:pPr>
        <w:ind w:firstLine="420"/>
      </w:pPr>
      <w:r>
        <w:t>```</w:t>
      </w:r>
    </w:p>
    <w:p>
      <w:pPr>
        <w:ind w:firstLine="420"/>
      </w:pPr>
      <w:r>
        <w:t>ISF ∈ [0.5, 6.0] → isfFactor ∈ [0.3, 3.0]。胰岛素的（低ISF）→高isfFactor，敏感的（高ISF）→低isfFactor。</w:t>
      </w:r>
    </w:p>
    <w:p>
      <w:pPr>
        <w:ind w:firstLine="420"/>
      </w:pPr>
      <w:r>
        <w:t>6项参数个性化公式：</w:t>
      </w:r>
    </w:p>
    <w:tbl>
      <w:tblPr>
        <w:tblStyle w:val="TableGrid"/>
        <w:tblW w:type="auto" w:w="0"/>
        <w:tblLook w:firstColumn="1" w:firstRow="1" w:lastColumn="0" w:lastRow="0" w:noHBand="0" w:noVBand="1" w:val="04A0"/>
      </w:tblPr>
      <w:tblGrid>
        <w:gridCol w:w="1439"/>
        <w:gridCol w:w="1439"/>
        <w:gridCol w:w="1439"/>
        <w:gridCol w:w="1439"/>
        <w:gridCol w:w="1439"/>
        <w:gridCol w:w="1439"/>
      </w:tblGrid>
      <w:tr>
        <w:tc>
          <w:tcPr>
            <w:tcW w:type="dxa" w:w="1439"/>
          </w:tcPr>
          <w:p>
            <w:pPr>
              <w:jc w:val="center"/>
            </w:pPr>
            <w:r>
              <w:rPr>
                <w:sz w:val="18"/>
              </w:rPr>
              <w:t>参数</w:t>
            </w:r>
          </w:p>
        </w:tc>
        <w:tc>
          <w:tcPr>
            <w:tcW w:type="dxa" w:w="1439"/>
          </w:tcPr>
          <w:p>
            <w:pPr>
              <w:jc w:val="center"/>
            </w:pPr>
            <w:r>
              <w:rPr>
                <w:sz w:val="18"/>
              </w:rPr>
              <w:t>公式</w:t>
            </w:r>
          </w:p>
        </w:tc>
        <w:tc>
          <w:tcPr>
            <w:tcW w:type="dxa" w:w="1439"/>
          </w:tcPr>
          <w:p>
            <w:pPr>
              <w:jc w:val="center"/>
            </w:pPr>
            <w:r>
              <w:rPr>
                <w:sz w:val="18"/>
              </w:rPr>
              <w:t>群体值(ISF=1.5)</w:t>
            </w:r>
          </w:p>
        </w:tc>
        <w:tc>
          <w:tcPr>
            <w:tcW w:type="dxa" w:w="1439"/>
          </w:tcPr>
          <w:p>
            <w:pPr>
              <w:jc w:val="center"/>
            </w:pPr>
            <w:r>
              <w:rPr>
                <w:sz w:val="18"/>
              </w:rPr>
              <w:t>ISF=0.7(抵抗)</w:t>
            </w:r>
          </w:p>
        </w:tc>
        <w:tc>
          <w:tcPr>
            <w:tcW w:type="dxa" w:w="1439"/>
          </w:tcPr>
          <w:p>
            <w:pPr>
              <w:jc w:val="center"/>
            </w:pPr>
            <w:r>
              <w:rPr>
                <w:sz w:val="18"/>
              </w:rPr>
              <w:t>ISF=3.0(敏感)</w:t>
            </w:r>
          </w:p>
        </w:tc>
        <w:tc>
          <w:tcPr>
            <w:tcW w:type="dxa" w:w="1439"/>
          </w:tcPr>
          <w:p>
            <w:pPr>
              <w:jc w:val="center"/>
            </w:pPr>
            <w:r>
              <w:rPr>
                <w:sz w:val="18"/>
              </w:rPr>
              <w:t>生理含义</w:t>
            </w:r>
          </w:p>
        </w:tc>
      </w:tr>
    </w:tbl>
    <w:tbl>
      <w:tblPr>
        <w:tblStyle w:val="TableGrid"/>
        <w:tblW w:type="auto" w:w="0"/>
        <w:tblLook w:firstColumn="1" w:firstRow="1" w:lastColumn="0" w:lastRow="0" w:noHBand="0" w:noVBand="1" w:val="04A0"/>
      </w:tblPr>
      <w:tblGrid>
        <w:gridCol w:w="1439"/>
        <w:gridCol w:w="1439"/>
        <w:gridCol w:w="1439"/>
        <w:gridCol w:w="1439"/>
        <w:gridCol w:w="1439"/>
        <w:gridCol w:w="1439"/>
      </w:tblGrid>
      <w:tr>
        <w:tc>
          <w:tcPr>
            <w:tcW w:type="dxa" w:w="1439"/>
          </w:tcPr>
          <w:p>
            <w:pPr>
              <w:jc w:val="center"/>
            </w:pPr>
            <w:r>
              <w:rPr>
                <w:sz w:val="18"/>
              </w:rPr>
              <w:t>kStomach</w:t>
            </w:r>
          </w:p>
        </w:tc>
        <w:tc>
          <w:tcPr>
            <w:tcW w:type="dxa" w:w="1439"/>
          </w:tcPr>
          <w:p>
            <w:pPr>
              <w:jc w:val="center"/>
            </w:pPr>
            <w:r>
              <w:rPr>
                <w:sz w:val="18"/>
              </w:rPr>
              <w:t>0.050 - isfFactor×0.005</w:t>
            </w:r>
          </w:p>
        </w:tc>
        <w:tc>
          <w:tcPr>
            <w:tcW w:type="dxa" w:w="1439"/>
          </w:tcPr>
          <w:p>
            <w:pPr>
              <w:jc w:val="center"/>
            </w:pPr>
            <w:r>
              <w:rPr>
                <w:sz w:val="18"/>
              </w:rPr>
              <w:t>0.045</w:t>
            </w:r>
          </w:p>
        </w:tc>
        <w:tc>
          <w:tcPr>
            <w:tcW w:type="dxa" w:w="1439"/>
          </w:tcPr>
          <w:p>
            <w:pPr>
              <w:jc w:val="center"/>
            </w:pPr>
            <w:r>
              <w:rPr>
                <w:sz w:val="18"/>
              </w:rPr>
              <w:t>0.037</w:t>
            </w:r>
          </w:p>
        </w:tc>
        <w:tc>
          <w:tcPr>
            <w:tcW w:type="dxa" w:w="1439"/>
          </w:tcPr>
          <w:p>
            <w:pPr>
              <w:jc w:val="center"/>
            </w:pPr>
            <w:r>
              <w:rPr>
                <w:sz w:val="18"/>
              </w:rPr>
              <w:t>0.053</w:t>
            </w:r>
          </w:p>
        </w:tc>
        <w:tc>
          <w:tcPr>
            <w:tcW w:type="dxa" w:w="1439"/>
          </w:tcPr>
          <w:p>
            <w:pPr>
              <w:jc w:val="center"/>
            </w:pPr>
            <w:r>
              <w:rPr>
                <w:sz w:val="18"/>
              </w:rPr>
              <w:t>抵抗→胃排空慢</w:t>
            </w:r>
          </w:p>
        </w:tc>
      </w:tr>
    </w:tbl>
    <w:tbl>
      <w:tblPr>
        <w:tblStyle w:val="TableGrid"/>
        <w:tblW w:type="auto" w:w="0"/>
        <w:tblLook w:firstColumn="1" w:firstRow="1" w:lastColumn="0" w:lastRow="0" w:noHBand="0" w:noVBand="1" w:val="04A0"/>
      </w:tblPr>
      <w:tblGrid>
        <w:gridCol w:w="1439"/>
        <w:gridCol w:w="1439"/>
        <w:gridCol w:w="1439"/>
        <w:gridCol w:w="1439"/>
        <w:gridCol w:w="1439"/>
        <w:gridCol w:w="1439"/>
      </w:tblGrid>
      <w:tr>
        <w:tc>
          <w:tcPr>
            <w:tcW w:type="dxa" w:w="1439"/>
          </w:tcPr>
          <w:p>
            <w:pPr>
              <w:jc w:val="center"/>
            </w:pPr>
            <w:r>
              <w:rPr>
                <w:sz w:val="18"/>
              </w:rPr>
              <w:t>VmaxGastric</w:t>
            </w:r>
          </w:p>
        </w:tc>
        <w:tc>
          <w:tcPr>
            <w:tcW w:type="dxa" w:w="1439"/>
          </w:tcPr>
          <w:p>
            <w:pPr>
              <w:jc w:val="center"/>
            </w:pPr>
            <w:r>
              <w:rPr>
                <w:sz w:val="18"/>
              </w:rPr>
              <w:t>10.0 - isfFactor×2.0</w:t>
            </w:r>
          </w:p>
        </w:tc>
        <w:tc>
          <w:tcPr>
            <w:tcW w:type="dxa" w:w="1439"/>
          </w:tcPr>
          <w:p>
            <w:pPr>
              <w:jc w:val="center"/>
            </w:pPr>
            <w:r>
              <w:rPr>
                <w:sz w:val="18"/>
              </w:rPr>
              <w:t>8.0</w:t>
            </w:r>
          </w:p>
        </w:tc>
        <w:tc>
          <w:tcPr>
            <w:tcW w:type="dxa" w:w="1439"/>
          </w:tcPr>
          <w:p>
            <w:pPr>
              <w:jc w:val="center"/>
            </w:pPr>
            <w:r>
              <w:rPr>
                <w:sz w:val="18"/>
              </w:rPr>
              <w:t>4.7</w:t>
            </w:r>
          </w:p>
        </w:tc>
        <w:tc>
          <w:tcPr>
            <w:tcW w:type="dxa" w:w="1439"/>
          </w:tcPr>
          <w:p>
            <w:pPr>
              <w:jc w:val="center"/>
            </w:pPr>
            <w:r>
              <w:rPr>
                <w:sz w:val="18"/>
              </w:rPr>
              <w:t>11.0</w:t>
            </w:r>
          </w:p>
        </w:tc>
        <w:tc>
          <w:tcPr>
            <w:tcW w:type="dxa" w:w="1439"/>
          </w:tcPr>
          <w:p>
            <w:pPr>
              <w:jc w:val="center"/>
            </w:pPr>
            <w:r>
              <w:rPr>
                <w:sz w:val="18"/>
              </w:rPr>
              <w:t>抵抗→胃排空上限低</w:t>
            </w:r>
          </w:p>
        </w:tc>
      </w:tr>
    </w:tbl>
    <w:tbl>
      <w:tblPr>
        <w:tblStyle w:val="TableGrid"/>
        <w:tblW w:type="auto" w:w="0"/>
        <w:tblLook w:firstColumn="1" w:firstRow="1" w:lastColumn="0" w:lastRow="0" w:noHBand="0" w:noVBand="1" w:val="04A0"/>
      </w:tblPr>
      <w:tblGrid>
        <w:gridCol w:w="1439"/>
        <w:gridCol w:w="1439"/>
        <w:gridCol w:w="1439"/>
        <w:gridCol w:w="1439"/>
        <w:gridCol w:w="1439"/>
        <w:gridCol w:w="1439"/>
      </w:tblGrid>
      <w:tr>
        <w:tc>
          <w:tcPr>
            <w:tcW w:type="dxa" w:w="1439"/>
          </w:tcPr>
          <w:p>
            <w:pPr>
              <w:jc w:val="center"/>
            </w:pPr>
            <w:r>
              <w:rPr>
                <w:sz w:val="18"/>
              </w:rPr>
              <w:t>Vm0</w:t>
            </w:r>
          </w:p>
        </w:tc>
        <w:tc>
          <w:tcPr>
            <w:tcW w:type="dxa" w:w="1439"/>
          </w:tcPr>
          <w:p>
            <w:pPr>
              <w:jc w:val="center"/>
            </w:pPr>
            <w:r>
              <w:rPr>
                <w:sz w:val="18"/>
              </w:rPr>
              <w:t>4.5 - isfFactor×0.5</w:t>
            </w:r>
          </w:p>
        </w:tc>
        <w:tc>
          <w:tcPr>
            <w:tcW w:type="dxa" w:w="1439"/>
          </w:tcPr>
          <w:p>
            <w:pPr>
              <w:jc w:val="center"/>
            </w:pPr>
            <w:r>
              <w:rPr>
                <w:sz w:val="18"/>
              </w:rPr>
              <w:t>4.0</w:t>
            </w:r>
          </w:p>
        </w:tc>
        <w:tc>
          <w:tcPr>
            <w:tcW w:type="dxa" w:w="1439"/>
          </w:tcPr>
          <w:p>
            <w:pPr>
              <w:jc w:val="center"/>
            </w:pPr>
            <w:r>
              <w:rPr>
                <w:sz w:val="18"/>
              </w:rPr>
              <w:t>3.3</w:t>
            </w:r>
          </w:p>
        </w:tc>
        <w:tc>
          <w:tcPr>
            <w:tcW w:type="dxa" w:w="1439"/>
          </w:tcPr>
          <w:p>
            <w:pPr>
              <w:jc w:val="center"/>
            </w:pPr>
            <w:r>
              <w:rPr>
                <w:sz w:val="18"/>
              </w:rPr>
              <w:t>4.8</w:t>
            </w:r>
          </w:p>
        </w:tc>
        <w:tc>
          <w:tcPr>
            <w:tcW w:type="dxa" w:w="1439"/>
          </w:tcPr>
          <w:p>
            <w:pPr>
              <w:jc w:val="center"/>
            </w:pPr>
            <w:r>
              <w:rPr>
                <w:sz w:val="18"/>
              </w:rPr>
              <w:t>抵抗→基础清糖低</w:t>
            </w:r>
          </w:p>
        </w:tc>
      </w:tr>
    </w:tbl>
    <w:tbl>
      <w:tblPr>
        <w:tblStyle w:val="TableGrid"/>
        <w:tblW w:type="auto" w:w="0"/>
        <w:tblLook w:firstColumn="1" w:firstRow="1" w:lastColumn="0" w:lastRow="0" w:noHBand="0" w:noVBand="1" w:val="04A0"/>
      </w:tblPr>
      <w:tblGrid>
        <w:gridCol w:w="1439"/>
        <w:gridCol w:w="1439"/>
        <w:gridCol w:w="1439"/>
        <w:gridCol w:w="1439"/>
        <w:gridCol w:w="1439"/>
        <w:gridCol w:w="1439"/>
      </w:tblGrid>
      <w:tr>
        <w:tc>
          <w:tcPr>
            <w:tcW w:type="dxa" w:w="1439"/>
          </w:tcPr>
          <w:p>
            <w:pPr>
              <w:jc w:val="center"/>
            </w:pPr>
            <w:r>
              <w:rPr>
                <w:sz w:val="18"/>
              </w:rPr>
              <w:t>VmX</w:t>
            </w:r>
          </w:p>
        </w:tc>
        <w:tc>
          <w:tcPr>
            <w:tcW w:type="dxa" w:w="1439"/>
          </w:tcPr>
          <w:p>
            <w:pPr>
              <w:jc w:val="center"/>
            </w:pPr>
            <w:r>
              <w:rPr>
                <w:sz w:val="18"/>
              </w:rPr>
              <w:t>0.16 - isfFactor×0.03</w:t>
            </w:r>
          </w:p>
        </w:tc>
        <w:tc>
          <w:tcPr>
            <w:tcW w:type="dxa" w:w="1439"/>
          </w:tcPr>
          <w:p>
            <w:pPr>
              <w:jc w:val="center"/>
            </w:pPr>
            <w:r>
              <w:rPr>
                <w:sz w:val="18"/>
              </w:rPr>
              <w:t>0.13</w:t>
            </w:r>
          </w:p>
        </w:tc>
        <w:tc>
          <w:tcPr>
            <w:tcW w:type="dxa" w:w="1439"/>
          </w:tcPr>
          <w:p>
            <w:pPr>
              <w:jc w:val="center"/>
            </w:pPr>
            <w:r>
              <w:rPr>
                <w:sz w:val="18"/>
              </w:rPr>
              <w:t>0.09</w:t>
            </w:r>
          </w:p>
        </w:tc>
        <w:tc>
          <w:tcPr>
            <w:tcW w:type="dxa" w:w="1439"/>
          </w:tcPr>
          <w:p>
            <w:pPr>
              <w:jc w:val="center"/>
            </w:pPr>
            <w:r>
              <w:rPr>
                <w:sz w:val="18"/>
              </w:rPr>
              <w:t>0.17</w:t>
            </w:r>
          </w:p>
        </w:tc>
        <w:tc>
          <w:tcPr>
            <w:tcW w:type="dxa" w:w="1439"/>
          </w:tcPr>
          <w:p>
            <w:pPr>
              <w:jc w:val="center"/>
            </w:pPr>
            <w:r>
              <w:rPr>
                <w:sz w:val="18"/>
              </w:rPr>
              <w:t>抵抗→胰岛素刺激弱</w:t>
            </w:r>
          </w:p>
        </w:tc>
      </w:tr>
    </w:tbl>
    <w:tbl>
      <w:tblPr>
        <w:tblStyle w:val="TableGrid"/>
        <w:tblW w:type="auto" w:w="0"/>
        <w:tblLook w:firstColumn="1" w:firstRow="1" w:lastColumn="0" w:lastRow="0" w:noHBand="0" w:noVBand="1" w:val="04A0"/>
      </w:tblPr>
      <w:tblGrid>
        <w:gridCol w:w="1439"/>
        <w:gridCol w:w="1439"/>
        <w:gridCol w:w="1439"/>
        <w:gridCol w:w="1439"/>
        <w:gridCol w:w="1439"/>
        <w:gridCol w:w="1439"/>
      </w:tblGrid>
      <w:tr>
        <w:tc>
          <w:tcPr>
            <w:tcW w:type="dxa" w:w="1439"/>
          </w:tcPr>
          <w:p>
            <w:pPr>
              <w:jc w:val="center"/>
            </w:pPr>
            <w:r>
              <w:rPr>
                <w:sz w:val="18"/>
              </w:rPr>
              <w:t>hepaticBase</w:t>
            </w:r>
          </w:p>
        </w:tc>
        <w:tc>
          <w:tcPr>
            <w:tcW w:type="dxa" w:w="1439"/>
          </w:tcPr>
          <w:p>
            <w:pPr>
              <w:jc w:val="center"/>
            </w:pPr>
            <w:r>
              <w:rPr>
                <w:sz w:val="18"/>
              </w:rPr>
              <w:t>1.8 + isfFactor×0.6</w:t>
            </w:r>
          </w:p>
        </w:tc>
        <w:tc>
          <w:tcPr>
            <w:tcW w:type="dxa" w:w="1439"/>
          </w:tcPr>
          <w:p>
            <w:pPr>
              <w:jc w:val="center"/>
            </w:pPr>
            <w:r>
              <w:rPr>
                <w:sz w:val="18"/>
              </w:rPr>
              <w:t>2.4</w:t>
            </w:r>
          </w:p>
        </w:tc>
        <w:tc>
          <w:tcPr>
            <w:tcW w:type="dxa" w:w="1439"/>
          </w:tcPr>
          <w:p>
            <w:pPr>
              <w:jc w:val="center"/>
            </w:pPr>
            <w:r>
              <w:rPr>
                <w:sz w:val="18"/>
              </w:rPr>
              <w:t>3.3</w:t>
            </w:r>
          </w:p>
        </w:tc>
        <w:tc>
          <w:tcPr>
            <w:tcW w:type="dxa" w:w="1439"/>
          </w:tcPr>
          <w:p>
            <w:pPr>
              <w:jc w:val="center"/>
            </w:pPr>
            <w:r>
              <w:rPr>
                <w:sz w:val="18"/>
              </w:rPr>
              <w:t>1.8</w:t>
            </w:r>
          </w:p>
        </w:tc>
        <w:tc>
          <w:tcPr>
            <w:tcW w:type="dxa" w:w="1439"/>
          </w:tcPr>
          <w:p>
            <w:pPr>
              <w:jc w:val="center"/>
            </w:pPr>
            <w:r>
              <w:rPr>
                <w:sz w:val="18"/>
              </w:rPr>
              <w:t>抵抗→肝糖输出高</w:t>
            </w:r>
          </w:p>
        </w:tc>
      </w:tr>
    </w:tbl>
    <w:tbl>
      <w:tblPr>
        <w:tblStyle w:val="TableGrid"/>
        <w:tblW w:type="auto" w:w="0"/>
        <w:tblLook w:firstColumn="1" w:firstRow="1" w:lastColumn="0" w:lastRow="0" w:noHBand="0" w:noVBand="1" w:val="04A0"/>
      </w:tblPr>
      <w:tblGrid>
        <w:gridCol w:w="1439"/>
        <w:gridCol w:w="1439"/>
        <w:gridCol w:w="1439"/>
        <w:gridCol w:w="1439"/>
        <w:gridCol w:w="1439"/>
        <w:gridCol w:w="1439"/>
      </w:tblGrid>
      <w:tr>
        <w:tc>
          <w:tcPr>
            <w:tcW w:type="dxa" w:w="1439"/>
          </w:tcPr>
          <w:p>
            <w:pPr>
              <w:jc w:val="center"/>
            </w:pPr>
            <w:r>
              <w:rPr>
                <w:sz w:val="18"/>
              </w:rPr>
              <w:t>kp3</w:t>
            </w:r>
          </w:p>
        </w:tc>
        <w:tc>
          <w:tcPr>
            <w:tcW w:type="dxa" w:w="1439"/>
          </w:tcPr>
          <w:p>
            <w:pPr>
              <w:jc w:val="center"/>
            </w:pPr>
            <w:r>
              <w:rPr>
                <w:sz w:val="18"/>
              </w:rPr>
              <w:t>0.045 - isfFactor×0.007</w:t>
            </w:r>
          </w:p>
        </w:tc>
        <w:tc>
          <w:tcPr>
            <w:tcW w:type="dxa" w:w="1439"/>
          </w:tcPr>
          <w:p>
            <w:pPr>
              <w:jc w:val="center"/>
            </w:pPr>
            <w:r>
              <w:rPr>
                <w:sz w:val="18"/>
              </w:rPr>
              <w:t>0.038</w:t>
            </w:r>
          </w:p>
        </w:tc>
        <w:tc>
          <w:tcPr>
            <w:tcW w:type="dxa" w:w="1439"/>
          </w:tcPr>
          <w:p>
            <w:pPr>
              <w:jc w:val="center"/>
            </w:pPr>
            <w:r>
              <w:rPr>
                <w:sz w:val="18"/>
              </w:rPr>
              <w:t>0.028</w:t>
            </w:r>
          </w:p>
        </w:tc>
        <w:tc>
          <w:tcPr>
            <w:tcW w:type="dxa" w:w="1439"/>
          </w:tcPr>
          <w:p>
            <w:pPr>
              <w:jc w:val="center"/>
            </w:pPr>
            <w:r>
              <w:rPr>
                <w:sz w:val="18"/>
              </w:rPr>
              <w:t>0.047</w:t>
            </w:r>
          </w:p>
        </w:tc>
        <w:tc>
          <w:tcPr>
            <w:tcW w:type="dxa" w:w="1439"/>
          </w:tcPr>
          <w:p>
            <w:pPr>
              <w:jc w:val="center"/>
            </w:pPr>
            <w:r>
              <w:rPr>
                <w:sz w:val="18"/>
              </w:rPr>
              <w:t>抵抗→胰岛素作用慢</w:t>
            </w:r>
          </w:p>
        </w:tc>
      </w:tr>
    </w:tbl>
    <w:p>
      <w:pPr>
        <w:ind w:firstLine="420"/>
      </w:pPr>
      <w:r>
        <w:t>方向验证（关键）： 胰岛素抵抗型患者（ISF=0.7, isfFactor=2.14）→VmaxGastric=4.7（更低，胃排空更慢）、Vm0=3.3（更低，基础清糖更慢）、VmX=0.09（更低，胰岛素刺激效果更差）、hepaticBase=3.3（更高，肝糖输出更多）——所有方向均符合T2DM胰岛素抵抗的病理生理学（高肝糖输出+低外周利用+代偿性胃排空减慢）。反之，胰岛素敏感型患者（ISF=3.0, isfFactor=0.5）→各项参数向相反方向偏移。</w:t>
      </w:r>
    </w:p>
    <w:p>
      <w:pPr>
        <w:ind w:firstLine="420"/>
      </w:pPr>
      <w:r>
        <w:t>forUser()工厂方法接收（ISF, CR, BW, 糖尿病类型, sigma, activityLevel）6项用户参数，计算isfFactor并生成个性化参数集，传入RK4求解器。</w:t>
      </w:r>
    </w:p>
    <w:p>
      <w:r>
        <w:rPr>
          <w:rFonts w:ascii="黑体" w:hAnsi="黑体"/>
          <w:b/>
          <w:sz w:val="24"/>
        </w:rPr>
        <w:t>4.5 BMA融合策略</w:t>
      </w:r>
    </w:p>
    <w:p>
      <w:r>
        <w:rPr>
          <w:b/>
          <w:sz w:val="22"/>
        </w:rPr>
        <w:t>4.5.1 贝叶斯模型平均原理</w:t>
      </w:r>
    </w:p>
    <w:p>
      <w:pPr>
        <w:ind w:firstLine="420"/>
      </w:pPr>
      <w:r>
        <w:t>贝叶斯模型平均（Bayesian Model Averaging, BMA）是一种概率性的多模型集成方法。给定观测数据D和候选模型集合M = {M₁, M₂, ..., Mₖ}，BMA的预测分布为：</w:t>
      </w:r>
    </w:p>
    <w:p>
      <w:pPr>
        <w:ind w:firstLine="420"/>
      </w:pPr>
      <w:r>
        <w:t>```</w:t>
      </w:r>
    </w:p>
    <w:tbl>
      <w:tblPr>
        <w:tblStyle w:val="TableGrid"/>
        <w:tblW w:type="auto" w:w="0"/>
        <w:tblLook w:firstColumn="1" w:firstRow="1" w:lastColumn="0" w:lastRow="0" w:noHBand="0" w:noVBand="1" w:val="04A0"/>
      </w:tblPr>
      <w:tblGrid>
        <w:gridCol w:w="4317"/>
        <w:gridCol w:w="4317"/>
      </w:tblGrid>
      <w:tr>
        <w:tc>
          <w:tcPr>
            <w:tcW w:type="dxa" w:w="4317"/>
          </w:tcPr>
          <w:p>
            <w:pPr>
              <w:jc w:val="center"/>
            </w:pPr>
            <w:r>
              <w:rPr>
                <w:sz w:val="18"/>
              </w:rPr>
              <w:t>D) = Σ_k p(Ĝ</w:t>
            </w:r>
          </w:p>
        </w:tc>
        <w:tc>
          <w:tcPr>
            <w:tcW w:type="dxa" w:w="4317"/>
          </w:tcPr>
          <w:p>
            <w:pPr>
              <w:jc w:val="center"/>
            </w:pPr>
            <w:r>
              <w:rPr>
                <w:sz w:val="18"/>
              </w:rPr>
              <w:t>M_k, D) · p(M_k</w:t>
            </w:r>
          </w:p>
        </w:tc>
      </w:tr>
    </w:tbl>
    <w:p>
      <w:pPr>
        <w:ind w:firstLine="420"/>
      </w:pPr>
      <w:r>
        <w:t>```</w:t>
      </w:r>
    </w:p>
    <w:tbl>
      <w:tblPr>
        <w:tblStyle w:val="TableGrid"/>
        <w:tblW w:type="auto" w:w="0"/>
        <w:tblLook w:firstColumn="1" w:firstRow="1" w:lastColumn="0" w:lastRow="0" w:noHBand="0" w:noVBand="1" w:val="04A0"/>
      </w:tblPr>
      <w:tblGrid>
        <w:gridCol w:w="8634"/>
      </w:tblGrid>
      <w:tr>
        <w:tc>
          <w:tcPr>
            <w:tcW w:type="dxa" w:w="8634"/>
          </w:tcPr>
          <w:p>
            <w:pPr>
              <w:jc w:val="center"/>
            </w:pPr>
            <w:r>
              <w:rPr>
                <w:sz w:val="18"/>
              </w:rPr>
              <w:t>M_k, D)按其在该数据下的后验概率p(M_k</w:t>
            </w:r>
          </w:p>
        </w:tc>
      </w:tr>
    </w:tbl>
    <w:p>
      <w:pPr>
        <w:ind w:firstLine="420"/>
      </w:pPr>
      <w:r>
        <w:t>在实际部署中，精确计算后验概率p(M_k | D)计算量过大。本系统采用以下简化近似：TCN模型的后验概率w随可用训练数据量N（总CGM记录数）单调增长，Dalla Man模型的后验概率为1-w。</w:t>
      </w:r>
    </w:p>
    <w:p>
      <w:r>
        <w:rPr>
          <w:b/>
          <w:sz w:val="22"/>
        </w:rPr>
        <w:t>4.5.2 动态权重函数</w:t>
      </w:r>
    </w:p>
    <w:p>
      <w:pPr>
        <w:ind w:firstLine="420"/>
      </w:pPr>
      <w:r>
        <w:t>```</w:t>
      </w:r>
    </w:p>
    <w:p>
      <w:pPr>
        <w:ind w:firstLine="420"/>
      </w:pPr>
      <w:r>
        <w:t>w_TCN = min(0.3 + 0.4 × N/288, 0.7)</w:t>
      </w:r>
    </w:p>
    <w:p>
      <w:pPr>
        <w:ind w:firstLine="420"/>
      </w:pPr>
      <w:r>
        <w:t>w_DallaMan = 1 w_TCN</w:t>
      </w:r>
    </w:p>
    <w:p>
      <w:pPr>
        <w:ind w:firstLine="420"/>
      </w:pPr>
      <w:r>
        <w:t>```</w:t>
      </w:r>
    </w:p>
    <w:p>
      <w:pPr>
        <w:ind w:firstLine="420"/>
      </w:pPr>
      <w:r>
        <w:t>权重函数的设计直觉：</w:t>
      </w:r>
    </w:p>
    <w:p>
      <w:pPr>
        <w:ind w:firstLine="420"/>
      </w:pPr>
      <w:r>
        <w:t>N → 0（新用户，无历史数据）： w_TCN = 0.3, w_DallaMan = 0.7。Dalla Man占主导——生理模型在无数据时提供可靠的先验知识约束。</w:t>
      </w:r>
    </w:p>
    <w:p>
      <w:pPr>
        <w:ind w:firstLine="420"/>
      </w:pPr>
      <w:r>
        <w:t>N = 288（1天CGM数据）： w_TCN ≈ 0.7×0.3 + 0.4 = 0.58。两者权重接近。</w:t>
      </w:r>
    </w:p>
    <w:p>
      <w:pPr>
        <w:ind w:firstLine="420"/>
      </w:pPr>
      <w:r>
        <w:t>N ≥ 288（≥1天）： w_TCN = 0.7, w_DallaMan = 0.3。TCN占主导——数据驱动模型有足够数据学习个体模式。</w:t>
      </w:r>
    </w:p>
    <w:p>
      <w:pPr>
        <w:ind w:firstLine="420"/>
      </w:pPr>
      <w:r>
        <w:t>w_TCN上限 = 0.7。 保留Dalla Man至少30%权重——生理模型在数据稀疏场景（极端饮食、药物调整、疾病等）提供安全网。</w:t>
      </w:r>
    </w:p>
    <w:p>
      <w:r>
        <w:rPr>
          <w:b/>
          <w:sz w:val="22"/>
        </w:rPr>
        <w:t>4.5.3 融合流程</w:t>
      </w:r>
    </w:p>
    <w:p>
      <w:pPr>
        <w:ind w:firstLine="420"/>
      </w:pPr>
      <w:r>
        <w:t>```</w:t>
      </w:r>
    </w:p>
    <w:p>
      <w:pPr>
        <w:ind w:firstLine="420"/>
      </w:pPr>
      <w:r>
        <w:t>1. t = 0: G₀ = currentGlucose (锚定起点)</w:t>
      </w:r>
    </w:p>
    <w:p>
      <w:pPr>
        <w:ind w:firstLine="420"/>
      </w:pPr>
      <w:r>
        <w:t>2. TCN预测: curve_TCN = TCNPredictor.predict(features)  # [G(0),...,G(35)]</w:t>
      </w:r>
    </w:p>
    <w:p>
      <w:pPr>
        <w:ind w:firstLine="420"/>
      </w:pPr>
      <w:r>
        <w:t>aligned_TCN[i] = curve_TCN[i] (curve_TCN[0] G₀)  # 锚定校准</w:t>
      </w:r>
    </w:p>
    <w:p>
      <w:pPr>
        <w:ind w:firstLine="420"/>
      </w:pPr>
      <w:r>
        <w:t>3. Dalla Man预测: curve_DM = DallaMan.forUser(params).predict(steps=36)</w:t>
      </w:r>
    </w:p>
    <w:p>
      <w:pPr>
        <w:ind w:firstLine="420"/>
      </w:pPr>
      <w:r>
        <w:t>personalized_DM[i] = applyPersonalization(curve_DM[i], G₀, i)  # 个性化修正</w:t>
      </w:r>
    </w:p>
    <w:p>
      <w:pPr>
        <w:ind w:firstLine="420"/>
      </w:pPr>
      <w:r>
        <w:t>4. BMA融合: fused[i] = w_TCN × aligned_TCN[i] + w_DallaMan × personalized_DM[i]</w:t>
      </w:r>
    </w:p>
    <w:p>
      <w:pPr>
        <w:ind w:firstLine="420"/>
      </w:pPr>
      <w:r>
        <w:t>5. 返回: fused[1..35] (跳过[0]=G₀，已锚定)</w:t>
      </w:r>
    </w:p>
    <w:p>
      <w:pPr>
        <w:ind w:firstLine="420"/>
      </w:pPr>
      <w:r>
        <w:t>```</w:t>
      </w:r>
    </w:p>
    <w:p>
      <w:pPr>
        <w:ind w:firstLine="420"/>
      </w:pPr>
      <w:r>
        <w:t>applyPersonalization修正函数设计。 OnlineLearner维护了从历史数据中学习的患者特异性参数（空腹基线、变异度CV等），这些参数用于修正Dalla Man模型的群体基线偏差：</w:t>
      </w:r>
    </w:p>
    <w:p>
      <w:pPr>
        <w:ind w:firstLine="420"/>
      </w:pPr>
      <w:r>
        <w:t>```</w:t>
      </w:r>
    </w:p>
    <w:p>
      <w:pPr>
        <w:ind w:firstLine="420"/>
      </w:pPr>
      <w:r>
        <w:t>timeFraction = min(i / 12.0, 1.0)         # 渐进修正：0→1 over 60min</w:t>
      </w:r>
    </w:p>
    <w:p>
      <w:pPr>
        <w:ind w:firstLine="420"/>
      </w:pPr>
      <w:r>
        <w:t>fullAdjustment = (fastingBaseline 5.2) × adaptStrength</w:t>
      </w:r>
    </w:p>
    <w:p>
      <w:pPr>
        <w:ind w:firstLine="420"/>
      </w:pPr>
      <w:r>
        <w:t>baselineAdjustment = fullAdjustment × timeFraction</w:t>
      </w:r>
    </w:p>
    <w:p>
      <w:pPr>
        <w:ind w:firstLine="420"/>
      </w:pPr>
      <w:r>
        <w:t>variabilityFactor = CV&gt;4.0 → 0.92, CV&gt;3.0 → 0.96, else → 1.0</w:t>
      </w:r>
    </w:p>
    <w:p>
      <w:pPr>
        <w:ind w:firstLine="420"/>
      </w:pPr>
      <w:r>
        <w:t>personalized_DM[i] = (curve_DM[i] + baselineAdjustment) × variabilityFactor</w:t>
      </w:r>
    </w:p>
    <w:p>
      <w:pPr>
        <w:ind w:firstLine="420"/>
      </w:pPr>
      <w:r>
        <w:t>```</w:t>
      </w:r>
    </w:p>
    <w:p>
      <w:pPr>
        <w:ind w:firstLine="420"/>
      </w:pPr>
      <w:r>
        <w:t>渐进修正的设计避免了预测起点（i=0）处的断崖效应——个性化修正量随时间渐进施加，在60分钟（12步）后完全生效。</w:t>
      </w:r>
    </w:p>
    <w:p>
      <w:r>
        <w:rPr>
          <w:rFonts w:ascii="黑体" w:hAnsi="黑体"/>
          <w:b/>
          <w:sz w:val="24"/>
        </w:rPr>
        <w:t>4.6 增量自学习机制</w:t>
      </w:r>
    </w:p>
    <w:p>
      <w:r>
        <w:rPr>
          <w:b/>
          <w:sz w:val="22"/>
        </w:rPr>
        <w:t>4.6.1 数据质量感知框架</w:t>
      </w:r>
    </w:p>
    <w:p>
      <w:pPr>
        <w:ind w:firstLine="420"/>
      </w:pPr>
      <w:r>
        <w:t>数据完整度（dataCompleteness）的三级量化：</w:t>
      </w:r>
    </w:p>
    <w:p>
      <w:pPr>
        <w:ind w:firstLine="420"/>
      </w:pPr>
      <w:r>
        <w:t>C = 0.3（纯血糖）：仅有CGM数据流，无任何饮食/胰岛素记录。系统已学到基线、变异度、时段模式。</w:t>
      </w:r>
    </w:p>
    <w:p>
      <w:pPr>
        <w:ind w:firstLine="420"/>
      </w:pPr>
      <w:r>
        <w:t>C = 0.6（含饮食）：有CGM+饮食记录但无胰岛素记录（常见于口服药T2DM患者或忘记记录胰岛素者）。</w:t>
      </w:r>
    </w:p>
    <w:p>
      <w:pPr>
        <w:ind w:firstLine="420"/>
      </w:pPr>
      <w:r>
        <w:t>C = 1.0（完整）：CGM+饮食+胰岛素记录齐全，理想训练数据。</w:t>
      </w:r>
    </w:p>
    <w:p>
      <w:pPr>
        <w:ind w:firstLine="420"/>
      </w:pPr>
      <w:r>
        <w:t>数据完整度通过EWMA平滑更新：C_new = C_old × 0.7 + C_target × 0.3。这种平滑处理防止了因偶然记录一条饮食后C值跳变导致的修正强度突变。</w:t>
      </w:r>
    </w:p>
    <w:p>
      <w:pPr>
        <w:ind w:firstLine="420"/>
      </w:pPr>
      <w:r>
        <w:t>自适应修正强度公式：</w:t>
      </w:r>
    </w:p>
    <w:p>
      <w:pPr>
        <w:ind w:firstLine="420"/>
      </w:pPr>
      <w:r>
        <w:t>```</w:t>
      </w:r>
    </w:p>
    <w:p>
      <w:pPr>
        <w:ind w:firstLine="420"/>
      </w:pPr>
      <w:r>
        <w:t>adaptStrength = 0.7 × max(1 D/14, 0.15) × (1 C × 0.6)</w:t>
      </w:r>
    </w:p>
    <w:p>
      <w:pPr>
        <w:ind w:firstLine="420"/>
      </w:pPr>
      <w:r>
        <w:t>```</w:t>
      </w:r>
    </w:p>
    <w:p>
      <w:pPr>
        <w:ind w:firstLine="420"/>
      </w:pPr>
      <w:r>
        <w:t>三个因子的含义：</w:t>
      </w:r>
    </w:p>
    <w:p>
      <w:pPr>
        <w:ind w:firstLine="420"/>
      </w:pPr>
      <w:r>
        <w:t>1. 0.7 × max(1-D/14, 0.15)： 数据天数衰减因子。D=0天→0.7（纯统计驱动），D=7天→0.35（半统计半模型），D≥14天→0.105（模型主导）</w:t>
      </w:r>
    </w:p>
    <w:p>
      <w:pPr>
        <w:ind w:firstLine="420"/>
      </w:pPr>
      <w:r>
        <w:t>2. (1 C × 0.6)： 数据质量因子。C=0.3→0.82（高修正），C=0.6→0.64（中修正），C=1.0→0.4（低修正，信模型）</w:t>
      </w:r>
    </w:p>
    <w:p>
      <w:pPr>
        <w:ind w:firstLine="420"/>
      </w:pPr>
      <w:r>
        <w:t>3. 乘积范围： [0.7×0.15×0.4, 0.7×1.0×0.82] = [0.042, 0.574]</w:t>
      </w:r>
    </w:p>
    <w:p>
      <w:r>
        <w:rPr>
          <w:b/>
          <w:sz w:val="22"/>
        </w:rPr>
        <w:t>4.6.2 四层学习架构</w:t>
      </w:r>
    </w:p>
    <w:p>
      <w:pPr>
        <w:ind w:firstLine="420"/>
      </w:pPr>
      <w:r>
        <w:t>L1：统计学习层（OnlineLearner）</w:t>
      </w:r>
    </w:p>
    <w:p>
      <w:pPr>
        <w:ind w:firstLine="420"/>
      </w:pPr>
      <w:r>
        <w:t>从≤10,000条历史血糖记录中学习6组患者特异性参数：</w:t>
      </w:r>
    </w:p>
    <w:p>
      <w:pPr>
        <w:ind w:firstLine="420"/>
      </w:pPr>
      <w:r>
        <w:t>1. 空腹基线（fastingBaseline）： 提取0-6点（含中国用户早睡习惯）的血糖记录，使用EWMA（前10次更新α=0.3快速收敛，之后α=0.1稳定）平滑得到空腹基线。中国T2DM患者的典型空腹基线为6.5-8.5 mmol/L。</w:t>
      </w:r>
    </w:p>
    <w:p>
      <w:pPr>
        <w:ind w:firstLine="420"/>
      </w:pPr>
      <w:r>
        <w:t>2. 餐后峰值（postMealPeak）： 按日分组，取每日最大血糖值，使用EWMA平滑多日峰值得到典型餐后峰值估计。</w:t>
      </w:r>
    </w:p>
    <w:p>
      <w:pPr>
        <w:ind w:firstLine="420"/>
      </w:pPr>
      <w:r>
        <w:t>3. 血糖变异性（glucoseVariability）： 计算整体标准差和均值，CV% = std/mean × 100。CV &lt; 20%为稳定型，20-36%为不稳定型，&gt;36%为脆性糖尿病。</w:t>
      </w:r>
    </w:p>
    <w:p>
      <w:pPr>
        <w:ind w:firstLine="420"/>
      </w:pPr>
      <w:r>
        <w:t>4. 恢复速率（recoveryRate）： 识别血糖从&gt;mean+std（高血糖）开始下降的区段，计算下降速率（mmol/L/h），EWMA平滑。反映患者的胰岛素敏感性和碳水代谢效率。</w:t>
      </w:r>
    </w:p>
    <w:p>
      <w:pPr>
        <w:ind w:firstLine="420"/>
      </w:pPr>
      <w:r>
        <w:t>5. 自适应预警阈值： 使用5%和95%分位数（P5和P95）与当前阈值的加权平均，实现阈值自动跟随患者血糖分布偏移。</w:t>
      </w:r>
    </w:p>
    <w:p>
      <w:pPr>
        <w:ind w:firstLine="420"/>
      </w:pPr>
      <w:r>
        <w:t>6. 24小时时段模式（hourlyDeviation）： 将血糖记录按小时分组，计算每小时的均值偏离基线的偏差值δ_hour，EWMA平滑（α=0.2）。例如，某患者可能的学习结果是：δ_8h=+2.1（早餐后高），δ_15h=-0.5（下午偏低），δ_3h=-1.2（夜间偏低）。这些时段模式用于预测修正和预警阈值的时间自适应。</w:t>
      </w:r>
    </w:p>
    <w:p>
      <w:pPr>
        <w:ind w:firstLine="420"/>
      </w:pPr>
      <w:r>
        <w:t>L2：增量残差学习层（IncrementalLearner）</w:t>
      </w:r>
    </w:p>
    <w:p>
      <w:pPr>
        <w:ind w:firstLine="420"/>
      </w:pPr>
      <w:r>
        <w:t>304参数的小型前馈网络，学习TCN+Dalla Man融合预测与真实血糖之间的残差。</w:t>
      </w:r>
    </w:p>
    <w:p>
      <w:pPr>
        <w:ind w:firstLine="420"/>
      </w:pPr>
      <w:r>
        <w:t>网络结构： 15（输入特征）→ 16（隐藏层，ReLU）→ 4（输出残差曲线参数）。参数总数 = 15×16 + 16 + 16×4 + 4 = 240 + 16 + 64 + 4 = 324。实际参数304（含偏置）。</w:t>
      </w:r>
    </w:p>
    <w:p>
      <w:pPr>
        <w:ind w:firstLine="420"/>
      </w:pPr>
      <w:r>
        <w:t>训练配置：</w:t>
      </w:r>
    </w:p>
    <w:p>
      <w:pPr>
        <w:ind w:firstLine="420"/>
      </w:pPr>
      <w:r>
        <w:t>优化器：SGD（学习率η=0.001, 动量β=0.9）</w:t>
      </w:r>
    </w:p>
    <w:p>
      <w:pPr>
        <w:ind w:firstLine="420"/>
      </w:pPr>
      <w:r>
        <w:t>正则化：L2权重衰减λ=1e-4</w:t>
      </w:r>
    </w:p>
    <w:p>
      <w:pPr>
        <w:ind w:firstLine="420"/>
      </w:pPr>
      <w:r>
        <w:t>权重初始化：Xavier均匀分布（Glorot &amp; Bengio, 2010）</w:t>
      </w:r>
    </w:p>
    <w:p>
      <w:pPr>
        <w:ind w:firstLine="420"/>
      </w:pPr>
      <w:r>
        <w:t>触发间隔：每12条新数据（约1小时）触发一次训练</w:t>
      </w:r>
    </w:p>
    <w:p>
      <w:pPr>
        <w:ind w:firstLine="420"/>
      </w:pPr>
      <w:r>
        <w:t>每次训练的epoch数：5（在最近288条数据上）</w:t>
      </w:r>
    </w:p>
    <w:p>
      <w:pPr>
        <w:ind w:firstLine="420"/>
      </w:pPr>
      <w:r>
        <w:t>数据预处理关键修复：</w:t>
      </w:r>
    </w:p>
    <w:p>
      <w:pPr>
        <w:ind w:firstLine="420"/>
      </w:pPr>
      <w:r>
        <w:t>Room的getRecent()返回DESC（降序）排序的记录列表。periodicLearn()使用reversed()翻转+idx = size 7索引修复，确保特征提取和标签对齐于正确的时间点</w:t>
      </w:r>
    </w:p>
    <w:p>
      <w:pPr>
        <w:ind w:firstLine="420"/>
      </w:pPr>
      <w:r>
        <w:t>值域验证：currentGlucose in 1.0..30.0 &amp;&amp; actualGlucose in 1.0..30.0（超出范围→该样本跳过学习）</w:t>
      </w:r>
    </w:p>
    <w:p>
      <w:pPr>
        <w:ind w:firstLine="420"/>
      </w:pPr>
      <w:r>
        <w:t>损失异常检测：lastLoss &gt; 1000 → 自动Xavier重置所有权重（防止权重损坏导致的预测崩坏）</w:t>
      </w:r>
    </w:p>
    <w:p>
      <w:pPr>
        <w:ind w:firstLine="420"/>
      </w:pPr>
      <w:r>
        <w:t>残差修正权重： 增量网络修正权重随总更新次数平滑增长：residualWeight = min(updates/300, 0.4)。在&lt;=20次更新时完全禁用（w=0），在300次更新后达到最大修正强度40%。</w:t>
      </w:r>
    </w:p>
    <w:p>
      <w:pPr>
        <w:ind w:firstLine="420"/>
      </w:pPr>
      <w:r>
        <w:t>L3：在线梯度下降层</w:t>
      </w:r>
    </w:p>
    <w:p>
      <w:pPr>
        <w:ind w:firstLine="420"/>
      </w:pPr>
      <w:r>
        <w:t>对Dalla Man模型的2-3个最敏感参数（Vm0、kStomach、sigma对T2DM患者）进行缓慢的在线梯度下降。每个样本的梯度通过有限差分法近似（将参数±ε后比较预测与实际），更新步长极低（η=0.0001），确保稳定性和不可逆性。</w:t>
      </w:r>
    </w:p>
    <w:p>
      <w:pPr>
        <w:ind w:firstLine="420"/>
      </w:pPr>
      <w:r>
        <w:t>L4：数据质量自适应融合权重层</w:t>
      </w:r>
    </w:p>
    <w:p>
      <w:pPr>
        <w:ind w:firstLine="420"/>
      </w:pPr>
      <w:r>
        <w:t>```</w:t>
      </w:r>
    </w:p>
    <w:p>
      <w:pPr>
        <w:ind w:firstLine="420"/>
      </w:pPr>
      <w:r>
        <w:t>L1_weight = 0.4 + 0.4 × (1 C)         # C=0.3→0.68, C=1.0→0.40</w:t>
      </w:r>
    </w:p>
    <w:p>
      <w:pPr>
        <w:ind w:firstLine="420"/>
      </w:pPr>
      <w:r>
        <w:t>L2_weight = 0.3 × min(C/0.7, 1.0)       # C=0.3→0.13, C=0.7→0.30, C=1.0→0.30</w:t>
      </w:r>
    </w:p>
    <w:p>
      <w:pPr>
        <w:ind w:firstLine="420"/>
      </w:pPr>
      <w:r>
        <w:t>L3_weight = 0.2 × min(D/90, 1.0) × C    # D=0→0, D=90→0.20×C</w:t>
      </w:r>
    </w:p>
    <w:p>
      <w:pPr>
        <w:ind w:firstLine="420"/>
      </w:pPr>
      <w:r>
        <w:t>L4_weight = 0.1 + 0.05 × max(0, D-14)/14 # 自适应层随数据增长</w:t>
      </w:r>
    </w:p>
    <w:p>
      <w:pPr>
        <w:ind w:firstLine="420"/>
      </w:pPr>
      <w:r>
        <w:t>```</w:t>
      </w:r>
    </w:p>
    <w:p>
      <w:pPr>
        <w:ind w:firstLine="420"/>
      </w:pPr>
      <w:r>
        <w:t>四个权重归一化为总和=1.0后对各层输出进行加权融合。</w:t>
      </w:r>
    </w:p>
    <w:p>
      <w:r>
        <w:rPr>
          <w:b/>
          <w:sz w:val="22"/>
        </w:rPr>
        <w:t>4.6.3 冷启动与稳定期过渡</w:t>
      </w:r>
    </w:p>
    <w:p>
      <w:pPr>
        <w:ind w:firstLine="420"/>
      </w:pPr>
      <w:r>
        <w:t>自学习引擎定义了三个学习阶段，阶段过渡由数据天数驱动：</w:t>
      </w:r>
    </w:p>
    <w:p>
      <w:pPr>
        <w:ind w:firstLine="420"/>
      </w:pPr>
      <w:r>
        <w:t>初始期（INITIAL）： 数据&lt;3天。OnlineLearner尚未积累足够的统计信息（MIN_DATA_POINTS=20≈2小时CGM数据即可开始，但数据天数不足以覆盖多日波动）。adaptStrength=0.7（最大），大幅修正群体模型输出以适配个体。</w:t>
      </w:r>
    </w:p>
    <w:p>
      <w:pPr>
        <w:ind w:firstLine="420"/>
      </w:pPr>
      <w:r>
        <w:t>冷启动期（COLD_START）： 数据3-14天。OnlineLearner已学到稳健的统计参数（空腹基线、变异度CV、时段模式），IncrementalLearner开始积累残差学习经验。adaptStrength从0.7平滑衰减至0.105。</w:t>
      </w:r>
    </w:p>
    <w:p>
      <w:pPr>
        <w:ind w:firstLine="420"/>
      </w:pPr>
      <w:r>
        <w:t>稳定期（STABLE）： 数据&gt;14天。所有学习层均有充分的数据基础。adaptStrength=0.105（最低水平，仅保留微弱的统计兜底）。IncrementalLearner的残差修正权重随update次数从0增至0.4。</w:t>
      </w:r>
    </w:p>
    <w:p>
      <w:r>
        <w:rPr>
          <w:rFonts w:ascii="黑体" w:hAnsi="黑体"/>
          <w:b/>
          <w:sz w:val="24"/>
        </w:rPr>
        <w:t>5.1 开发环境与工具链</w:t>
      </w:r>
    </w:p>
    <w:p>
      <w:r>
        <w:rPr>
          <w:b/>
          <w:sz w:val="22"/>
        </w:rPr>
        <w:t>5.1.1 开发环境</w:t>
      </w:r>
    </w:p>
    <w:tbl>
      <w:tblPr>
        <w:tblStyle w:val="TableGrid"/>
        <w:tblW w:type="auto" w:w="0"/>
        <w:tblLook w:firstColumn="1" w:firstRow="1" w:lastColumn="0" w:lastRow="0" w:noHBand="0" w:noVBand="1" w:val="04A0"/>
      </w:tblPr>
      <w:tblGrid>
        <w:gridCol w:w="4317"/>
        <w:gridCol w:w="4317"/>
      </w:tblGrid>
      <w:tr>
        <w:tc>
          <w:tcPr>
            <w:tcW w:type="dxa" w:w="4317"/>
          </w:tcPr>
          <w:p>
            <w:pPr>
              <w:jc w:val="center"/>
            </w:pPr>
            <w:r>
              <w:rPr>
                <w:sz w:val="18"/>
              </w:rPr>
              <w:t>组件</w:t>
            </w:r>
          </w:p>
        </w:tc>
        <w:tc>
          <w:tcPr>
            <w:tcW w:type="dxa" w:w="4317"/>
          </w:tcPr>
          <w:p>
            <w:pPr>
              <w:jc w:val="center"/>
            </w:pPr>
            <w:r>
              <w:rPr>
                <w:sz w:val="18"/>
              </w:rPr>
              <w:t>版本/配置</w:t>
            </w:r>
          </w:p>
        </w:tc>
      </w:tr>
    </w:tbl>
    <w:tbl>
      <w:tblPr>
        <w:tblStyle w:val="TableGrid"/>
        <w:tblW w:type="auto" w:w="0"/>
        <w:tblLook w:firstColumn="1" w:firstRow="1" w:lastColumn="0" w:lastRow="0" w:noHBand="0" w:noVBand="1" w:val="04A0"/>
      </w:tblPr>
      <w:tblGrid>
        <w:gridCol w:w="4317"/>
        <w:gridCol w:w="4317"/>
      </w:tblGrid>
      <w:tr>
        <w:tc>
          <w:tcPr>
            <w:tcW w:type="dxa" w:w="4317"/>
          </w:tcPr>
          <w:p>
            <w:pPr>
              <w:jc w:val="center"/>
            </w:pPr>
            <w:r>
              <w:rPr>
                <w:sz w:val="18"/>
              </w:rPr>
              <w:t>编程语言</w:t>
            </w:r>
          </w:p>
        </w:tc>
        <w:tc>
          <w:tcPr>
            <w:tcW w:type="dxa" w:w="4317"/>
          </w:tcPr>
          <w:p>
            <w:pPr>
              <w:jc w:val="center"/>
            </w:pPr>
            <w:r>
              <w:rPr>
                <w:sz w:val="18"/>
              </w:rPr>
              <w:t>Kotlin 1.9.20 + Java 17</w:t>
            </w:r>
          </w:p>
        </w:tc>
      </w:tr>
    </w:tbl>
    <w:tbl>
      <w:tblPr>
        <w:tblStyle w:val="TableGrid"/>
        <w:tblW w:type="auto" w:w="0"/>
        <w:tblLook w:firstColumn="1" w:firstRow="1" w:lastColumn="0" w:lastRow="0" w:noHBand="0" w:noVBand="1" w:val="04A0"/>
      </w:tblPr>
      <w:tblGrid>
        <w:gridCol w:w="4317"/>
        <w:gridCol w:w="4317"/>
      </w:tblGrid>
      <w:tr>
        <w:tc>
          <w:tcPr>
            <w:tcW w:type="dxa" w:w="4317"/>
          </w:tcPr>
          <w:p>
            <w:pPr>
              <w:jc w:val="center"/>
            </w:pPr>
            <w:r>
              <w:rPr>
                <w:sz w:val="18"/>
              </w:rPr>
              <w:t>最低SDK</w:t>
            </w:r>
          </w:p>
        </w:tc>
        <w:tc>
          <w:tcPr>
            <w:tcW w:type="dxa" w:w="4317"/>
          </w:tcPr>
          <w:p>
            <w:pPr>
              <w:jc w:val="center"/>
            </w:pPr>
            <w:r>
              <w:rPr>
                <w:sz w:val="18"/>
              </w:rPr>
              <w:t>API 26 (Android 8.0 Oreo)</w:t>
            </w:r>
          </w:p>
        </w:tc>
      </w:tr>
    </w:tbl>
    <w:tbl>
      <w:tblPr>
        <w:tblStyle w:val="TableGrid"/>
        <w:tblW w:type="auto" w:w="0"/>
        <w:tblLook w:firstColumn="1" w:firstRow="1" w:lastColumn="0" w:lastRow="0" w:noHBand="0" w:noVBand="1" w:val="04A0"/>
      </w:tblPr>
      <w:tblGrid>
        <w:gridCol w:w="4317"/>
        <w:gridCol w:w="4317"/>
      </w:tblGrid>
      <w:tr>
        <w:tc>
          <w:tcPr>
            <w:tcW w:type="dxa" w:w="4317"/>
          </w:tcPr>
          <w:p>
            <w:pPr>
              <w:jc w:val="center"/>
            </w:pPr>
            <w:r>
              <w:rPr>
                <w:sz w:val="18"/>
              </w:rPr>
              <w:t>目标/编译SDK</w:t>
            </w:r>
          </w:p>
        </w:tc>
        <w:tc>
          <w:tcPr>
            <w:tcW w:type="dxa" w:w="4317"/>
          </w:tcPr>
          <w:p>
            <w:pPr>
              <w:jc w:val="center"/>
            </w:pPr>
            <w:r>
              <w:rPr>
                <w:sz w:val="18"/>
              </w:rPr>
              <w:t>API 34 (Android 14)</w:t>
            </w:r>
          </w:p>
        </w:tc>
      </w:tr>
    </w:tbl>
    <w:tbl>
      <w:tblPr>
        <w:tblStyle w:val="TableGrid"/>
        <w:tblW w:type="auto" w:w="0"/>
        <w:tblLook w:firstColumn="1" w:firstRow="1" w:lastColumn="0" w:lastRow="0" w:noHBand="0" w:noVBand="1" w:val="04A0"/>
      </w:tblPr>
      <w:tblGrid>
        <w:gridCol w:w="4317"/>
        <w:gridCol w:w="4317"/>
      </w:tblGrid>
      <w:tr>
        <w:tc>
          <w:tcPr>
            <w:tcW w:type="dxa" w:w="4317"/>
          </w:tcPr>
          <w:p>
            <w:pPr>
              <w:jc w:val="center"/>
            </w:pPr>
            <w:r>
              <w:rPr>
                <w:sz w:val="18"/>
              </w:rPr>
              <w:t>构建工具</w:t>
            </w:r>
          </w:p>
        </w:tc>
        <w:tc>
          <w:tcPr>
            <w:tcW w:type="dxa" w:w="4317"/>
          </w:tcPr>
          <w:p>
            <w:pPr>
              <w:jc w:val="center"/>
            </w:pPr>
            <w:r>
              <w:rPr>
                <w:sz w:val="18"/>
              </w:rPr>
              <w:t>Gradle 8.2 + AGP 8.1.0</w:t>
            </w:r>
          </w:p>
        </w:tc>
      </w:tr>
    </w:tbl>
    <w:tbl>
      <w:tblPr>
        <w:tblStyle w:val="TableGrid"/>
        <w:tblW w:type="auto" w:w="0"/>
        <w:tblLook w:firstColumn="1" w:firstRow="1" w:lastColumn="0" w:lastRow="0" w:noHBand="0" w:noVBand="1" w:val="04A0"/>
      </w:tblPr>
      <w:tblGrid>
        <w:gridCol w:w="4317"/>
        <w:gridCol w:w="4317"/>
      </w:tblGrid>
      <w:tr>
        <w:tc>
          <w:tcPr>
            <w:tcW w:type="dxa" w:w="4317"/>
          </w:tcPr>
          <w:p>
            <w:pPr>
              <w:jc w:val="center"/>
            </w:pPr>
            <w:r>
              <w:rPr>
                <w:sz w:val="18"/>
              </w:rPr>
              <w:t>IDE</w:t>
            </w:r>
          </w:p>
        </w:tc>
        <w:tc>
          <w:tcPr>
            <w:tcW w:type="dxa" w:w="4317"/>
          </w:tcPr>
          <w:p>
            <w:pPr>
              <w:jc w:val="center"/>
            </w:pPr>
            <w:r>
              <w:rPr>
                <w:sz w:val="18"/>
              </w:rPr>
              <w:t>Android Studio Hedgehog 2023.1.1</w:t>
            </w:r>
          </w:p>
        </w:tc>
      </w:tr>
    </w:tbl>
    <w:tbl>
      <w:tblPr>
        <w:tblStyle w:val="TableGrid"/>
        <w:tblW w:type="auto" w:w="0"/>
        <w:tblLook w:firstColumn="1" w:firstRow="1" w:lastColumn="0" w:lastRow="0" w:noHBand="0" w:noVBand="1" w:val="04A0"/>
      </w:tblPr>
      <w:tblGrid>
        <w:gridCol w:w="4317"/>
        <w:gridCol w:w="4317"/>
      </w:tblGrid>
      <w:tr>
        <w:tc>
          <w:tcPr>
            <w:tcW w:type="dxa" w:w="4317"/>
          </w:tcPr>
          <w:p>
            <w:pPr>
              <w:jc w:val="center"/>
            </w:pPr>
            <w:r>
              <w:rPr>
                <w:sz w:val="18"/>
              </w:rPr>
              <w:t>版本管理</w:t>
            </w:r>
          </w:p>
        </w:tc>
        <w:tc>
          <w:tcPr>
            <w:tcW w:type="dxa" w:w="4317"/>
          </w:tcPr>
          <w:p>
            <w:pPr>
              <w:jc w:val="center"/>
            </w:pPr>
            <w:r>
              <w:rPr>
                <w:sz w:val="18"/>
              </w:rPr>
              <w:t>Git + GitHub (https://github.com/jiang213658168/TangDun)</w:t>
            </w:r>
          </w:p>
        </w:tc>
      </w:tr>
    </w:tbl>
    <w:tbl>
      <w:tblPr>
        <w:tblStyle w:val="TableGrid"/>
        <w:tblW w:type="auto" w:w="0"/>
        <w:tblLook w:firstColumn="1" w:firstRow="1" w:lastColumn="0" w:lastRow="0" w:noHBand="0" w:noVBand="1" w:val="04A0"/>
      </w:tblPr>
      <w:tblGrid>
        <w:gridCol w:w="4317"/>
        <w:gridCol w:w="4317"/>
      </w:tblGrid>
      <w:tr>
        <w:tc>
          <w:tcPr>
            <w:tcW w:type="dxa" w:w="4317"/>
          </w:tcPr>
          <w:p>
            <w:pPr>
              <w:jc w:val="center"/>
            </w:pPr>
            <w:r>
              <w:rPr>
                <w:sz w:val="18"/>
              </w:rPr>
              <w:t>操作系统</w:t>
            </w:r>
          </w:p>
        </w:tc>
        <w:tc>
          <w:tcPr>
            <w:tcW w:type="dxa" w:w="4317"/>
          </w:tcPr>
          <w:p>
            <w:pPr>
              <w:jc w:val="center"/>
            </w:pPr>
            <w:r>
              <w:rPr>
                <w:sz w:val="18"/>
              </w:rPr>
              <w:t>Windows 11 Pro (开发) / Android 8.0-14 (部署)</w:t>
            </w:r>
          </w:p>
        </w:tc>
      </w:tr>
    </w:tbl>
    <w:p>
      <w:r>
        <w:rPr>
          <w:b/>
          <w:sz w:val="22"/>
        </w:rPr>
        <w:t>5.1.2 核心依赖库</w:t>
      </w:r>
    </w:p>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sz w:val="18"/>
              </w:rPr>
              <w:t>库</w:t>
            </w:r>
          </w:p>
        </w:tc>
        <w:tc>
          <w:tcPr>
            <w:tcW w:type="dxa" w:w="2878"/>
          </w:tcPr>
          <w:p>
            <w:pPr>
              <w:jc w:val="center"/>
            </w:pPr>
            <w:r>
              <w:rPr>
                <w:sz w:val="18"/>
              </w:rPr>
              <w:t>版本</w:t>
            </w:r>
          </w:p>
        </w:tc>
        <w:tc>
          <w:tcPr>
            <w:tcW w:type="dxa" w:w="2878"/>
          </w:tcPr>
          <w:p>
            <w:pPr>
              <w:jc w:val="center"/>
            </w:pPr>
            <w:r>
              <w:rPr>
                <w:sz w:val="18"/>
              </w:rPr>
              <w:t>用途</w:t>
            </w:r>
          </w:p>
        </w:tc>
      </w:tr>
    </w:tbl>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sz w:val="18"/>
              </w:rPr>
              <w:t>Jetpack Compose BOM</w:t>
            </w:r>
          </w:p>
        </w:tc>
        <w:tc>
          <w:tcPr>
            <w:tcW w:type="dxa" w:w="2878"/>
          </w:tcPr>
          <w:p>
            <w:pPr>
              <w:jc w:val="center"/>
            </w:pPr>
            <w:r>
              <w:rPr>
                <w:sz w:val="18"/>
              </w:rPr>
              <w:t>2023.10.01</w:t>
            </w:r>
          </w:p>
        </w:tc>
        <w:tc>
          <w:tcPr>
            <w:tcW w:type="dxa" w:w="2878"/>
          </w:tcPr>
          <w:p>
            <w:pPr>
              <w:jc w:val="center"/>
            </w:pPr>
            <w:r>
              <w:rPr>
                <w:sz w:val="18"/>
              </w:rPr>
              <w:t>声明式UI框架</w:t>
            </w:r>
          </w:p>
        </w:tc>
      </w:tr>
    </w:tbl>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sz w:val="18"/>
              </w:rPr>
              <w:t>Material Design 3</w:t>
            </w:r>
          </w:p>
        </w:tc>
        <w:tc>
          <w:tcPr>
            <w:tcW w:type="dxa" w:w="2878"/>
          </w:tcPr>
          <w:p>
            <w:pPr>
              <w:jc w:val="center"/>
            </w:pPr>
            <w:r>
              <w:rPr>
                <w:sz w:val="18"/>
              </w:rPr>
              <w:t>1.1.2</w:t>
            </w:r>
          </w:p>
        </w:tc>
        <w:tc>
          <w:tcPr>
            <w:tcW w:type="dxa" w:w="2878"/>
          </w:tcPr>
          <w:p>
            <w:pPr>
              <w:jc w:val="center"/>
            </w:pPr>
            <w:r>
              <w:rPr>
                <w:sz w:val="18"/>
              </w:rPr>
              <w:t>Material You主题</w:t>
            </w:r>
          </w:p>
        </w:tc>
      </w:tr>
    </w:tbl>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sz w:val="18"/>
              </w:rPr>
              <w:t>Compose Navigation</w:t>
            </w:r>
          </w:p>
        </w:tc>
        <w:tc>
          <w:tcPr>
            <w:tcW w:type="dxa" w:w="2878"/>
          </w:tcPr>
          <w:p>
            <w:pPr>
              <w:jc w:val="center"/>
            </w:pPr>
            <w:r>
              <w:rPr>
                <w:sz w:val="18"/>
              </w:rPr>
              <w:t>2.7.5</w:t>
            </w:r>
          </w:p>
        </w:tc>
        <w:tc>
          <w:tcPr>
            <w:tcW w:type="dxa" w:w="2878"/>
          </w:tcPr>
          <w:p>
            <w:pPr>
              <w:jc w:val="center"/>
            </w:pPr>
            <w:r>
              <w:rPr>
                <w:sz w:val="18"/>
              </w:rPr>
              <w:t>单Activity导航</w:t>
            </w:r>
          </w:p>
        </w:tc>
      </w:tr>
    </w:tbl>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sz w:val="18"/>
              </w:rPr>
              <w:t>Room</w:t>
            </w:r>
          </w:p>
        </w:tc>
        <w:tc>
          <w:tcPr>
            <w:tcW w:type="dxa" w:w="2878"/>
          </w:tcPr>
          <w:p>
            <w:pPr>
              <w:jc w:val="center"/>
            </w:pPr>
            <w:r>
              <w:rPr>
                <w:sz w:val="18"/>
              </w:rPr>
              <w:t>2.6.1</w:t>
            </w:r>
          </w:p>
        </w:tc>
        <w:tc>
          <w:tcPr>
            <w:tcW w:type="dxa" w:w="2878"/>
          </w:tcPr>
          <w:p>
            <w:pPr>
              <w:jc w:val="center"/>
            </w:pPr>
            <w:r>
              <w:rPr>
                <w:sz w:val="18"/>
              </w:rPr>
              <w:t>SQLite ORM + Flow</w:t>
            </w:r>
          </w:p>
        </w:tc>
      </w:tr>
    </w:tbl>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sz w:val="18"/>
              </w:rPr>
              <w:t>Hilt</w:t>
            </w:r>
          </w:p>
        </w:tc>
        <w:tc>
          <w:tcPr>
            <w:tcW w:type="dxa" w:w="2878"/>
          </w:tcPr>
          <w:p>
            <w:pPr>
              <w:jc w:val="center"/>
            </w:pPr>
            <w:r>
              <w:rPr>
                <w:sz w:val="18"/>
              </w:rPr>
              <w:t>2.48.1</w:t>
            </w:r>
          </w:p>
        </w:tc>
        <w:tc>
          <w:tcPr>
            <w:tcW w:type="dxa" w:w="2878"/>
          </w:tcPr>
          <w:p>
            <w:pPr>
              <w:jc w:val="center"/>
            </w:pPr>
            <w:r>
              <w:rPr>
                <w:sz w:val="18"/>
              </w:rPr>
              <w:t>编译时依赖注入</w:t>
            </w:r>
          </w:p>
        </w:tc>
      </w:tr>
    </w:tbl>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sz w:val="18"/>
              </w:rPr>
              <w:t>ONNX Runtime</w:t>
            </w:r>
          </w:p>
        </w:tc>
        <w:tc>
          <w:tcPr>
            <w:tcW w:type="dxa" w:w="2878"/>
          </w:tcPr>
          <w:p>
            <w:pPr>
              <w:jc w:val="center"/>
            </w:pPr>
            <w:r>
              <w:rPr>
                <w:sz w:val="18"/>
              </w:rPr>
              <w:t>1.16.0</w:t>
            </w:r>
          </w:p>
        </w:tc>
        <w:tc>
          <w:tcPr>
            <w:tcW w:type="dxa" w:w="2878"/>
          </w:tcPr>
          <w:p>
            <w:pPr>
              <w:jc w:val="center"/>
            </w:pPr>
            <w:r>
              <w:rPr>
                <w:sz w:val="18"/>
              </w:rPr>
              <w:t>TCN模型推理</w:t>
            </w:r>
          </w:p>
        </w:tc>
      </w:tr>
    </w:tbl>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sz w:val="18"/>
              </w:rPr>
              <w:t>Retrofit + OkHttp</w:t>
            </w:r>
          </w:p>
        </w:tc>
        <w:tc>
          <w:tcPr>
            <w:tcW w:type="dxa" w:w="2878"/>
          </w:tcPr>
          <w:p>
            <w:pPr>
              <w:jc w:val="center"/>
            </w:pPr>
            <w:r>
              <w:rPr>
                <w:sz w:val="18"/>
              </w:rPr>
              <w:t>2.9.0 / 4.12.0</w:t>
            </w:r>
          </w:p>
        </w:tc>
        <w:tc>
          <w:tcPr>
            <w:tcW w:type="dxa" w:w="2878"/>
          </w:tcPr>
          <w:p>
            <w:pPr>
              <w:jc w:val="center"/>
            </w:pPr>
            <w:r>
              <w:rPr>
                <w:sz w:val="18"/>
              </w:rPr>
              <w:t>AI Chat API通信</w:t>
            </w:r>
          </w:p>
        </w:tc>
      </w:tr>
    </w:tbl>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sz w:val="18"/>
              </w:rPr>
              <w:t>kotlinx-coroutines</w:t>
            </w:r>
          </w:p>
        </w:tc>
        <w:tc>
          <w:tcPr>
            <w:tcW w:type="dxa" w:w="2878"/>
          </w:tcPr>
          <w:p>
            <w:pPr>
              <w:jc w:val="center"/>
            </w:pPr>
            <w:r>
              <w:rPr>
                <w:sz w:val="18"/>
              </w:rPr>
              <w:t>1.7.3</w:t>
            </w:r>
          </w:p>
        </w:tc>
        <w:tc>
          <w:tcPr>
            <w:tcW w:type="dxa" w:w="2878"/>
          </w:tcPr>
          <w:p>
            <w:pPr>
              <w:jc w:val="center"/>
            </w:pPr>
            <w:r>
              <w:rPr>
                <w:sz w:val="18"/>
              </w:rPr>
              <w:t>异步编程</w:t>
            </w:r>
          </w:p>
        </w:tc>
      </w:tr>
    </w:tbl>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sz w:val="18"/>
              </w:rPr>
              <w:t>kotlinx-serialization</w:t>
            </w:r>
          </w:p>
        </w:tc>
        <w:tc>
          <w:tcPr>
            <w:tcW w:type="dxa" w:w="2878"/>
          </w:tcPr>
          <w:p>
            <w:pPr>
              <w:jc w:val="center"/>
            </w:pPr>
            <w:r>
              <w:rPr>
                <w:sz w:val="18"/>
              </w:rPr>
              <w:t>1.6.2</w:t>
            </w:r>
          </w:p>
        </w:tc>
        <w:tc>
          <w:tcPr>
            <w:tcW w:type="dxa" w:w="2878"/>
          </w:tcPr>
          <w:p>
            <w:pPr>
              <w:jc w:val="center"/>
            </w:pPr>
            <w:r>
              <w:rPr>
                <w:sz w:val="18"/>
              </w:rPr>
              <w:t>JSON序列化</w:t>
            </w:r>
          </w:p>
        </w:tc>
      </w:tr>
    </w:tbl>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sz w:val="18"/>
              </w:rPr>
              <w:t>MPAndroidChart</w:t>
            </w:r>
          </w:p>
        </w:tc>
        <w:tc>
          <w:tcPr>
            <w:tcW w:type="dxa" w:w="2878"/>
          </w:tcPr>
          <w:p>
            <w:pPr>
              <w:jc w:val="center"/>
            </w:pPr>
            <w:r>
              <w:rPr>
                <w:sz w:val="18"/>
              </w:rPr>
              <w:t>3.1.0</w:t>
            </w:r>
          </w:p>
        </w:tc>
        <w:tc>
          <w:tcPr>
            <w:tcW w:type="dxa" w:w="2878"/>
          </w:tcPr>
          <w:p>
            <w:pPr>
              <w:jc w:val="center"/>
            </w:pPr>
            <w:r>
              <w:rPr>
                <w:sz w:val="18"/>
              </w:rPr>
              <w:t>血糖趋势图表</w:t>
            </w:r>
          </w:p>
        </w:tc>
      </w:tr>
    </w:tbl>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sz w:val="18"/>
              </w:rPr>
              <w:t>Apache POI</w:t>
            </w:r>
          </w:p>
        </w:tc>
        <w:tc>
          <w:tcPr>
            <w:tcW w:type="dxa" w:w="2878"/>
          </w:tcPr>
          <w:p>
            <w:pPr>
              <w:jc w:val="center"/>
            </w:pPr>
            <w:r>
              <w:rPr>
                <w:sz w:val="18"/>
              </w:rPr>
              <w:t>5.2.5</w:t>
            </w:r>
          </w:p>
        </w:tc>
        <w:tc>
          <w:tcPr>
            <w:tcW w:type="dxa" w:w="2878"/>
          </w:tcPr>
          <w:p>
            <w:pPr>
              <w:jc w:val="center"/>
            </w:pPr>
            <w:r>
              <w:rPr>
                <w:sz w:val="18"/>
              </w:rPr>
              <w:t>(备选xlsx解析，实际使用轻量解析)</w:t>
            </w:r>
          </w:p>
        </w:tc>
      </w:tr>
    </w:tbl>
    <w:p>
      <w:r>
        <w:rPr>
          <w:b/>
          <w:sz w:val="22"/>
        </w:rPr>
        <w:t>5.1.3 项目模块结构</w:t>
      </w:r>
    </w:p>
    <w:p>
      <w:pPr>
        <w:ind w:firstLine="420"/>
      </w:pPr>
      <w:r>
        <w:t>```</w:t>
      </w:r>
    </w:p>
    <w:p>
      <w:pPr>
        <w:ind w:firstLine="420"/>
      </w:pPr>
      <w:r>
        <w:t>tangdun/</w:t>
      </w:r>
    </w:p>
    <w:p>
      <w:pPr>
        <w:ind w:firstLine="420"/>
      </w:pPr>
      <w:r>
        <w:t>├── android/                     # Android主模块</w:t>
      </w:r>
    </w:p>
    <w:p>
      <w:pPr>
        <w:ind w:firstLine="420"/>
      </w:pPr>
      <w:r>
        <w:t>│   ├── app/</w:t>
      </w:r>
    </w:p>
    <w:p>
      <w:pPr>
        <w:ind w:firstLine="420"/>
      </w:pPr>
      <w:r>
        <w:t>│   │   ├── src/main/java/com/tangdun/app/</w:t>
      </w:r>
    </w:p>
    <w:p>
      <w:pPr>
        <w:ind w:firstLine="420"/>
      </w:pPr>
      <w:r>
        <w:t>│   │   │   ├── TangDunApp.kt           # Application入口</w:t>
      </w:r>
    </w:p>
    <w:p>
      <w:pPr>
        <w:ind w:firstLine="420"/>
      </w:pPr>
      <w:r>
        <w:t>│   │   │   ├── MainActivity.kt          # 单Activity宿主</w:t>
      </w:r>
    </w:p>
    <w:p>
      <w:pPr>
        <w:ind w:firstLine="420"/>
      </w:pPr>
      <w:r>
        <w:t>│   │   │   ├── data/</w:t>
      </w:r>
    </w:p>
    <w:p>
      <w:pPr>
        <w:ind w:firstLine="420"/>
      </w:pPr>
      <w:r>
        <w:t>│   │   │   │   ├── local/</w:t>
      </w:r>
    </w:p>
    <w:p>
      <w:pPr>
        <w:ind w:firstLine="420"/>
      </w:pPr>
      <w:r>
        <w:t>│   │   │   │   │   ├── AppDatabase.kt    # Room Database (15表)</w:t>
      </w:r>
    </w:p>
    <w:p>
      <w:pPr>
        <w:ind w:firstLine="420"/>
      </w:pPr>
      <w:r>
        <w:t>│   │   │   │   │   ├── dao/             # 15个DAO接口</w:t>
      </w:r>
    </w:p>
    <w:p>
      <w:pPr>
        <w:ind w:firstLine="420"/>
      </w:pPr>
      <w:r>
        <w:t>│   │   │   │   │   ├── entity/          # 15个Entity类</w:t>
      </w:r>
    </w:p>
    <w:p>
      <w:pPr>
        <w:ind w:firstLine="420"/>
      </w:pPr>
      <w:r>
        <w:t>│   │   │   │   │   └── converter/       # 类型转换器</w:t>
      </w:r>
    </w:p>
    <w:p>
      <w:pPr>
        <w:ind w:firstLine="420"/>
      </w:pPr>
      <w:r>
        <w:t>│   │   │   │   └── remote/</w:t>
      </w:r>
    </w:p>
    <w:p>
      <w:pPr>
        <w:ind w:firstLine="420"/>
      </w:pPr>
      <w:r>
        <w:t>│   │   │   │       └── AiChatApi.kt     # AI Chat Retrofit API</w:t>
      </w:r>
    </w:p>
    <w:p>
      <w:pPr>
        <w:ind w:firstLine="420"/>
      </w:pPr>
      <w:r>
        <w:t>│   │   │   ├── domain/</w:t>
      </w:r>
    </w:p>
    <w:p>
      <w:pPr>
        <w:ind w:firstLine="420"/>
      </w:pPr>
      <w:r>
        <w:t>│   │   │   │   └── algorithm/           # 14个核心算法类</w:t>
      </w:r>
    </w:p>
    <w:p>
      <w:pPr>
        <w:ind w:firstLine="420"/>
      </w:pPr>
      <w:r>
        <w:t>│   │   │   ├── ui/</w:t>
      </w:r>
    </w:p>
    <w:p>
      <w:pPr>
        <w:ind w:firstLine="420"/>
      </w:pPr>
      <w:r>
        <w:t>│   │   │   │   ├── navigation/          # NavHost + 路由定义</w:t>
      </w:r>
    </w:p>
    <w:p>
      <w:pPr>
        <w:ind w:firstLine="420"/>
      </w:pPr>
      <w:r>
        <w:t>│   │   │   │   ├── home/                # 首页 + HomeViewModel</w:t>
      </w:r>
    </w:p>
    <w:p>
      <w:pPr>
        <w:ind w:firstLine="420"/>
      </w:pPr>
      <w:r>
        <w:t>│   │   │   │   ├── prediction/          # 预测页 + PredictionViewModel</w:t>
      </w:r>
    </w:p>
    <w:p>
      <w:pPr>
        <w:ind w:firstLine="420"/>
      </w:pPr>
      <w:r>
        <w:t>│   │   │   │   ├── record/              # 记录页 + RecordViewModel</w:t>
      </w:r>
    </w:p>
    <w:p>
      <w:pPr>
        <w:ind w:firstLine="420"/>
      </w:pPr>
      <w:r>
        <w:t>│   │   │   │   ├── settings/            # 设置页 + SettingsViewModel</w:t>
      </w:r>
    </w:p>
    <w:p>
      <w:pPr>
        <w:ind w:firstLine="420"/>
      </w:pPr>
      <w:r>
        <w:t>│   │   │   │   ├── chat/                # AI聊天 + ChatViewModel</w:t>
      </w:r>
    </w:p>
    <w:p>
      <w:pPr>
        <w:ind w:firstLine="420"/>
      </w:pPr>
      <w:r>
        <w:t>│   │   │   │   ├── report/              # 报告 + ReportViewModel</w:t>
      </w:r>
    </w:p>
    <w:p>
      <w:pPr>
        <w:ind w:firstLine="420"/>
      </w:pPr>
      <w:r>
        <w:t>│   │   │   │   └── theme/               # Material 3主题</w:t>
      </w:r>
    </w:p>
    <w:p>
      <w:pPr>
        <w:ind w:firstLine="420"/>
      </w:pPr>
      <w:r>
        <w:t>│   │   │   ├── service/</w:t>
      </w:r>
    </w:p>
    <w:p>
      <w:pPr>
        <w:ind w:firstLine="420"/>
      </w:pPr>
      <w:r>
        <w:t>│   │   │   │   ├── CGMNotificationListener.kt</w:t>
      </w:r>
    </w:p>
    <w:p>
      <w:pPr>
        <w:ind w:firstLine="420"/>
      </w:pPr>
      <w:r>
        <w:t>│   │   │   │   ├── GlucoseForegroundService.kt</w:t>
      </w:r>
    </w:p>
    <w:p>
      <w:pPr>
        <w:ind w:firstLine="420"/>
      </w:pPr>
      <w:r>
        <w:t>│   │   │   │   ├── GlucoseAlarmService.kt</w:t>
      </w:r>
    </w:p>
    <w:p>
      <w:pPr>
        <w:ind w:firstLine="420"/>
      </w:pPr>
      <w:r>
        <w:t>│   │   │   │   ├── RestartReceiver.kt</w:t>
      </w:r>
    </w:p>
    <w:p>
      <w:pPr>
        <w:ind w:firstLine="420"/>
      </w:pPr>
      <w:r>
        <w:t>│   │   │   │   ├── DirectGlucoseBroadcastReceiver.kt</w:t>
      </w:r>
    </w:p>
    <w:p>
      <w:pPr>
        <w:ind w:firstLine="420"/>
      </w:pPr>
      <w:r>
        <w:t>│   │   │   │   └── XlsxImporter.kt</w:t>
      </w:r>
    </w:p>
    <w:p>
      <w:pPr>
        <w:ind w:firstLine="420"/>
      </w:pPr>
      <w:r>
        <w:t>│   │   │   └── util/</w:t>
      </w:r>
    </w:p>
    <w:p>
      <w:pPr>
        <w:ind w:firstLine="420"/>
      </w:pPr>
      <w:r>
        <w:t>│   │   │       ├── DebugExporter.kt</w:t>
      </w:r>
    </w:p>
    <w:p>
      <w:pPr>
        <w:ind w:firstLine="420"/>
      </w:pPr>
      <w:r>
        <w:t>│   │   │       └── PreferenceManager.kt</w:t>
      </w:r>
    </w:p>
    <w:p>
      <w:pPr>
        <w:ind w:firstLine="420"/>
      </w:pPr>
      <w:r>
        <w:t>│   │   └── src/main/res/                # 资源文件</w:t>
      </w:r>
    </w:p>
    <w:p>
      <w:pPr>
        <w:ind w:firstLine="420"/>
      </w:pPr>
      <w:r>
        <w:t>│   └── build.gradle.kts                 # Gradle构建脚本</w:t>
      </w:r>
    </w:p>
    <w:p>
      <w:pPr>
        <w:ind w:firstLine="420"/>
      </w:pPr>
      <w:r>
        <w:t>├── docs/                                # 文档</w:t>
      </w:r>
    </w:p>
    <w:p>
      <w:pPr>
        <w:ind w:firstLine="420"/>
      </w:pPr>
      <w:r>
        <w:t>│   ├── graduate_thesis.md               # 本文档</w:t>
      </w:r>
    </w:p>
    <w:p>
      <w:pPr>
        <w:ind w:firstLine="420"/>
      </w:pPr>
      <w:r>
        <w:t>│   ├── paper_tangdun.md                 # 学术论文</w:t>
      </w:r>
    </w:p>
    <w:p>
      <w:pPr>
        <w:ind w:firstLine="420"/>
      </w:pPr>
      <w:r>
        <w:t>│   ├── user_guide.md                    # 用户手册</w:t>
      </w:r>
    </w:p>
    <w:p>
      <w:pPr>
        <w:ind w:firstLine="420"/>
      </w:pPr>
      <w:r>
        <w:t>│   ├── ad_copy.md                       # 营销文案</w:t>
      </w:r>
    </w:p>
    <w:p>
      <w:pPr>
        <w:ind w:firstLine="420"/>
      </w:pPr>
      <w:r>
        <w:t>│   └── tangjian_design.md              # 糖剑远程监护设计</w:t>
      </w:r>
    </w:p>
    <w:p>
      <w:pPr>
        <w:ind w:firstLine="420"/>
      </w:pPr>
      <w:r>
        <w:t>└── README.md                            # GitHub首页</w:t>
      </w:r>
    </w:p>
    <w:p>
      <w:pPr>
        <w:ind w:firstLine="420"/>
      </w:pPr>
      <w:r>
        <w:t>```</w:t>
      </w:r>
    </w:p>
    <w:p>
      <w:r>
        <w:rPr>
          <w:rFonts w:ascii="黑体" w:hAnsi="黑体"/>
          <w:b/>
          <w:sz w:val="24"/>
        </w:rPr>
        <w:t>5.2 实时血糖监测引擎</w:t>
      </w:r>
    </w:p>
    <w:p>
      <w:r>
        <w:rPr>
          <w:b/>
          <w:sz w:val="22"/>
        </w:rPr>
        <w:t>5.2.1 CGMNotificationListener实现</w:t>
      </w:r>
    </w:p>
    <w:p>
      <w:pPr>
        <w:ind w:firstLine="420"/>
      </w:pPr>
      <w:r>
        <w:t>CGMNotificationListener的实现遵循四个原则：（1）最大化品牌兼容性；（2）最小化误解析率；（3）源感知去重；（4）异步处理不阻塞系统回调。</w:t>
      </w:r>
    </w:p>
    <w:p>
      <w:pPr>
        <w:ind w:firstLine="420"/>
      </w:pPr>
      <w:r>
        <w:t>品牌白名单管理。 维护一个包含40+品牌CGM App包名的配置列表（从SharedPreferences读取，支持动态更新），在onNotificationPosted()中O(1)检查匹配（使用HashSet存储）。涵盖的国内外品牌包括但不限于：Dexcom G6/G7、LibreLink/Libre 2/Libre 3、Guardian Connect、欧态健康Aidex、微泰Medtrum、鱼跃Anytime、硅基仿生Suji、三诺爱看SANNUO、雅培瞬感、美奇、凯立特、艾科乐等。</w:t>
      </w:r>
    </w:p>
    <w:p>
      <w:pPr>
        <w:ind w:firstLine="420"/>
      </w:pPr>
      <w:r>
        <w:t>tryExtract()的五种文本格式兼容。</w:t>
      </w:r>
    </w:p>
    <w:p>
      <w:pPr>
        <w:ind w:firstLine="420"/>
      </w:pPr>
      <w:r>
        <w:t>```kotlin</w:t>
      </w:r>
    </w:p>
    <w:p>
      <w:pPr>
        <w:ind w:firstLine="420"/>
      </w:pPr>
      <w:r>
        <w:t>fun tryExtract(text: String): Double? {</w:t>
      </w:r>
    </w:p>
    <w:p>
      <w:pPr>
        <w:ind w:firstLine="420"/>
      </w:pPr>
      <w:r>
        <w:t>// 格式1: LOW/HIGH</w:t>
      </w:r>
    </w:p>
    <w:p>
      <w:pPr>
        <w:ind w:firstLine="420"/>
      </w:pPr>
      <w:r>
        <w:t>if (text.contains("LOW", ignoreCase = true)) return 2.2  // 39 mg/dL</w:t>
      </w:r>
    </w:p>
    <w:p>
      <w:pPr>
        <w:ind w:firstLine="420"/>
      </w:pPr>
      <w:r>
        <w:t>if (text.contains("HIGH", ignoreCase = true)) return 22.5 // 406 mg/dL</w:t>
      </w:r>
    </w:p>
    <w:p>
      <w:pPr>
        <w:ind w:firstLine="420"/>
      </w:pPr>
      <w:r>
        <w:t>// 格式2: 小数 mmol/L (如 "5.6 mmol/L", "血糖: 6.2")</w:t>
      </w:r>
    </w:p>
    <w:tbl>
      <w:tblPr>
        <w:tblStyle w:val="TableGrid"/>
        <w:tblW w:type="auto" w:w="0"/>
        <w:tblLook w:firstColumn="1" w:firstRow="1" w:lastColumn="0" w:lastRow="0" w:noHBand="0" w:noVBand="1" w:val="04A0"/>
      </w:tblPr>
      <w:tblGrid>
        <w:gridCol w:w="8634"/>
      </w:tblGrid>
      <w:tr>
        <w:tc>
          <w:tcPr>
            <w:tcW w:type="dxa" w:w="8634"/>
          </w:tcPr>
          <w:p>
            <w:pPr>
              <w:jc w:val="center"/>
            </w:pPr>
            <w:r>
              <w:rPr>
                <w:sz w:val="18"/>
              </w:rPr>
              <w:t>mmol</w:t>
            </w:r>
          </w:p>
        </w:tc>
      </w:tr>
    </w:tbl>
    <w:p>
      <w:pPr>
        <w:ind w:firstLine="420"/>
      </w:pPr>
      <w:r>
        <w:t>mmolRegex.find(text)?.let { match -&gt;</w:t>
      </w:r>
    </w:p>
    <w:p>
      <w:pPr>
        <w:ind w:firstLine="420"/>
      </w:pPr>
      <w:r>
        <w:t>val v = match.groupValues[1].toDouble()</w:t>
      </w:r>
    </w:p>
    <w:p>
      <w:pPr>
        <w:ind w:firstLine="420"/>
      </w:pPr>
      <w:r>
        <w:t>if (v in 2.0..35.0) return v</w:t>
      </w:r>
    </w:p>
    <w:p>
      <w:pPr>
        <w:ind w:firstLine="420"/>
      </w:pPr>
      <w:r>
        <w:t>}</w:t>
      </w:r>
    </w:p>
    <w:p>
      <w:pPr>
        <w:ind w:firstLine="420"/>
      </w:pPr>
      <w:r>
        <w:t>// 格式3: 整数 mg/dL (如 "126 mg/dL", "血糖值: 108")</w:t>
      </w:r>
    </w:p>
    <w:p>
      <w:pPr>
        <w:ind w:firstLine="420"/>
      </w:pPr>
      <w:r>
        <w:t>val mgdlRegex = Regex("""(\d{2,3})\s*(?:mg/dL|mg/dl)?""")</w:t>
      </w:r>
    </w:p>
    <w:p>
      <w:pPr>
        <w:ind w:firstLine="420"/>
      </w:pPr>
      <w:r>
        <w:t>mgdlRegex.findAll(text).forEach { match -&gt;</w:t>
      </w:r>
    </w:p>
    <w:p>
      <w:pPr>
        <w:ind w:firstLine="420"/>
      </w:pPr>
      <w:r>
        <w:t>val v = match.groupValues[1].toDouble()</w:t>
      </w:r>
    </w:p>
    <w:p>
      <w:pPr>
        <w:ind w:firstLine="420"/>
      </w:pPr>
      <w:r>
        <w:t>if (v in 20.0..600.0) return v / 18.0</w:t>
      </w:r>
    </w:p>
    <w:p>
      <w:pPr>
        <w:ind w:firstLine="420"/>
      </w:pPr>
      <w:r>
        <w:t>}</w:t>
      </w:r>
    </w:p>
    <w:p>
      <w:pPr>
        <w:ind w:firstLine="420"/>
      </w:pPr>
      <w:r>
        <w:t>// 格式4: 整数 mmol/L (部分国产品牌显示"血糖 6")</w:t>
      </w:r>
    </w:p>
    <w:p>
      <w:pPr>
        <w:ind w:firstLine="420"/>
      </w:pPr>
      <w:r>
        <w:t>val intRegex = Regex("""血糖[：:]?\s*(\d{1,2})\s*$""")</w:t>
      </w:r>
    </w:p>
    <w:p>
      <w:pPr>
        <w:ind w:firstLine="420"/>
      </w:pPr>
      <w:r>
        <w:t>intRegex.find(text)?.let { match -&gt;</w:t>
      </w:r>
    </w:p>
    <w:p>
      <w:pPr>
        <w:ind w:firstLine="420"/>
      </w:pPr>
      <w:r>
        <w:t>val v = match.groupValues[1].toDouble()</w:t>
      </w:r>
    </w:p>
    <w:p>
      <w:pPr>
        <w:ind w:firstLine="420"/>
      </w:pPr>
      <w:r>
        <w:t>if (v in 2.0..35.0) return v</w:t>
      </w:r>
    </w:p>
    <w:p>
      <w:pPr>
        <w:ind w:firstLine="420"/>
      </w:pPr>
      <w:r>
        <w:t>}</w:t>
      </w:r>
    </w:p>
    <w:p>
      <w:pPr>
        <w:ind w:firstLine="420"/>
      </w:pPr>
      <w:r>
        <w:t>return null</w:t>
      </w:r>
    </w:p>
    <w:p>
      <w:pPr>
        <w:ind w:firstLine="420"/>
      </w:pPr>
      <w:r>
        <w:t>}</w:t>
      </w:r>
    </w:p>
    <w:p>
      <w:pPr>
        <w:ind w:firstLine="420"/>
      </w:pPr>
      <w:r>
        <w:t>```</w:t>
      </w:r>
    </w:p>
    <w:p>
      <w:pPr>
        <w:ind w:firstLine="420"/>
      </w:pPr>
      <w:r>
        <w:t>源感知去重。 使用ConcurrentHashMap&lt;String, Long&gt;为每个source维护独立的最后处理时间戳。仅在source==same AND Δt &lt; 60s时跳过。这个策略的关键改进是：不再全局去重，而是按源去重——蓝牙直连数据（source="bluetooth"）和通知栏监听数据（source="notification"）即使时间戳完全相同也不会相互去重。</w:t>
      </w:r>
    </w:p>
    <w:p>
      <w:r>
        <w:rPr>
          <w:b/>
          <w:sz w:val="22"/>
        </w:rPr>
        <w:t>5.2.2 RealTimeGlucoseMonitor六步处理管道</w:t>
      </w:r>
    </w:p>
    <w:p>
      <w:pPr>
        <w:ind w:firstLine="420"/>
      </w:pPr>
      <w:r>
        <w:t>第一步：合理性检查（Sanity Check）。 血糖值须在2.0-35.0 mmol/L范围内。超出范围的值标记但保留（可能是真实的严重事件），在UI中显示警告色。</w:t>
      </w:r>
    </w:p>
    <w:p>
      <w:pPr>
        <w:ind w:firstLine="420"/>
      </w:pPr>
      <w:r>
        <w:t>第二步：自适应EWMA滤波。 方差驱动的自适应平滑：</w:t>
      </w:r>
    </w:p>
    <w:p>
      <w:pPr>
        <w:ind w:firstLine="420"/>
      </w:pPr>
      <w:r>
        <w:t>窗口方差 &lt; 0.5（稳定期）：α = 0.90（极强滤波，几乎跟随原始值）</w:t>
      </w:r>
    </w:p>
    <w:p>
      <w:pPr>
        <w:ind w:firstLine="420"/>
      </w:pPr>
      <w:r>
        <w:t>窗口方差 ∈ [0.5, 5.0)：α = 0.70（中等滤波）</w:t>
      </w:r>
    </w:p>
    <w:p>
      <w:pPr>
        <w:ind w:firstLine="420"/>
      </w:pPr>
      <w:r>
        <w:t>窗口方差 ≥ 5.0（高波动期，如餐后）：α = 0.50（较强滤波，抑制噪声）</w:t>
      </w:r>
    </w:p>
    <w:tbl>
      <w:tblPr>
        <w:tblStyle w:val="TableGrid"/>
        <w:tblW w:type="auto" w:w="0"/>
        <w:tblLook w:firstColumn="1" w:firstRow="1" w:lastColumn="0" w:lastRow="0" w:noHBand="0" w:noVBand="1" w:val="04A0"/>
      </w:tblPr>
      <w:tblGrid>
        <w:gridCol w:w="8634"/>
      </w:tblGrid>
      <w:tr>
        <w:tc>
          <w:tcPr>
            <w:tcW w:type="dxa" w:w="8634"/>
          </w:tcPr>
          <w:p>
            <w:pPr>
              <w:jc w:val="center"/>
            </w:pPr>
            <w:r>
              <w:rPr>
                <w:sz w:val="18"/>
              </w:rPr>
              <w:t>g_i - P(t_i)</w:t>
            </w:r>
          </w:p>
        </w:tc>
      </w:tr>
    </w:tbl>
    <w:p>
      <w:pPr>
        <w:ind w:firstLine="420"/>
      </w:pPr>
      <w:r>
        <w:t>第四步：线性回归ROC计算。 对最近6点（30分钟）的滤波后值进行线性回归，斜率即为血糖变化率ROC（Rate of Change, mmol/L/min）。正值为上升（↑），负值为下降（↓）。</w:t>
      </w:r>
    </w:p>
    <w:p>
      <w:pPr>
        <w:ind w:firstLine="420"/>
      </w:pPr>
      <w:r>
        <w:t>第五步：质量评分。 综合评分qualityScore ∈ [0, 1]，基于：（1）噪声评分贡献-0.3 × noiseScore；（2）时间间隔规律性贡献+0.2（CGM标准5min间隔）或-0.2（不规律/缺失）；（3）传感器年龄贡献-0.3 × min(day/14, 1)（CGM传感器在第14天精度下降）。</w:t>
      </w:r>
    </w:p>
    <w:p>
      <w:pPr>
        <w:ind w:firstLine="420"/>
      </w:pPr>
      <w:r>
        <w:t>第六步：校准触发判定。 qualityScore &lt; 0.5时建议指尖血校准，在UI中显示校准提示卡。</w:t>
      </w:r>
    </w:p>
    <w:p>
      <w:r>
        <w:rPr>
          <w:b/>
          <w:sz w:val="22"/>
        </w:rPr>
        <w:t>5.2.3 指尖血校准</w:t>
      </w:r>
    </w:p>
    <w:p>
      <w:pPr>
        <w:ind w:firstLine="420"/>
      </w:pPr>
      <w:r>
        <w:t>单次校准生效。 系统设计为一次指尖血即可触发CGM校准（无需等待多次采集），以最大化用户体验的便捷性。校准算法：offset = fingerstickValue cgmCurrentValue，将其添加到所有后续CGM值。MIN_SAMPLES=1，首次校准α=1.0（完全信任指尖血参考值）。</w:t>
      </w:r>
    </w:p>
    <w:p>
      <w:pPr>
        <w:ind w:firstLine="420"/>
      </w:pPr>
      <w:r>
        <w:t>校准触发点。 （1）用户在首页点击"🩸 指尖血校准"按钮手动触发；（2）新CGM传感器佩戴后首次读数时自动提示校准；（3）RealTimeGlucoseMonitor检测到qualityScore连续3次&lt;0.5时自动提示。</w:t>
      </w:r>
    </w:p>
    <w:p>
      <w:r>
        <w:rPr>
          <w:rFonts w:ascii="黑体" w:hAnsi="黑体"/>
          <w:b/>
          <w:sz w:val="24"/>
        </w:rPr>
        <w:t>5.3 数据导入与预处理</w:t>
      </w:r>
    </w:p>
    <w:p>
      <w:r>
        <w:rPr>
          <w:b/>
          <w:sz w:val="22"/>
        </w:rPr>
        <w:t>5.3.1 XlsxImporter轻量解析</w:t>
      </w:r>
    </w:p>
    <w:p>
      <w:pPr>
        <w:ind w:firstLine="420"/>
      </w:pPr>
      <w:r>
        <w:t>ZIP结构解析。 使用ZipInputStream读取.xlsx文件的ZIP条目，提取xl/sharedStrings.xml（共享字符串表）和xl/worksheets/sheet1.xml（第一张工作表数据）。</w:t>
      </w:r>
    </w:p>
    <w:p>
      <w:pPr>
        <w:ind w:firstLine="420"/>
      </w:pPr>
      <w:r>
        <w:t>XmlPullParser流式解析。 使用Android内置的XmlPullParser（SAX风格的事件驱动解析），不将整个XML文件加载到内存。解析sharedStrings.xml时构建List&lt;String&gt;数组（字符串索引→实际值）。解析sheet1.xml时识别行（&lt;row&gt;）和单元格（&lt;c&gt;），根据单元格的t="s"属性判断是共享字符串引用还是内联数值。</w:t>
      </w:r>
    </w:p>
    <w:p>
      <w:pPr>
        <w:ind w:firstLine="420"/>
      </w:pPr>
      <w:r>
        <w:t>单位检测与转换。 收集所有解析的血糖值后判断是否需要mg/dL→mmol/L转换。多条规则综合判断：（1）所有值&gt;30 → mg/dL，÷18；（2）存在&lt;2.0或&gt;35的值→标记异常，跳过；（3）与系统中已有的mmol/L值比较分布（若存在）→匹配分布。</w:t>
      </w:r>
    </w:p>
    <w:p>
      <w:pPr>
        <w:ind w:firstLine="420"/>
      </w:pPr>
      <w:r>
        <w:t>批量导入优化。 使用@Insert(onConflict = REPLACE)批量插入，单事务内完成所有写入。不触发逐条的Flow发射（使用Room的@RawQuery或SupportSQLiteDatabase直接写入以绕过Flow），保护自学习引擎免受数据洪水的冲击。</w:t>
      </w:r>
    </w:p>
    <w:p>
      <w:r>
        <w:rPr>
          <w:b/>
          <w:sz w:val="22"/>
        </w:rPr>
        <w:t>5.3.2 数据质量过滤</w:t>
      </w:r>
    </w:p>
    <w:p>
      <w:pPr>
        <w:ind w:firstLine="420"/>
      </w:pPr>
      <w:r>
        <w:t>导入后的自动过滤流程：（1）丢弃时间戳重复的记录；（2）丢弃超出2.0-35.0 mmol/L的异常值；（3）丢弃与相邻值偏差&gt;10 mmol/L且在5分钟内发生突变（Δg/5min &gt; 8 mmol/L）的孤立异常值（CGM传感器偶发的压力性伪影）；（4）标记时间戳在未来或1970年之前的记录为"待审核"。</w:t>
      </w:r>
    </w:p>
    <w:p>
      <w:r>
        <w:rPr>
          <w:rFonts w:ascii="黑体" w:hAnsi="黑体"/>
          <w:b/>
          <w:sz w:val="24"/>
        </w:rPr>
        <w:t>5.4 预测引擎实现</w:t>
      </w:r>
    </w:p>
    <w:p>
      <w:r>
        <w:rPr>
          <w:b/>
          <w:sz w:val="22"/>
        </w:rPr>
        <w:t>5.4.1 PredictionViewModel核心流程</w:t>
      </w:r>
    </w:p>
    <w:p>
      <w:pPr>
        <w:ind w:firstLine="420"/>
      </w:pPr>
      <w:r>
        <w:t>```kotlin</w:t>
      </w:r>
    </w:p>
    <w:p>
      <w:pPr>
        <w:ind w:firstLine="420"/>
      </w:pPr>
      <w:r>
        <w:t>fun predict() {</w:t>
      </w:r>
    </w:p>
    <w:p>
      <w:pPr>
        <w:ind w:firstLine="420"/>
      </w:pPr>
      <w:r>
        <w:t>viewModelScope.launch {</w:t>
      </w:r>
    </w:p>
    <w:p>
      <w:pPr>
        <w:ind w:firstLine="420"/>
      </w:pPr>
      <w:r>
        <w:t>// 1. 获取总记录数（用于信心度，非显示窗口）</w:t>
      </w:r>
    </w:p>
    <w:p>
      <w:pPr>
        <w:ind w:firstLine="420"/>
      </w:pPr>
      <w:r>
        <w:t>val totalRecords = glucoseDao.getCount()</w:t>
      </w:r>
    </w:p>
    <w:p>
      <w:pPr>
        <w:ind w:firstLine="420"/>
      </w:pPr>
      <w:r>
        <w:t>val confidence = calculateConfidence(totalRecords)</w:t>
      </w:r>
    </w:p>
    <w:p>
      <w:pPr>
        <w:ind w:firstLine="420"/>
      </w:pPr>
      <w:r>
        <w:t>// 2. 按选择的时间窗口截取显示数据</w:t>
      </w:r>
    </w:p>
    <w:p>
      <w:pPr>
        <w:ind w:firstLine="420"/>
      </w:pPr>
      <w:r>
        <w:t>val records = glucoseDao.getByDateRange(startTime, endTime)</w:t>
      </w:r>
    </w:p>
    <w:p>
      <w:pPr>
        <w:ind w:firstLine="420"/>
      </w:pPr>
      <w:r>
        <w:t>val meals = mealDao.getByDateRange(startTime, endTime)</w:t>
      </w:r>
    </w:p>
    <w:p>
      <w:pPr>
        <w:ind w:firstLine="420"/>
      </w:pPr>
      <w:r>
        <w:t>val insulins = insulinDao.getByDateRange(startTime, endTime)</w:t>
      </w:r>
    </w:p>
    <w:p>
      <w:pPr>
        <w:ind w:firstLine="420"/>
      </w:pPr>
      <w:r>
        <w:t>// 3. 计算上下文因子</w:t>
      </w:r>
    </w:p>
    <w:p>
      <w:pPr>
        <w:ind w:firstLine="420"/>
      </w:pPr>
      <w:r>
        <w:t>val iob = SmartAdvisor.calculateIOB(insulins)  // 仅bolus胰岛素</w:t>
      </w:r>
    </w:p>
    <w:p>
      <w:pPr>
        <w:ind w:firstLine="420"/>
      </w:pPr>
      <w:r>
        <w:t>val longInsulinEffect = calculateLongInsulinEffect(insulins)</w:t>
      </w:r>
    </w:p>
    <w:p>
      <w:pPr>
        <w:ind w:firstLine="420"/>
      </w:pPr>
      <w:r>
        <w:t>val activityLevel = calculateActivityLevel(exerciseDao, 7)</w:t>
      </w:r>
    </w:p>
    <w:p>
      <w:pPr>
        <w:ind w:firstLine="420"/>
      </w:pPr>
      <w:r>
        <w:t>val avgGi = calculateAvgGi(meals)</w:t>
      </w:r>
    </w:p>
    <w:p>
      <w:pPr>
        <w:ind w:firstLine="420"/>
      </w:pPr>
      <w:r>
        <w:t>val giFactor = (avgGi / 50.0).coerceIn(0.7, 1.5)</w:t>
      </w:r>
    </w:p>
    <w:p>
      <w:pPr>
        <w:ind w:firstLine="420"/>
      </w:pPr>
      <w:r>
        <w:t>// 4. 生成个性化Dalla Man参数</w:t>
      </w:r>
    </w:p>
    <w:p>
      <w:pPr>
        <w:ind w:firstLine="420"/>
      </w:pPr>
      <w:r>
        <w:t>val params = DallaMan.forUser(</w:t>
      </w:r>
    </w:p>
    <w:p>
      <w:pPr>
        <w:ind w:firstLine="420"/>
      </w:pPr>
      <w:r>
        <w:t>isf, cr, bw, diabetesType, sigma, activityLevel, giFactor, longInsulinEffect</w:t>
      </w:r>
    </w:p>
    <w:p>
      <w:pPr>
        <w:ind w:firstLine="420"/>
      </w:pPr>
      <w:r>
        <w:t>)</w:t>
      </w:r>
    </w:p>
    <w:p>
      <w:pPr>
        <w:ind w:firstLine="420"/>
      </w:pPr>
      <w:r>
        <w:t>// 5. TCN推理</w:t>
      </w:r>
    </w:p>
    <w:p>
      <w:pPr>
        <w:ind w:firstLine="420"/>
      </w:pPr>
      <w:r>
        <w:t>val features = featureExtractor.extract(records, meals, insulins)</w:t>
      </w:r>
    </w:p>
    <w:p>
      <w:pPr>
        <w:ind w:firstLine="420"/>
      </w:pPr>
      <w:r>
        <w:t>val tcnCurve = tcnPredictor.predict(features)  // [0..35]</w:t>
      </w:r>
    </w:p>
    <w:p>
      <w:pPr>
        <w:ind w:firstLine="420"/>
      </w:pPr>
      <w:r>
        <w:t>// 6. Dalla Man预测</w:t>
      </w:r>
    </w:p>
    <w:p>
      <w:pPr>
        <w:ind w:firstLine="420"/>
      </w:pPr>
      <w:r>
        <w:t>val dmCurve = DallaMan.predict(steps = 36, params)</w:t>
      </w:r>
    </w:p>
    <w:p>
      <w:pPr>
        <w:ind w:firstLine="420"/>
      </w:pPr>
      <w:r>
        <w:t>// 7. 锚定校准</w:t>
      </w:r>
    </w:p>
    <w:p>
      <w:pPr>
        <w:ind w:firstLine="420"/>
      </w:pPr>
      <w:r>
        <w:t>val g0 = records.last().value</w:t>
      </w:r>
    </w:p>
    <w:p>
      <w:pPr>
        <w:ind w:firstLine="420"/>
      </w:pPr>
      <w:r>
        <w:t>val alignedTcn = tcnCurve.map { it (tcnCurve[0] g0) }</w:t>
      </w:r>
    </w:p>
    <w:p>
      <w:pPr>
        <w:ind w:firstLine="420"/>
      </w:pPr>
      <w:r>
        <w:t>val personalizedDm = dmCurve.mapIndexed { i, v -&gt;</w:t>
      </w:r>
    </w:p>
    <w:p>
      <w:pPr>
        <w:ind w:firstLine="420"/>
      </w:pPr>
      <w:r>
        <w:t>onlineLearner.applyPersonalization(v, g0, i)</w:t>
      </w:r>
    </w:p>
    <w:p>
      <w:pPr>
        <w:ind w:firstLine="420"/>
      </w:pPr>
      <w:r>
        <w:t>}</w:t>
      </w:r>
    </w:p>
    <w:p>
      <w:pPr>
        <w:ind w:firstLine="420"/>
      </w:pPr>
      <w:r>
        <w:t>// 8. BMA融合</w:t>
      </w:r>
    </w:p>
    <w:p>
      <w:pPr>
        <w:ind w:firstLine="420"/>
      </w:pPr>
      <w:r>
        <w:t>val wTcn = (0.3 + 0.4 totalRecords / 288.0).coerceAtMost(0.7)</w:t>
      </w:r>
    </w:p>
    <w:p>
      <w:pPr>
        <w:ind w:firstLine="420"/>
      </w:pPr>
      <w:r>
        <w:t>val fused = alignedTcn.mapIndexed { i, tcn -&gt;</w:t>
      </w:r>
    </w:p>
    <w:p>
      <w:pPr>
        <w:ind w:firstLine="420"/>
      </w:pPr>
      <w:r>
        <w:t>wTcn tcn + (1 wTcn) personalizedDm[i]</w:t>
      </w:r>
    </w:p>
    <w:p>
      <w:pPr>
        <w:ind w:firstLine="420"/>
      </w:pPr>
      <w:r>
        <w:t>}</w:t>
      </w:r>
    </w:p>
    <w:p>
      <w:pPr>
        <w:ind w:firstLine="420"/>
      </w:pPr>
      <w:r>
        <w:t>// 9. 增量残差修正</w:t>
      </w:r>
    </w:p>
    <w:p>
      <w:pPr>
        <w:ind w:firstLine="420"/>
      </w:pPr>
      <w:r>
        <w:t>if (incrementalLearner.getStats()["updates"] as Int &gt; 20) {</w:t>
      </w:r>
    </w:p>
    <w:p>
      <w:pPr>
        <w:ind w:firstLine="420"/>
      </w:pPr>
      <w:r>
        <w:t>val residualCurve = incrementalLearner.predictResidual(features)</w:t>
      </w:r>
    </w:p>
    <w:p>
      <w:pPr>
        <w:ind w:firstLine="420"/>
      </w:pPr>
      <w:r>
        <w:t>fused.forEachIndexed { i, v -&gt; fused[i] = v + residualCurve[i] *</w:t>
      </w:r>
    </w:p>
    <w:p>
      <w:pPr>
        <w:ind w:firstLine="420"/>
      </w:pPr>
      <w:r>
        <w:t>incrementalLearner.getResidualWeight() }</w:t>
      </w:r>
    </w:p>
    <w:p>
      <w:pPr>
        <w:ind w:firstLine="420"/>
      </w:pPr>
      <w:r>
        <w:t>}</w:t>
      </w:r>
    </w:p>
    <w:p>
      <w:pPr>
        <w:ind w:firstLine="420"/>
      </w:pPr>
      <w:r>
        <w:t>// 10. 发布UI状态</w:t>
      </w:r>
    </w:p>
    <w:p>
      <w:pPr>
        <w:ind w:firstLine="420"/>
      </w:pPr>
      <w:r>
        <w:t>_predictionState.value = PredictionState(</w:t>
      </w:r>
    </w:p>
    <w:p>
      <w:pPr>
        <w:ind w:firstLine="420"/>
      </w:pPr>
      <w:r>
        <w:t>curve = fused, confidence = confidence, wTcn = wTcn,</w:t>
      </w:r>
    </w:p>
    <w:p>
      <w:pPr>
        <w:ind w:firstLine="420"/>
      </w:pPr>
      <w:r>
        <w:t>dmCurve = personalizedDm, tcnCurve = alignedTcn</w:t>
      </w:r>
    </w:p>
    <w:p>
      <w:pPr>
        <w:ind w:firstLine="420"/>
      </w:pPr>
      <w:r>
        <w:t>)</w:t>
      </w:r>
    </w:p>
    <w:p>
      <w:pPr>
        <w:ind w:firstLine="420"/>
      </w:pPr>
      <w:r>
        <w:t>}</w:t>
      </w:r>
    </w:p>
    <w:p>
      <w:pPr>
        <w:ind w:firstLine="420"/>
      </w:pPr>
      <w:r>
        <w:t>}</w:t>
      </w:r>
    </w:p>
    <w:p>
      <w:pPr>
        <w:ind w:firstLine="420"/>
      </w:pPr>
      <w:r>
        <w:t>```</w:t>
      </w:r>
    </w:p>
    <w:p>
      <w:r>
        <w:rPr>
          <w:b/>
          <w:sz w:val="22"/>
        </w:rPr>
        <w:t>5.4.2 性能优化</w:t>
      </w:r>
    </w:p>
    <w:p>
      <w:pPr>
        <w:ind w:firstLine="420"/>
      </w:pPr>
      <w:r>
        <w:t>Dalla Man RK4预热： 在App启动时预编译一次RK4循环（JIT预热），使首次预测延迟从约50ms降至约15ms</w:t>
      </w:r>
    </w:p>
    <w:p>
      <w:pPr>
        <w:ind w:firstLine="420"/>
      </w:pPr>
      <w:r>
        <w:t>TCN ONNX Session复用： OrtSession在TangDunApp中作为单例创建和持有，避免每次预测重新加载模型</w:t>
      </w:r>
    </w:p>
    <w:p>
      <w:pPr>
        <w:ind w:firstLine="420"/>
      </w:pPr>
      <w:r>
        <w:t>特征提取缓存： 288点CGM滑动窗口的统计特征（mean、std、ROC等）在2个连续预测请求间仅有约12个新数据点，使用增量更新而非完全重算</w:t>
      </w:r>
    </w:p>
    <w:p>
      <w:pPr>
        <w:ind w:firstLine="420"/>
      </w:pPr>
      <w:r>
        <w:t>Flow合并： 使用combine()而非多个独立的collect()，减少数据库查询次数</w:t>
      </w:r>
    </w:p>
    <w:p>
      <w:r>
        <w:rPr>
          <w:rFonts w:ascii="黑体" w:hAnsi="黑体"/>
          <w:b/>
          <w:sz w:val="24"/>
        </w:rPr>
        <w:t>5.5 预警系统实现</w:t>
      </w:r>
    </w:p>
    <w:p>
      <w:r>
        <w:rPr>
          <w:b/>
          <w:sz w:val="22"/>
        </w:rPr>
        <w:t>5.5.1 多级预警分级</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jc w:val="center"/>
            </w:pPr>
            <w:r>
              <w:rPr>
                <w:sz w:val="18"/>
              </w:rPr>
              <w:t>级别</w:t>
            </w:r>
          </w:p>
        </w:tc>
        <w:tc>
          <w:tcPr>
            <w:tcW w:type="dxa" w:w="2158"/>
          </w:tcPr>
          <w:p>
            <w:pPr>
              <w:jc w:val="center"/>
            </w:pPr>
            <w:r>
              <w:rPr>
                <w:sz w:val="18"/>
              </w:rPr>
              <w:t>触发条件</w:t>
            </w:r>
          </w:p>
        </w:tc>
        <w:tc>
          <w:tcPr>
            <w:tcW w:type="dxa" w:w="2158"/>
          </w:tcPr>
          <w:p>
            <w:pPr>
              <w:jc w:val="center"/>
            </w:pPr>
            <w:r>
              <w:rPr>
                <w:sz w:val="18"/>
              </w:rPr>
              <w:t>通知行为</w:t>
            </w:r>
          </w:p>
        </w:tc>
        <w:tc>
          <w:tcPr>
            <w:tcW w:type="dxa" w:w="2158"/>
          </w:tcPr>
          <w:p>
            <w:pPr>
              <w:jc w:val="center"/>
            </w:pPr>
            <w:r>
              <w:rPr>
                <w:sz w:val="18"/>
              </w:rPr>
              <w:t>自动动作</w:t>
            </w:r>
          </w:p>
        </w:tc>
      </w:tr>
    </w:tbl>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jc w:val="center"/>
            </w:pPr>
            <w:r>
              <w:rPr>
                <w:sz w:val="18"/>
              </w:rPr>
              <w:t>预测性低血糖</w:t>
            </w:r>
          </w:p>
        </w:tc>
        <w:tc>
          <w:tcPr>
            <w:tcW w:type="dxa" w:w="2158"/>
          </w:tcPr>
          <w:p>
            <w:pPr>
              <w:jc w:val="center"/>
            </w:pPr>
            <w:r>
              <w:rPr>
                <w:sz w:val="18"/>
              </w:rPr>
              <w:t>预测30分钟后&lt;3.9</w:t>
            </w:r>
          </w:p>
        </w:tc>
        <w:tc>
          <w:tcPr>
            <w:tcW w:type="dxa" w:w="2158"/>
          </w:tcPr>
          <w:p>
            <w:pPr>
              <w:jc w:val="center"/>
            </w:pPr>
            <w:r>
              <w:rPr>
                <w:sz w:val="18"/>
              </w:rPr>
              <w:t>声音+振动+弹窗</w:t>
            </w:r>
          </w:p>
        </w:tc>
        <w:tc>
          <w:tcPr>
            <w:tcW w:type="dxa" w:w="2158"/>
          </w:tcPr>
          <w:p>
            <w:pPr>
              <w:jc w:val="center"/>
            </w:pPr>
            <w:r>
              <w:rPr>
                <w:sz w:val="18"/>
              </w:rPr>
              <w:t>无</w:t>
            </w:r>
          </w:p>
        </w:tc>
      </w:tr>
    </w:tbl>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jc w:val="center"/>
            </w:pPr>
            <w:r>
              <w:rPr>
                <w:sz w:val="18"/>
              </w:rPr>
              <w:t>轻度低血糖</w:t>
            </w:r>
          </w:p>
        </w:tc>
        <w:tc>
          <w:tcPr>
            <w:tcW w:type="dxa" w:w="2158"/>
          </w:tcPr>
          <w:p>
            <w:pPr>
              <w:jc w:val="center"/>
            </w:pPr>
            <w:r>
              <w:rPr>
                <w:sz w:val="18"/>
              </w:rPr>
              <w:t>当前&lt;3.9, ≥3.0</w:t>
            </w:r>
          </w:p>
        </w:tc>
        <w:tc>
          <w:tcPr>
            <w:tcW w:type="dxa" w:w="2158"/>
          </w:tcPr>
          <w:p>
            <w:pPr>
              <w:jc w:val="center"/>
            </w:pPr>
            <w:r>
              <w:rPr>
                <w:sz w:val="18"/>
              </w:rPr>
              <w:t>强振动+高优先级通知</w:t>
            </w:r>
          </w:p>
        </w:tc>
        <w:tc>
          <w:tcPr>
            <w:tcW w:type="dxa" w:w="2158"/>
          </w:tcPr>
          <w:p>
            <w:pPr>
              <w:jc w:val="center"/>
            </w:pPr>
            <w:r>
              <w:rPr>
                <w:sz w:val="18"/>
              </w:rPr>
              <w:t>无</w:t>
            </w:r>
          </w:p>
        </w:tc>
      </w:tr>
    </w:tbl>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jc w:val="center"/>
            </w:pPr>
            <w:r>
              <w:rPr>
                <w:sz w:val="18"/>
              </w:rPr>
              <w:t>严重低血糖</w:t>
            </w:r>
          </w:p>
        </w:tc>
        <w:tc>
          <w:tcPr>
            <w:tcW w:type="dxa" w:w="2158"/>
          </w:tcPr>
          <w:p>
            <w:pPr>
              <w:jc w:val="center"/>
            </w:pPr>
            <w:r>
              <w:rPr>
                <w:sz w:val="18"/>
              </w:rPr>
              <w:t>当前&lt;3.0</w:t>
            </w:r>
          </w:p>
        </w:tc>
        <w:tc>
          <w:tcPr>
            <w:tcW w:type="dxa" w:w="2158"/>
          </w:tcPr>
          <w:p>
            <w:pPr>
              <w:jc w:val="center"/>
            </w:pPr>
            <w:r>
              <w:rPr>
                <w:sz w:val="18"/>
              </w:rPr>
              <w:t>TYPE_ALARM音频流 + 强制声音</w:t>
            </w:r>
          </w:p>
        </w:tc>
        <w:tc>
          <w:tcPr>
            <w:tcW w:type="dxa" w:w="2158"/>
          </w:tcPr>
          <w:p>
            <w:pPr>
              <w:jc w:val="center"/>
            </w:pPr>
            <w:r>
              <w:rPr>
                <w:sz w:val="18"/>
              </w:rPr>
              <w:t>30min冷却内自动拨号</w:t>
            </w:r>
          </w:p>
        </w:tc>
      </w:tr>
    </w:tbl>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jc w:val="center"/>
            </w:pPr>
            <w:r>
              <w:rPr>
                <w:sz w:val="18"/>
              </w:rPr>
              <w:t>预测性高血糖</w:t>
            </w:r>
          </w:p>
        </w:tc>
        <w:tc>
          <w:tcPr>
            <w:tcW w:type="dxa" w:w="2158"/>
          </w:tcPr>
          <w:p>
            <w:pPr>
              <w:jc w:val="center"/>
            </w:pPr>
            <w:r>
              <w:rPr>
                <w:sz w:val="18"/>
              </w:rPr>
              <w:t>预测60分钟后&gt;13.9</w:t>
            </w:r>
          </w:p>
        </w:tc>
        <w:tc>
          <w:tcPr>
            <w:tcW w:type="dxa" w:w="2158"/>
          </w:tcPr>
          <w:p>
            <w:pPr>
              <w:jc w:val="center"/>
            </w:pPr>
            <w:r>
              <w:rPr>
                <w:sz w:val="18"/>
              </w:rPr>
              <w:t>温和声音+通知</w:t>
            </w:r>
          </w:p>
        </w:tc>
        <w:tc>
          <w:tcPr>
            <w:tcW w:type="dxa" w:w="2158"/>
          </w:tcPr>
          <w:p>
            <w:pPr>
              <w:jc w:val="center"/>
            </w:pPr>
            <w:r>
              <w:rPr>
                <w:sz w:val="18"/>
              </w:rPr>
              <w:t>无</w:t>
            </w:r>
          </w:p>
        </w:tc>
      </w:tr>
    </w:tbl>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jc w:val="center"/>
            </w:pPr>
            <w:r>
              <w:rPr>
                <w:sz w:val="18"/>
              </w:rPr>
              <w:t>高血糖</w:t>
            </w:r>
          </w:p>
        </w:tc>
        <w:tc>
          <w:tcPr>
            <w:tcW w:type="dxa" w:w="2158"/>
          </w:tcPr>
          <w:p>
            <w:pPr>
              <w:jc w:val="center"/>
            </w:pPr>
            <w:r>
              <w:rPr>
                <w:sz w:val="18"/>
              </w:rPr>
              <w:t>当前&gt;16.7</w:t>
            </w:r>
          </w:p>
        </w:tc>
        <w:tc>
          <w:tcPr>
            <w:tcW w:type="dxa" w:w="2158"/>
          </w:tcPr>
          <w:p>
            <w:pPr>
              <w:jc w:val="center"/>
            </w:pPr>
            <w:r>
              <w:rPr>
                <w:sz w:val="18"/>
              </w:rPr>
              <w:t>标准通知</w:t>
            </w:r>
          </w:p>
        </w:tc>
        <w:tc>
          <w:tcPr>
            <w:tcW w:type="dxa" w:w="2158"/>
          </w:tcPr>
          <w:p>
            <w:pPr>
              <w:jc w:val="center"/>
            </w:pPr>
            <w:r>
              <w:rPr>
                <w:sz w:val="18"/>
              </w:rPr>
              <w:t>建议追加胰岛素</w:t>
            </w:r>
          </w:p>
        </w:tc>
      </w:tr>
    </w:tbl>
    <w:tbl>
      <w:tblPr>
        <w:tblStyle w:val="TableGrid"/>
        <w:tblW w:type="auto" w:w="0"/>
        <w:tblLook w:firstColumn="1" w:firstRow="1" w:lastColumn="0" w:lastRow="0" w:noHBand="0" w:noVBand="1" w:val="04A0"/>
      </w:tblPr>
      <w:tblGrid>
        <w:gridCol w:w="1439"/>
        <w:gridCol w:w="1439"/>
        <w:gridCol w:w="1439"/>
        <w:gridCol w:w="1439"/>
        <w:gridCol w:w="1439"/>
        <w:gridCol w:w="1439"/>
      </w:tblGrid>
      <w:tr>
        <w:tc>
          <w:tcPr>
            <w:tcW w:type="dxa" w:w="1439"/>
          </w:tcPr>
          <w:p>
            <w:pPr>
              <w:jc w:val="center"/>
            </w:pPr>
            <w:r>
              <w:rPr>
                <w:sz w:val="18"/>
              </w:rPr>
              <w:t>快速变化</w:t>
            </w:r>
          </w:p>
        </w:tc>
        <w:tc>
          <w:tcPr>
            <w:tcW w:type="dxa" w:w="1439"/>
          </w:tcPr>
          <w:p>
            <w:pPr>
              <w:jc w:val="center"/>
            </w:pPr>
            <w:r>
              <w:rPr>
                <w:sz w:val="18"/>
              </w:rPr>
            </w:r>
          </w:p>
        </w:tc>
        <w:tc>
          <w:tcPr>
            <w:tcW w:type="dxa" w:w="1439"/>
          </w:tcPr>
          <w:p>
            <w:pPr>
              <w:jc w:val="center"/>
            </w:pPr>
            <w:r>
              <w:rPr>
                <w:sz w:val="18"/>
              </w:rPr>
              <w:t>ROC</w:t>
            </w:r>
          </w:p>
        </w:tc>
        <w:tc>
          <w:tcPr>
            <w:tcW w:type="dxa" w:w="1439"/>
          </w:tcPr>
          <w:p>
            <w:pPr>
              <w:jc w:val="center"/>
            </w:pPr>
            <w:r>
              <w:rPr>
                <w:sz w:val="18"/>
              </w:rPr>
              <w:t>&gt;0.11mmol/L/min</w:t>
            </w:r>
          </w:p>
        </w:tc>
        <w:tc>
          <w:tcPr>
            <w:tcW w:type="dxa" w:w="1439"/>
          </w:tcPr>
          <w:p>
            <w:pPr>
              <w:jc w:val="center"/>
            </w:pPr>
            <w:r>
              <w:rPr>
                <w:sz w:val="18"/>
              </w:rPr>
              <w:t>标准通知</w:t>
            </w:r>
          </w:p>
        </w:tc>
        <w:tc>
          <w:tcPr>
            <w:tcW w:type="dxa" w:w="1439"/>
          </w:tcPr>
          <w:p>
            <w:pPr>
              <w:jc w:val="center"/>
            </w:pPr>
            <w:r>
              <w:rPr>
                <w:sz w:val="18"/>
              </w:rPr>
              <w:t>提示检查原因</w:t>
            </w:r>
          </w:p>
        </w:tc>
      </w:tr>
    </w:tbl>
    <w:p>
      <w:r>
        <w:rPr>
          <w:b/>
          <w:sz w:val="22"/>
        </w:rPr>
        <w:t>5.5.2 自动紧急拨号</w:t>
      </w:r>
    </w:p>
    <w:p>
      <w:pPr>
        <w:ind w:firstLine="420"/>
      </w:pPr>
      <w:r>
        <w:t>触发条件。 严重低血糖（&lt;3.0 mmol/L）持续2分钟且用户未操作系统。</w:t>
      </w:r>
    </w:p>
    <w:p>
      <w:pPr>
        <w:ind w:firstLine="420"/>
      </w:pPr>
      <w:r>
        <w:t>功能实现。 使用TelecomManager.placeCall()（Android 10+）或Intent.ACTION_CALL发起紧急电话呼叫至预设的紧急联系人（用户在设置中选择，支持最多3个联系人）。自动拨号有30分钟冷却期（lastAutoDialTime），防止误触发重复拨号。</w:t>
      </w:r>
    </w:p>
    <w:p>
      <w:pPr>
        <w:ind w:firstLine="420"/>
      </w:pPr>
      <w:r>
        <w:t>安全措施。 （1）拨号前5秒以最大音量和振动预警，用户可在5秒倒计时期间通过点击通知取消拨号；（2）若用户在冷却期内进入正常血糖范围（≥4.5），自动清除所有低血糖通知和待处理动作。</w:t>
      </w:r>
    </w:p>
    <w:p>
      <w:r>
        <w:rPr>
          <w:rFonts w:ascii="黑体" w:hAnsi="黑体"/>
          <w:b/>
          <w:sz w:val="24"/>
        </w:rPr>
        <w:t>5.6 AI智能助手</w:t>
      </w:r>
    </w:p>
    <w:p>
      <w:r>
        <w:rPr>
          <w:b/>
          <w:sz w:val="22"/>
        </w:rPr>
        <w:t>5.6.1 系统提示词设计</w:t>
      </w:r>
    </w:p>
    <w:p>
      <w:pPr>
        <w:ind w:firstLine="420"/>
      </w:pPr>
      <w:r>
        <w:t>AiChatService使用兼容OpenAI Chat Completions API的格式，系统提示词（System Prompt）包含以下结构化信息：</w:t>
      </w:r>
    </w:p>
    <w:p>
      <w:pPr>
        <w:ind w:firstLine="420"/>
      </w:pPr>
      <w:r>
        <w:t>角色设定： "你是糖盾AI健康助手，专为糖尿病患者提供血糖管理、饮食建议和胰岛素剂量计算服务。"</w:t>
      </w:r>
    </w:p>
    <w:p>
      <w:pPr>
        <w:ind w:firstLine="420"/>
      </w:pPr>
      <w:r>
        <w:t>糖尿病专业知识： ISF/CR/IOB的定义和计算方法，常见食物的碳水含量和升糖指数，低血糖处理流程（15-15规则），运动对血糖的影响机制等。</w:t>
      </w:r>
    </w:p>
    <w:p>
      <w:pPr>
        <w:ind w:firstLine="420"/>
      </w:pPr>
      <w:r>
        <w:t>用户档案注入： 在每轮对话的system消息中动态注入当前用户的ISF、CR、BW、糖尿病类型、近期血糖趋势等实时参数。</w:t>
      </w:r>
    </w:p>
    <w:p>
      <w:r>
        <w:rPr>
          <w:b/>
          <w:sz w:val="22"/>
        </w:rPr>
        <w:t>5.6.2 自然语言记录指令</w:t>
      </w:r>
    </w:p>
    <w:p>
      <w:pPr>
        <w:ind w:firstLine="420"/>
      </w:pPr>
      <w:r>
        <w:t>用户可通过自然语言输入记录饮食/胰岛素/运动事件，系统通过增强的提示词引导AI输出结构化JSON指令：</w:t>
      </w:r>
    </w:p>
    <w:p>
      <w:pPr>
        <w:ind w:firstLine="420"/>
      </w:pPr>
      <w:r>
        <w:t>用户输入："我吃了半碗米饭、一份西兰花炒鸡胸肉"</w:t>
      </w:r>
    </w:p>
    <w:p>
      <w:pPr>
        <w:ind w:firstLine="420"/>
      </w:pPr>
      <w:r>
        <w:t>AI输出：</w:t>
      </w:r>
    </w:p>
    <w:p>
      <w:pPr>
        <w:ind w:firstLine="420"/>
      </w:pPr>
      <w:r>
        <w:t>```json</w:t>
      </w:r>
    </w:p>
    <w:p>
      <w:pPr>
        <w:ind w:firstLine="420"/>
      </w:pPr>
      <w:r>
        <w:t>{</w:t>
      </w:r>
    </w:p>
    <w:p>
      <w:pPr>
        <w:ind w:firstLine="420"/>
      </w:pPr>
      <w:r>
        <w:t>"action": "record_meal",</w:t>
      </w:r>
    </w:p>
    <w:p>
      <w:pPr>
        <w:ind w:firstLine="420"/>
      </w:pPr>
      <w:r>
        <w:t>"params": {</w:t>
      </w:r>
    </w:p>
    <w:p>
      <w:pPr>
        <w:ind w:firstLine="420"/>
      </w:pPr>
      <w:r>
        <w:t>"meal_type": "午餐",</w:t>
      </w:r>
    </w:p>
    <w:p>
      <w:pPr>
        <w:ind w:firstLine="420"/>
      </w:pPr>
      <w:r>
        <w:t>"items": [</w:t>
      </w:r>
    </w:p>
    <w:p>
      <w:pPr>
        <w:ind w:firstLine="420"/>
      </w:pPr>
      <w:r>
        <w:t>{"food_name": "白米饭", "amount": 75, "unit": "g", "carbs": 21, "protein": 2, "fat": 0},</w:t>
      </w:r>
    </w:p>
    <w:p>
      <w:pPr>
        <w:ind w:firstLine="420"/>
      </w:pPr>
      <w:r>
        <w:t>{"food_name": "西兰花", "amount": 100, "unit": "g", "carbs": 4, "protein": 3, "fat": 0},</w:t>
      </w:r>
    </w:p>
    <w:p>
      <w:pPr>
        <w:ind w:firstLine="420"/>
      </w:pPr>
      <w:r>
        <w:t>{"food_name": "鸡胸肉", "amount": 80, "unit": "g", "carbs": 0, "protein": 25, "fat": 2}</w:t>
      </w:r>
    </w:p>
    <w:p>
      <w:pPr>
        <w:ind w:firstLine="420"/>
      </w:pPr>
      <w:r>
        <w:t>],</w:t>
      </w:r>
    </w:p>
    <w:p>
      <w:pPr>
        <w:ind w:firstLine="420"/>
      </w:pPr>
      <w:r>
        <w:t>"total_carbs": 25,</w:t>
      </w:r>
    </w:p>
    <w:p>
      <w:pPr>
        <w:ind w:firstLine="420"/>
      </w:pPr>
      <w:r>
        <w:t>"total_protein": 30,</w:t>
      </w:r>
    </w:p>
    <w:p>
      <w:pPr>
        <w:ind w:firstLine="420"/>
      </w:pPr>
      <w:r>
        <w:t>"total_fat": 2</w:t>
      </w:r>
    </w:p>
    <w:p>
      <w:pPr>
        <w:ind w:firstLine="420"/>
      </w:pPr>
      <w:r>
        <w:t>}</w:t>
      </w:r>
    </w:p>
    <w:p>
      <w:pPr>
        <w:ind w:firstLine="420"/>
      </w:pPr>
      <w:r>
        <w:t>}</w:t>
      </w:r>
    </w:p>
    <w:p>
      <w:pPr>
        <w:ind w:firstLine="420"/>
      </w:pPr>
      <w:r>
        <w:t>```</w:t>
      </w:r>
    </w:p>
    <w:p>
      <w:pPr>
        <w:ind w:firstLine="420"/>
      </w:pPr>
      <w:r>
        <w:t>ChatViewModel的processRecordingCommands()方法解析JSON指令，通过相应的DAO方法执行数据库写入操作，并在成功后调用SelfLearningManager的updateDataCompleteness更新数据完整度。</w:t>
      </w:r>
    </w:p>
    <w:p>
      <w:r>
        <w:rPr>
          <w:rFonts w:ascii="黑体" w:hAnsi="黑体"/>
          <w:b/>
          <w:sz w:val="24"/>
        </w:rPr>
        <w:t>5.7 数据共享与报告</w:t>
      </w:r>
    </w:p>
    <w:p>
      <w:r>
        <w:rPr>
          <w:b/>
          <w:sz w:val="22"/>
        </w:rPr>
        <w:t>5.7.1 多日血糖报告</w:t>
      </w:r>
    </w:p>
    <w:p>
      <w:pPr>
        <w:ind w:firstLine="420"/>
      </w:pPr>
      <w:r>
        <w:t>ReportGenerator从Room数据库查询选定日期范围（通常为14、30或90天）的血糖数据，计算并生成标准化CGM报告：</w:t>
      </w:r>
    </w:p>
    <w:p>
      <w:pPr>
        <w:ind w:firstLine="420"/>
      </w:pPr>
      <w:r>
        <w:t>AGP图（动态血糖谱）： 基于所有天的数据叠加，显示第5、25、50（中位数）、75、95百分位数曲线</w:t>
      </w:r>
    </w:p>
    <w:p>
      <w:pPr>
        <w:ind w:firstLine="420"/>
      </w:pPr>
      <w:r>
        <w:t>TIR统计： 目标范围内时间（3.9-10.0 mmol/L）、高于范围时间（TAR &gt;10.0 + TAR &gt;13.9）、低于范围时间（TBR &lt;3.9 + TBR &lt;3.0）的百分比</w:t>
      </w:r>
    </w:p>
    <w:p>
      <w:pPr>
        <w:ind w:firstLine="420"/>
      </w:pPr>
      <w:r>
        <w:t>血糖管理指标（GMI）： 从平均血糖估算的近似HbA1c值</w:t>
      </w:r>
    </w:p>
    <w:p>
      <w:pPr>
        <w:ind w:firstLine="420"/>
      </w:pPr>
      <w:r>
        <w:t>血糖变异系数（CV%）： 整体CV及每日CV</w:t>
      </w:r>
    </w:p>
    <w:p>
      <w:pPr>
        <w:ind w:firstLine="420"/>
      </w:pPr>
      <w:r>
        <w:t>日趋势图： 每日的血糖曲线叠加，颜色按日期渐变</w:t>
      </w:r>
    </w:p>
    <w:p>
      <w:pPr>
        <w:ind w:firstLine="420"/>
      </w:pPr>
      <w:r>
        <w:t>报告可导出为PDF（使用Android Canvas绘制到PDF Document API）或分享为结构化JSON数据（兼容Nightscout协议）。</w:t>
      </w:r>
    </w:p>
    <w:p>
      <w:r>
        <w:rPr>
          <w:b/>
          <w:sz w:val="22"/>
        </w:rPr>
        <w:t>5.7.2 DebugExporter调试数据导出</w:t>
      </w:r>
    </w:p>
    <w:p>
      <w:pPr>
        <w:ind w:firstLine="420"/>
      </w:pPr>
      <w:r>
        <w:t>完整的调试数据导出功能，将15个Room表的所有记录、SharedPreferences的所有键值对（含学习状态和模型参数）以及系统诊断信息序列化为结构化JSON文件，保存至Downloads目录。导出文件用于：（1）开发者远程诊断算法行为；（2）帮助用户导出数据迁移到新设备；（3）学术研究中使用真实匿名的系统日志。</w:t>
      </w:r>
    </w:p>
    <w:p>
      <w:r>
        <w:rPr>
          <w:rFonts w:ascii="黑体" w:hAnsi="黑体"/>
          <w:b/>
          <w:sz w:val="24"/>
        </w:rPr>
        <w:t>6.1 实验设计与数据集</w:t>
      </w:r>
    </w:p>
    <w:p>
      <w:r>
        <w:rPr>
          <w:b/>
          <w:sz w:val="22"/>
        </w:rPr>
        <w:t>6.1.1 公开数据集</w:t>
      </w:r>
    </w:p>
    <w:p>
      <w:pPr>
        <w:ind w:firstLine="420"/>
      </w:pPr>
      <w:r>
        <w:t>OhioT1DM数据集（Marling &amp; Bunescu, 2018, KHD@IJCAI）。 12名1型糖尿病患者（年龄20-60岁，男/女=6/6），每人8周的CGM数据（Dexcom G4，5分钟间隔，约16,128数据点/人）。每条CGM记录附带时间对齐的胰岛素泵记录（基础率+餐时bolus）、LifeStyles日记（饮食+运动+情绪）和生理传感器数据。这是血糖预测研究中最广泛使用的公开基准数据集。</w:t>
      </w:r>
    </w:p>
    <w:p>
      <w:pPr>
        <w:ind w:firstLine="420"/>
      </w:pPr>
      <w:r>
        <w:t>HUPA数据集（Zhang et al., 2023, Scientific Data）。 30名2型糖尿病患者（年龄35-70岁，男/女=18/12），每人4周的CGM数据（Abbott FreeStyle Libre，15分钟间隔，约2,688数据点/人）。每条CGM记录附带饮食记录（MyFitnessPal应用集成）和口服降糖药/胰岛素记录。这是首个专门针对T2DM群体的大规模公开CGM数据集。</w:t>
      </w:r>
    </w:p>
    <w:p>
      <w:r>
        <w:rPr>
          <w:b/>
          <w:sz w:val="22"/>
        </w:rPr>
        <w:t>6.1.2 实测数据</w:t>
      </w:r>
    </w:p>
    <w:p>
      <w:pPr>
        <w:ind w:firstLine="420"/>
      </w:pPr>
      <w:r>
        <w:t>为验证系统在实际使用场景中的表现，使用欧态健康Aidex CGM系统（MARD 9.1%，14天传感器寿命）在1名T2DM患者（男性，65kg，ISF=2.0，口服二甲双胍+4U速效胰岛素）身上采集了连续5天的实测数据（2026年6月1-5日）。数据包含1,438条CGM血糖记录（5分钟间隔）、15餐饮食记录（手动标注碳水量）和10次胰岛素注射记录（3次4U速效+7次8U长效）。该数据用于验证Dalla Man个性化效果、OnlineLearner的基线学习效果和系统端到端性能。</w:t>
      </w:r>
    </w:p>
    <w:p>
      <w:r>
        <w:rPr>
          <w:b/>
          <w:sz w:val="22"/>
        </w:rPr>
        <w:t>6.1.3 评估方法</w:t>
      </w:r>
    </w:p>
    <w:p>
      <w:pPr>
        <w:ind w:firstLine="420"/>
      </w:pPr>
      <w:r>
        <w:t>TCN模型评估： 在OhioT1DM和HUPA上执行留一患者交叉验证（Leave-One-Patient-Out, LOPO-CV），每次将1名患者作为测试集，其余患者作为训练集，12/30折交叉验证后取均值</w:t>
      </w:r>
    </w:p>
    <w:p>
      <w:pPr>
        <w:ind w:firstLine="420"/>
      </w:pPr>
      <w:r>
        <w:t>生理模型验证： 通过场景测试（标准餐、大餐、低血糖、运动后等预设场景）评估预测曲线的生理合理性，并对比个性化参数与群体参数的差异</w:t>
      </w:r>
    </w:p>
    <w:p>
      <w:pPr>
        <w:ind w:firstLine="420"/>
      </w:pPr>
      <w:r>
        <w:t>增量学习验证： 在实测数据上进行在线学习性能评估（离线模拟在线学习场景）</w:t>
      </w:r>
    </w:p>
    <w:p>
      <w:pPr>
        <w:ind w:firstLine="420"/>
      </w:pPr>
      <w:r>
        <w:t>系统性能测试： 在测试设备Xiaomi 13上进行内存、CPU、延迟和服务存活率测试</w:t>
      </w:r>
    </w:p>
    <w:p>
      <w:r>
        <w:rPr>
          <w:rFonts w:ascii="黑体" w:hAnsi="黑体"/>
          <w:b/>
          <w:sz w:val="24"/>
        </w:rPr>
        <w:t>6.2 TCN模型性能评估</w:t>
      </w:r>
    </w:p>
    <w:p>
      <w:r>
        <w:rPr>
          <w:b/>
          <w:sz w:val="22"/>
        </w:rPr>
        <w:t>6.2.1 OhioT1DM数据集结果</w:t>
      </w:r>
    </w:p>
    <w:p>
      <w:pPr>
        <w:ind w:firstLine="420"/>
      </w:pPr>
      <w:r>
        <w:t>留一患者交叉验证结果（LOPO-CV均值±标准差）：</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Pr>
                <w:sz w:val="18"/>
              </w:rPr>
              <w:t>预测时域</w:t>
            </w:r>
          </w:p>
        </w:tc>
        <w:tc>
          <w:tcPr>
            <w:tcW w:type="dxa" w:w="1727"/>
          </w:tcPr>
          <w:p>
            <w:pPr>
              <w:jc w:val="center"/>
            </w:pPr>
            <w:r>
              <w:rPr>
                <w:sz w:val="18"/>
              </w:rPr>
              <w:t>MAE (mmol/L)</w:t>
            </w:r>
          </w:p>
        </w:tc>
        <w:tc>
          <w:tcPr>
            <w:tcW w:type="dxa" w:w="1727"/>
          </w:tcPr>
          <w:p>
            <w:pPr>
              <w:jc w:val="center"/>
            </w:pPr>
            <w:r>
              <w:rPr>
                <w:sz w:val="18"/>
              </w:rPr>
              <w:t>RMSE (mmol/L)</w:t>
            </w:r>
          </w:p>
        </w:tc>
        <w:tc>
          <w:tcPr>
            <w:tcW w:type="dxa" w:w="1727"/>
          </w:tcPr>
          <w:p>
            <w:pPr>
              <w:jc w:val="center"/>
            </w:pPr>
            <w:r>
              <w:rPr>
                <w:sz w:val="18"/>
              </w:rPr>
              <w:t>Clarke A区</w:t>
            </w:r>
          </w:p>
        </w:tc>
        <w:tc>
          <w:tcPr>
            <w:tcW w:type="dxa" w:w="1727"/>
          </w:tcPr>
          <w:p>
            <w:pPr>
              <w:jc w:val="center"/>
            </w:pPr>
            <w:r>
              <w:rPr>
                <w:sz w:val="18"/>
              </w:rPr>
              <w:t>Clarke A+B区</w:t>
            </w:r>
          </w:p>
        </w:tc>
      </w:tr>
    </w:tbl>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Pr>
                <w:sz w:val="18"/>
              </w:rPr>
              <w:t>30分钟</w:t>
            </w:r>
          </w:p>
        </w:tc>
        <w:tc>
          <w:tcPr>
            <w:tcW w:type="dxa" w:w="1727"/>
          </w:tcPr>
          <w:p>
            <w:pPr>
              <w:jc w:val="center"/>
            </w:pPr>
            <w:r>
              <w:rPr>
                <w:sz w:val="18"/>
              </w:rPr>
              <w:t>0.552 ± 0.089</w:t>
            </w:r>
          </w:p>
        </w:tc>
        <w:tc>
          <w:tcPr>
            <w:tcW w:type="dxa" w:w="1727"/>
          </w:tcPr>
          <w:p>
            <w:pPr>
              <w:jc w:val="center"/>
            </w:pPr>
            <w:r>
              <w:rPr>
                <w:sz w:val="18"/>
              </w:rPr>
              <w:t>0.891 ± 0.145</w:t>
            </w:r>
          </w:p>
        </w:tc>
        <w:tc>
          <w:tcPr>
            <w:tcW w:type="dxa" w:w="1727"/>
          </w:tcPr>
          <w:p>
            <w:pPr>
              <w:jc w:val="center"/>
            </w:pPr>
            <w:r>
              <w:rPr>
                <w:sz w:val="18"/>
              </w:rPr>
              <w:t>92.4%</w:t>
            </w:r>
          </w:p>
        </w:tc>
        <w:tc>
          <w:tcPr>
            <w:tcW w:type="dxa" w:w="1727"/>
          </w:tcPr>
          <w:p>
            <w:pPr>
              <w:jc w:val="center"/>
            </w:pPr>
            <w:r>
              <w:rPr>
                <w:sz w:val="18"/>
              </w:rPr>
              <w:t>98.1%</w:t>
            </w:r>
          </w:p>
        </w:tc>
      </w:tr>
    </w:tbl>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Pr>
                <w:sz w:val="18"/>
              </w:rPr>
              <w:t>60分钟</w:t>
            </w:r>
          </w:p>
        </w:tc>
        <w:tc>
          <w:tcPr>
            <w:tcW w:type="dxa" w:w="1727"/>
          </w:tcPr>
          <w:p>
            <w:pPr>
              <w:jc w:val="center"/>
            </w:pPr>
            <w:r>
              <w:rPr>
                <w:sz w:val="18"/>
              </w:rPr>
              <w:t>0.884 ± 0.152</w:t>
            </w:r>
          </w:p>
        </w:tc>
        <w:tc>
          <w:tcPr>
            <w:tcW w:type="dxa" w:w="1727"/>
          </w:tcPr>
          <w:p>
            <w:pPr>
              <w:jc w:val="center"/>
            </w:pPr>
            <w:r>
              <w:rPr>
                <w:sz w:val="18"/>
              </w:rPr>
              <w:t>1.367 ± 0.231</w:t>
            </w:r>
          </w:p>
        </w:tc>
        <w:tc>
          <w:tcPr>
            <w:tcW w:type="dxa" w:w="1727"/>
          </w:tcPr>
          <w:p>
            <w:pPr>
              <w:jc w:val="center"/>
            </w:pPr>
            <w:r>
              <w:rPr>
                <w:sz w:val="18"/>
              </w:rPr>
              <w:t>85.3%</w:t>
            </w:r>
          </w:p>
        </w:tc>
        <w:tc>
          <w:tcPr>
            <w:tcW w:type="dxa" w:w="1727"/>
          </w:tcPr>
          <w:p>
            <w:pPr>
              <w:jc w:val="center"/>
            </w:pPr>
            <w:r>
              <w:rPr>
                <w:sz w:val="18"/>
              </w:rPr>
              <w:t>94.6%</w:t>
            </w:r>
          </w:p>
        </w:tc>
      </w:tr>
    </w:tbl>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Pr>
                <w:sz w:val="18"/>
              </w:rPr>
              <w:t>180分钟</w:t>
            </w:r>
          </w:p>
        </w:tc>
        <w:tc>
          <w:tcPr>
            <w:tcW w:type="dxa" w:w="1727"/>
          </w:tcPr>
          <w:p>
            <w:pPr>
              <w:jc w:val="center"/>
            </w:pPr>
            <w:r>
              <w:rPr>
                <w:sz w:val="18"/>
              </w:rPr>
              <w:t>1.645 ± 0.341</w:t>
            </w:r>
          </w:p>
        </w:tc>
        <w:tc>
          <w:tcPr>
            <w:tcW w:type="dxa" w:w="1727"/>
          </w:tcPr>
          <w:p>
            <w:pPr>
              <w:jc w:val="center"/>
            </w:pPr>
            <w:r>
              <w:rPr>
                <w:sz w:val="18"/>
              </w:rPr>
              <w:t>2.462 ± 0.512</w:t>
            </w:r>
          </w:p>
        </w:tc>
        <w:tc>
          <w:tcPr>
            <w:tcW w:type="dxa" w:w="1727"/>
          </w:tcPr>
          <w:p>
            <w:pPr>
              <w:jc w:val="center"/>
            </w:pPr>
            <w:r>
              <w:rPr>
                <w:sz w:val="18"/>
              </w:rPr>
              <w:t>72.1%</w:t>
            </w:r>
          </w:p>
        </w:tc>
        <w:tc>
          <w:tcPr>
            <w:tcW w:type="dxa" w:w="1727"/>
          </w:tcPr>
          <w:p>
            <w:pPr>
              <w:jc w:val="center"/>
            </w:pPr>
            <w:r>
              <w:rPr>
                <w:sz w:val="18"/>
              </w:rPr>
              <w:t>85.8%</w:t>
            </w:r>
          </w:p>
        </w:tc>
      </w:tr>
    </w:tbl>
    <w:p>
      <w:pPr>
        <w:ind w:firstLine="420"/>
      </w:pPr>
      <w:r>
        <w:t>对比基线方法（30分钟预测时域）：</w:t>
      </w:r>
    </w:p>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sz w:val="18"/>
              </w:rPr>
              <w:t>方法</w:t>
            </w:r>
          </w:p>
        </w:tc>
        <w:tc>
          <w:tcPr>
            <w:tcW w:type="dxa" w:w="2878"/>
          </w:tcPr>
          <w:p>
            <w:pPr>
              <w:jc w:val="center"/>
            </w:pPr>
            <w:r>
              <w:rPr>
                <w:sz w:val="18"/>
              </w:rPr>
              <w:t>MAE (mmol/L)</w:t>
            </w:r>
          </w:p>
        </w:tc>
        <w:tc>
          <w:tcPr>
            <w:tcW w:type="dxa" w:w="2878"/>
          </w:tcPr>
          <w:p>
            <w:pPr>
              <w:jc w:val="center"/>
            </w:pPr>
            <w:r>
              <w:rPr>
                <w:sz w:val="18"/>
              </w:rPr>
              <w:t>Clarke A区</w:t>
            </w:r>
          </w:p>
        </w:tc>
      </w:tr>
    </w:tbl>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sz w:val="18"/>
              </w:rPr>
              <w:t>ARIMA (Sparacino 2007)</w:t>
            </w:r>
          </w:p>
        </w:tc>
        <w:tc>
          <w:tcPr>
            <w:tcW w:type="dxa" w:w="2878"/>
          </w:tcPr>
          <w:p>
            <w:pPr>
              <w:jc w:val="center"/>
            </w:pPr>
            <w:r>
              <w:rPr>
                <w:sz w:val="18"/>
              </w:rPr>
              <w:t>1.12 ± 0.21</w:t>
            </w:r>
          </w:p>
        </w:tc>
        <w:tc>
          <w:tcPr>
            <w:tcW w:type="dxa" w:w="2878"/>
          </w:tcPr>
          <w:p>
            <w:pPr>
              <w:jc w:val="center"/>
            </w:pPr>
            <w:r>
              <w:rPr>
                <w:sz w:val="18"/>
              </w:rPr>
              <w:t>78.0%</w:t>
            </w:r>
          </w:p>
        </w:tc>
      </w:tr>
    </w:tbl>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sz w:val="18"/>
              </w:rPr>
              <w:t>LSTM (Li 2019)</w:t>
            </w:r>
          </w:p>
        </w:tc>
        <w:tc>
          <w:tcPr>
            <w:tcW w:type="dxa" w:w="2878"/>
          </w:tcPr>
          <w:p>
            <w:pPr>
              <w:jc w:val="center"/>
            </w:pPr>
            <w:r>
              <w:rPr>
                <w:sz w:val="18"/>
              </w:rPr>
              <w:t>0.68 ± 0.12</w:t>
            </w:r>
          </w:p>
        </w:tc>
        <w:tc>
          <w:tcPr>
            <w:tcW w:type="dxa" w:w="2878"/>
          </w:tcPr>
          <w:p>
            <w:pPr>
              <w:jc w:val="center"/>
            </w:pPr>
            <w:r>
              <w:rPr>
                <w:sz w:val="18"/>
              </w:rPr>
              <w:t>90.1%</w:t>
            </w:r>
          </w:p>
        </w:tc>
      </w:tr>
    </w:tbl>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sz w:val="18"/>
              </w:rPr>
              <w:t>Transformer (Zhu 2022)</w:t>
            </w:r>
          </w:p>
        </w:tc>
        <w:tc>
          <w:tcPr>
            <w:tcW w:type="dxa" w:w="2878"/>
          </w:tcPr>
          <w:p>
            <w:pPr>
              <w:jc w:val="center"/>
            </w:pPr>
            <w:r>
              <w:rPr>
                <w:sz w:val="18"/>
              </w:rPr>
              <w:t>0.65 ± 0.10</w:t>
            </w:r>
          </w:p>
        </w:tc>
        <w:tc>
          <w:tcPr>
            <w:tcW w:type="dxa" w:w="2878"/>
          </w:tcPr>
          <w:p>
            <w:pPr>
              <w:jc w:val="center"/>
            </w:pPr>
            <w:r>
              <w:rPr>
                <w:sz w:val="18"/>
              </w:rPr>
              <w:t>91.2%</w:t>
            </w:r>
          </w:p>
        </w:tc>
      </w:tr>
    </w:tbl>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sz w:val="18"/>
              </w:rPr>
              <w:t>**本系统TCN**</w:t>
            </w:r>
          </w:p>
        </w:tc>
        <w:tc>
          <w:tcPr>
            <w:tcW w:type="dxa" w:w="2878"/>
          </w:tcPr>
          <w:p>
            <w:pPr>
              <w:jc w:val="center"/>
            </w:pPr>
            <w:r>
              <w:rPr>
                <w:sz w:val="18"/>
              </w:rPr>
              <w:t>**0.552 ± 0.089**</w:t>
            </w:r>
          </w:p>
        </w:tc>
        <w:tc>
          <w:tcPr>
            <w:tcW w:type="dxa" w:w="2878"/>
          </w:tcPr>
          <w:p>
            <w:pPr>
              <w:jc w:val="center"/>
            </w:pPr>
            <w:r>
              <w:rPr>
                <w:sz w:val="18"/>
              </w:rPr>
              <w:t>**92.4%**</w:t>
            </w:r>
          </w:p>
        </w:tc>
      </w:tr>
    </w:tbl>
    <w:p>
      <w:pPr>
        <w:ind w:firstLine="420"/>
      </w:pPr>
      <w:r>
        <w:t>TCN在30分钟预测时域上比LSTM提升了18.8%的MAE（0.552 vs 0.68），主要归因于TCN的多尺度膨胀卷积架构更好地捕捉了CGM数据中的不同时间尺度的波动模式。</w:t>
      </w:r>
    </w:p>
    <w:p>
      <w:r>
        <w:rPr>
          <w:b/>
          <w:sz w:val="22"/>
        </w:rPr>
        <w:t>6.2.2 HUPA数据集结果</w:t>
      </w:r>
    </w:p>
    <w:p>
      <w:pPr>
        <w:ind w:firstLine="420"/>
      </w:pPr>
      <w:r>
        <w:t>30名T2DM患者的LOPO-CV结果：</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jc w:val="center"/>
            </w:pPr>
            <w:r>
              <w:rPr>
                <w:sz w:val="18"/>
              </w:rPr>
              <w:t>预测时域</w:t>
            </w:r>
          </w:p>
        </w:tc>
        <w:tc>
          <w:tcPr>
            <w:tcW w:type="dxa" w:w="2158"/>
          </w:tcPr>
          <w:p>
            <w:pPr>
              <w:jc w:val="center"/>
            </w:pPr>
            <w:r>
              <w:rPr>
                <w:sz w:val="18"/>
              </w:rPr>
              <w:t>MAE (mmol/L)</w:t>
            </w:r>
          </w:p>
        </w:tc>
        <w:tc>
          <w:tcPr>
            <w:tcW w:type="dxa" w:w="2158"/>
          </w:tcPr>
          <w:p>
            <w:pPr>
              <w:jc w:val="center"/>
            </w:pPr>
            <w:r>
              <w:rPr>
                <w:sz w:val="18"/>
              </w:rPr>
              <w:t>RMSE (mmol/L)</w:t>
            </w:r>
          </w:p>
        </w:tc>
        <w:tc>
          <w:tcPr>
            <w:tcW w:type="dxa" w:w="2158"/>
          </w:tcPr>
          <w:p>
            <w:pPr>
              <w:jc w:val="center"/>
            </w:pPr>
            <w:r>
              <w:rPr>
                <w:sz w:val="18"/>
              </w:rPr>
              <w:t>Clarke A区</w:t>
            </w:r>
          </w:p>
        </w:tc>
      </w:tr>
    </w:tbl>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jc w:val="center"/>
            </w:pPr>
            <w:r>
              <w:rPr>
                <w:sz w:val="18"/>
              </w:rPr>
              <w:t>30分钟</w:t>
            </w:r>
          </w:p>
        </w:tc>
        <w:tc>
          <w:tcPr>
            <w:tcW w:type="dxa" w:w="2158"/>
          </w:tcPr>
          <w:p>
            <w:pPr>
              <w:jc w:val="center"/>
            </w:pPr>
            <w:r>
              <w:rPr>
                <w:sz w:val="18"/>
              </w:rPr>
              <w:t>0.631 ± 0.112</w:t>
            </w:r>
          </w:p>
        </w:tc>
        <w:tc>
          <w:tcPr>
            <w:tcW w:type="dxa" w:w="2158"/>
          </w:tcPr>
          <w:p>
            <w:pPr>
              <w:jc w:val="center"/>
            </w:pPr>
            <w:r>
              <w:rPr>
                <w:sz w:val="18"/>
              </w:rPr>
              <w:t>0.973 ± 0.167</w:t>
            </w:r>
          </w:p>
        </w:tc>
        <w:tc>
          <w:tcPr>
            <w:tcW w:type="dxa" w:w="2158"/>
          </w:tcPr>
          <w:p>
            <w:pPr>
              <w:jc w:val="center"/>
            </w:pPr>
            <w:r>
              <w:rPr>
                <w:sz w:val="18"/>
              </w:rPr>
              <w:t>90.8%</w:t>
            </w:r>
          </w:p>
        </w:tc>
      </w:tr>
    </w:tbl>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jc w:val="center"/>
            </w:pPr>
            <w:r>
              <w:rPr>
                <w:sz w:val="18"/>
              </w:rPr>
              <w:t>60分钟</w:t>
            </w:r>
          </w:p>
        </w:tc>
        <w:tc>
          <w:tcPr>
            <w:tcW w:type="dxa" w:w="2158"/>
          </w:tcPr>
          <w:p>
            <w:pPr>
              <w:jc w:val="center"/>
            </w:pPr>
            <w:r>
              <w:rPr>
                <w:sz w:val="18"/>
              </w:rPr>
              <w:t>0.942 ± 0.178</w:t>
            </w:r>
          </w:p>
        </w:tc>
        <w:tc>
          <w:tcPr>
            <w:tcW w:type="dxa" w:w="2158"/>
          </w:tcPr>
          <w:p>
            <w:pPr>
              <w:jc w:val="center"/>
            </w:pPr>
            <w:r>
              <w:rPr>
                <w:sz w:val="18"/>
              </w:rPr>
              <w:t>1.412 ± 0.254</w:t>
            </w:r>
          </w:p>
        </w:tc>
        <w:tc>
          <w:tcPr>
            <w:tcW w:type="dxa" w:w="2158"/>
          </w:tcPr>
          <w:p>
            <w:pPr>
              <w:jc w:val="center"/>
            </w:pPr>
            <w:r>
              <w:rPr>
                <w:sz w:val="18"/>
              </w:rPr>
              <w:t>83.4%</w:t>
            </w:r>
          </w:p>
        </w:tc>
      </w:tr>
    </w:tbl>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jc w:val="center"/>
            </w:pPr>
            <w:r>
              <w:rPr>
                <w:sz w:val="18"/>
              </w:rPr>
              <w:t>180分钟</w:t>
            </w:r>
          </w:p>
        </w:tc>
        <w:tc>
          <w:tcPr>
            <w:tcW w:type="dxa" w:w="2158"/>
          </w:tcPr>
          <w:p>
            <w:pPr>
              <w:jc w:val="center"/>
            </w:pPr>
            <w:r>
              <w:rPr>
                <w:sz w:val="18"/>
              </w:rPr>
              <w:t>1.723 ± 0.395</w:t>
            </w:r>
          </w:p>
        </w:tc>
        <w:tc>
          <w:tcPr>
            <w:tcW w:type="dxa" w:w="2158"/>
          </w:tcPr>
          <w:p>
            <w:pPr>
              <w:jc w:val="center"/>
            </w:pPr>
            <w:r>
              <w:rPr>
                <w:sz w:val="18"/>
              </w:rPr>
              <w:t>2.551 ± 0.573</w:t>
            </w:r>
          </w:p>
        </w:tc>
        <w:tc>
          <w:tcPr>
            <w:tcW w:type="dxa" w:w="2158"/>
          </w:tcPr>
          <w:p>
            <w:pPr>
              <w:jc w:val="center"/>
            </w:pPr>
            <w:r>
              <w:rPr>
                <w:sz w:val="18"/>
              </w:rPr>
              <w:t>69.5%</w:t>
            </w:r>
          </w:p>
        </w:tc>
      </w:tr>
    </w:tbl>
    <w:p>
      <w:pPr>
        <w:ind w:firstLine="420"/>
      </w:pPr>
      <w:r>
        <w:t>HUPA上的结果略逊于OhioT1DM（30min MAE 0.631 vs 0.552），这是预期中的——T2DM患者的血糖波动比T1DM患者更平缓（更少的胰岛素诱导波动），但也更受饮食和运动等非胰岛素因素的影响，这些因素在HUPA数据集中的标注不如OhioT1DM完整。</w:t>
      </w:r>
    </w:p>
    <w:p>
      <w:r>
        <w:rPr>
          <w:b/>
          <w:sz w:val="22"/>
        </w:rPr>
        <w:t>6.2.3 Clarke误差网格分析</w:t>
      </w:r>
    </w:p>
    <w:p>
      <w:pPr>
        <w:ind w:firstLine="420"/>
      </w:pPr>
      <w:r>
        <w:t>30分钟预测时域的Clarke EGA分布（OhioT1DM LOPO-CV）：</w:t>
      </w:r>
    </w:p>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sz w:val="18"/>
              </w:rPr>
              <w:t>区域</w:t>
            </w:r>
          </w:p>
        </w:tc>
        <w:tc>
          <w:tcPr>
            <w:tcW w:type="dxa" w:w="2878"/>
          </w:tcPr>
          <w:p>
            <w:pPr>
              <w:jc w:val="center"/>
            </w:pPr>
            <w:r>
              <w:rPr>
                <w:sz w:val="18"/>
              </w:rPr>
              <w:t>百分比</w:t>
            </w:r>
          </w:p>
        </w:tc>
        <w:tc>
          <w:tcPr>
            <w:tcW w:type="dxa" w:w="2878"/>
          </w:tcPr>
          <w:p>
            <w:pPr>
              <w:jc w:val="center"/>
            </w:pPr>
            <w:r>
              <w:rPr>
                <w:sz w:val="18"/>
              </w:rPr>
              <w:t>临床含义</w:t>
            </w:r>
          </w:p>
        </w:tc>
      </w:tr>
    </w:tbl>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sz w:val="18"/>
              </w:rPr>
              <w:t>A区</w:t>
            </w:r>
          </w:p>
        </w:tc>
        <w:tc>
          <w:tcPr>
            <w:tcW w:type="dxa" w:w="2878"/>
          </w:tcPr>
          <w:p>
            <w:pPr>
              <w:jc w:val="center"/>
            </w:pPr>
            <w:r>
              <w:rPr>
                <w:sz w:val="18"/>
              </w:rPr>
              <w:t>92.4%</w:t>
            </w:r>
          </w:p>
        </w:tc>
        <w:tc>
          <w:tcPr>
            <w:tcW w:type="dxa" w:w="2878"/>
          </w:tcPr>
          <w:p>
            <w:pPr>
              <w:jc w:val="center"/>
            </w:pPr>
            <w:r>
              <w:rPr>
                <w:sz w:val="18"/>
              </w:rPr>
              <w:t>临床准确（允许误差±20%）</w:t>
            </w:r>
          </w:p>
        </w:tc>
      </w:tr>
    </w:tbl>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sz w:val="18"/>
              </w:rPr>
              <w:t>B区</w:t>
            </w:r>
          </w:p>
        </w:tc>
        <w:tc>
          <w:tcPr>
            <w:tcW w:type="dxa" w:w="2878"/>
          </w:tcPr>
          <w:p>
            <w:pPr>
              <w:jc w:val="center"/>
            </w:pPr>
            <w:r>
              <w:rPr>
                <w:sz w:val="18"/>
              </w:rPr>
              <w:t>5.7%</w:t>
            </w:r>
          </w:p>
        </w:tc>
        <w:tc>
          <w:tcPr>
            <w:tcW w:type="dxa" w:w="2878"/>
          </w:tcPr>
          <w:p>
            <w:pPr>
              <w:jc w:val="center"/>
            </w:pPr>
            <w:r>
              <w:rPr>
                <w:sz w:val="18"/>
              </w:rPr>
              <w:t>良性误差（不会导致不当治疗）</w:t>
            </w:r>
          </w:p>
        </w:tc>
      </w:tr>
    </w:tbl>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sz w:val="18"/>
              </w:rPr>
              <w:t>C区</w:t>
            </w:r>
          </w:p>
        </w:tc>
        <w:tc>
          <w:tcPr>
            <w:tcW w:type="dxa" w:w="2878"/>
          </w:tcPr>
          <w:p>
            <w:pPr>
              <w:jc w:val="center"/>
            </w:pPr>
            <w:r>
              <w:rPr>
                <w:sz w:val="18"/>
              </w:rPr>
              <w:t>0.3%</w:t>
            </w:r>
          </w:p>
        </w:tc>
        <w:tc>
          <w:tcPr>
            <w:tcW w:type="dxa" w:w="2878"/>
          </w:tcPr>
          <w:p>
            <w:pPr>
              <w:jc w:val="center"/>
            </w:pPr>
            <w:r>
              <w:rPr>
                <w:sz w:val="18"/>
              </w:rPr>
              <w:t>不必要的治疗</w:t>
            </w:r>
          </w:p>
        </w:tc>
      </w:tr>
    </w:tbl>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sz w:val="18"/>
              </w:rPr>
              <w:t>D区</w:t>
            </w:r>
          </w:p>
        </w:tc>
        <w:tc>
          <w:tcPr>
            <w:tcW w:type="dxa" w:w="2878"/>
          </w:tcPr>
          <w:p>
            <w:pPr>
              <w:jc w:val="center"/>
            </w:pPr>
            <w:r>
              <w:rPr>
                <w:sz w:val="18"/>
              </w:rPr>
              <w:t>1.6%</w:t>
            </w:r>
          </w:p>
        </w:tc>
        <w:tc>
          <w:tcPr>
            <w:tcW w:type="dxa" w:w="2878"/>
          </w:tcPr>
          <w:p>
            <w:pPr>
              <w:jc w:val="center"/>
            </w:pPr>
            <w:r>
              <w:rPr>
                <w:sz w:val="18"/>
              </w:rPr>
              <w:t>漏检显著异常</w:t>
            </w:r>
          </w:p>
        </w:tc>
      </w:tr>
    </w:tbl>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sz w:val="18"/>
              </w:rPr>
              <w:t>E区</w:t>
            </w:r>
          </w:p>
        </w:tc>
        <w:tc>
          <w:tcPr>
            <w:tcW w:type="dxa" w:w="2878"/>
          </w:tcPr>
          <w:p>
            <w:pPr>
              <w:jc w:val="center"/>
            </w:pPr>
            <w:r>
              <w:rPr>
                <w:sz w:val="18"/>
              </w:rPr>
              <w:t>0.0%</w:t>
            </w:r>
          </w:p>
        </w:tc>
        <w:tc>
          <w:tcPr>
            <w:tcW w:type="dxa" w:w="2878"/>
          </w:tcPr>
          <w:p>
            <w:pPr>
              <w:jc w:val="center"/>
            </w:pPr>
            <w:r>
              <w:rPr>
                <w:sz w:val="18"/>
              </w:rPr>
              <w:t>混淆高低血糖治疗</w:t>
            </w:r>
          </w:p>
        </w:tc>
      </w:tr>
    </w:tbl>
    <w:p>
      <w:pPr>
        <w:ind w:firstLine="420"/>
      </w:pPr>
      <w:r>
        <w:t>零E区结果（没有预测值与实际值符号相反的大误差）表明系统在临床上具有足够的安全性——不会将高血糖预测为低血糖或反之。D区的1.6%落在低血糖范围——在血糖较低时相对误差更大——这是需要在低血糖预警逻辑中通过保守阈值（宁可多报不漏报）来管理的已知局限性。</w:t>
      </w:r>
    </w:p>
    <w:p>
      <w:r>
        <w:rPr>
          <w:rFonts w:ascii="黑体" w:hAnsi="黑体"/>
          <w:b/>
          <w:sz w:val="24"/>
        </w:rPr>
        <w:t>6.3 Dalla Man个性化效果验证</w:t>
      </w:r>
    </w:p>
    <w:p>
      <w:r>
        <w:rPr>
          <w:b/>
          <w:sz w:val="22"/>
        </w:rPr>
        <w:t>6.3.1 场景测试设计</w:t>
      </w:r>
    </w:p>
    <w:p>
      <w:pPr>
        <w:ind w:firstLine="420"/>
      </w:pPr>
      <w:r>
        <w:t>为验证Dalla Man模型的五项增强和ISF驱动个性化的效果，设计了以下场景测试：</w:t>
      </w:r>
    </w:p>
    <w:p>
      <w:pPr>
        <w:ind w:firstLine="420"/>
      </w:pPr>
      <w:r>
        <w:t>场景A：标准混合餐（60g碳水 + 4U速效胰岛素，餐前15min注射）。 患者ISF=2.0，BW=65kg，T2DM，sigma=3.0。</w:t>
      </w:r>
    </w:p>
    <w:p>
      <w:pPr>
        <w:ind w:firstLine="420"/>
      </w:pPr>
      <w:r>
        <w:t>场景B：大碳水餐（150g碳水 + 8U速效胰岛素）。 同类患者，大餐应激测试。</w:t>
      </w:r>
    </w:p>
    <w:p>
      <w:pPr>
        <w:ind w:firstLine="420"/>
      </w:pPr>
      <w:r>
        <w:t>场景C：小碳水+运动（30g碳水 + 45分钟快走）。 同类患者，运动后胰岛素敏感性增加。</w:t>
      </w:r>
    </w:p>
    <w:p>
      <w:pPr>
        <w:ind w:firstLine="420"/>
      </w:pPr>
      <w:r>
        <w:t>场景D：纯长效胰岛素管理（无bolus，T2DM口服药为主）。 同类患者，仅使用8U甘精胰岛素（长效）。</w:t>
      </w:r>
    </w:p>
    <w:p>
      <w:r>
        <w:rPr>
          <w:b/>
          <w:sz w:val="22"/>
        </w:rPr>
        <w:t>6.3.2 场景A结果（核心场景）</w:t>
      </w:r>
    </w:p>
    <w:p>
      <w:pPr>
        <w:ind w:firstLine="420"/>
      </w:pPr>
      <w:r>
        <w:t>参数配置： ISF=2.0 → isfFactor = 1.5/2.0 = 0.75。个性化参数：kStomach=0.046, VmaxGastric=8.5, Vm0=4.13, VmX=0.138, hepaticBase=2.25, kp3=0.040。</w:t>
      </w:r>
    </w:p>
    <w:p>
      <w:pPr>
        <w:ind w:firstLine="420"/>
      </w:pPr>
      <w:r>
        <w:t>群体参数（默认，无个性化，无增强）：</w:t>
      </w:r>
    </w:p>
    <w:p>
      <w:pPr>
        <w:ind w:firstLine="420"/>
      </w:pPr>
      <w:r>
        <w:t>t=0: 6.5 (空腹)</w:t>
      </w:r>
    </w:p>
    <w:p>
      <w:pPr>
        <w:ind w:firstLine="420"/>
      </w:pPr>
      <w:r>
        <w:t>t=30min: 8.2 ↑</w:t>
      </w:r>
    </w:p>
    <w:p>
      <w:pPr>
        <w:ind w:firstLine="420"/>
      </w:pPr>
      <w:r>
        <w:t>t=60min (进餐): 10.6 ↑↑</w:t>
      </w:r>
    </w:p>
    <w:p>
      <w:pPr>
        <w:ind w:firstLine="420"/>
      </w:pPr>
      <w:r>
        <w:t>t=90min: 13.4 ↑↑↑</w:t>
      </w:r>
    </w:p>
    <w:p>
      <w:pPr>
        <w:ind w:firstLine="420"/>
      </w:pPr>
      <w:r>
        <w:t>t=120min: 14.8 ↑↑↑↑ (峰值)</w:t>
      </w:r>
    </w:p>
    <w:p>
      <w:pPr>
        <w:ind w:firstLine="420"/>
      </w:pPr>
      <w:r>
        <w:t>t=180min: 12.1 ↓</w:t>
      </w:r>
    </w:p>
    <w:p>
      <w:pPr>
        <w:ind w:firstLine="420"/>
      </w:pPr>
      <w:r>
        <w:t>个性化参数+五项增强（MM+Vmax+sigma+长效+活动量）：</w:t>
      </w:r>
    </w:p>
    <w:p>
      <w:pPr>
        <w:ind w:firstLine="420"/>
      </w:pPr>
      <w:r>
        <w:t>t=0: 6.5 (空腹)</w:t>
      </w:r>
    </w:p>
    <w:p>
      <w:pPr>
        <w:ind w:firstLine="420"/>
      </w:pPr>
      <w:r>
        <w:t>t=30min: 7.8 ↑</w:t>
      </w:r>
    </w:p>
    <w:p>
      <w:pPr>
        <w:ind w:firstLine="420"/>
      </w:pPr>
      <w:r>
        <w:t>t=60min (进餐): 9.2 ↑</w:t>
      </w:r>
    </w:p>
    <w:p>
      <w:pPr>
        <w:ind w:firstLine="420"/>
      </w:pPr>
      <w:r>
        <w:t>t=90min: 9.8 ↑ (峰值)</w:t>
      </w:r>
    </w:p>
    <w:p>
      <w:pPr>
        <w:ind w:firstLine="420"/>
      </w:pPr>
      <w:r>
        <w:t>t=120min: 9.4 ↓</w:t>
      </w:r>
    </w:p>
    <w:p>
      <w:pPr>
        <w:ind w:firstLine="420"/>
      </w:pPr>
      <w:r>
        <w:t>t=150min: 8.5 ↓</w:t>
      </w:r>
    </w:p>
    <w:p>
      <w:pPr>
        <w:ind w:firstLine="420"/>
      </w:pPr>
      <w:r>
        <w:t>t=180min: 7.6 ↓</w:t>
      </w:r>
    </w:p>
    <w:p>
      <w:pPr>
        <w:ind w:firstLine="420"/>
      </w:pPr>
      <w:r>
        <w:t>实测参考（该患者的典型进餐响应）： 峰值约8-10 mmol/L，2-3小时回落至7-8 mmol/L。</w:t>
      </w:r>
    </w:p>
    <w:p>
      <w:pPr>
        <w:ind w:firstLine="420"/>
      </w:pPr>
      <w:r>
        <w:t>分析： 群体参数的预测峰值（14.8 mmol/L）显著高于患者的实际典型峰值（8-10 mmol/L），因为群体参数基于西方人群的平均值（更低的基础胰岛素抵抗、更快的胃排空）。个性化参数将预测峰值降低至9.8 mmol/L（↓33%），与实测参考一致。关键贡献因素：（1）VmaxGastric约束将大餐初始排空速率从约2500mg/min限制到约553mg/min；（2）MM动力学在血糖&gt;9 mmol/L时产生清糖速率饱和，防止了"断崖式下降"；（3）sigma=3.0的内源分泌在餐后高血糖期间贡献了额外胰岛素效应。</w:t>
      </w:r>
    </w:p>
    <w:p>
      <w:r>
        <w:rPr>
          <w:b/>
          <w:sz w:val="22"/>
        </w:rPr>
        <w:t>6.3.3 场景B结果（大餐120g碳水）</w:t>
      </w:r>
    </w:p>
    <w:p>
      <w:pPr>
        <w:ind w:firstLine="420"/>
      </w:pPr>
      <w:r>
        <w:t>个性化参数预测：</w:t>
      </w:r>
    </w:p>
    <w:p>
      <w:pPr>
        <w:ind w:firstLine="420"/>
      </w:pPr>
      <w:r>
        <w:t>t=0: 7.2 (餐前略高)</w:t>
      </w:r>
    </w:p>
    <w:p>
      <w:pPr>
        <w:ind w:firstLine="420"/>
      </w:pPr>
      <w:r>
        <w:t>t=30min: 9.5 ↑↑</w:t>
      </w:r>
    </w:p>
    <w:p>
      <w:pPr>
        <w:ind w:firstLine="420"/>
      </w:pPr>
      <w:r>
        <w:t>t=60min (进餐): 12.8 ↑↑</w:t>
      </w:r>
    </w:p>
    <w:p>
      <w:pPr>
        <w:ind w:firstLine="420"/>
      </w:pPr>
      <w:r>
        <w:t>t=90min: 13.2 ↑ (峰值，Vmax约束生效)</w:t>
      </w:r>
    </w:p>
    <w:p>
      <w:pPr>
        <w:ind w:firstLine="420"/>
      </w:pPr>
      <w:r>
        <w:t>t=120min: 12.0 ↓</w:t>
      </w:r>
    </w:p>
    <w:p>
      <w:pPr>
        <w:ind w:firstLine="420"/>
      </w:pPr>
      <w:r>
        <w:t>t=180min: 9.5 ↓</w:t>
      </w:r>
    </w:p>
    <w:p>
      <w:pPr>
        <w:ind w:firstLine="420"/>
      </w:pPr>
      <w:r>
        <w:t>分析： 150g碳水餐的预测峰值（13.2）在生理合理范围内（无Vmax约束时预测&gt;18）。VmaxGastric约束是核心保障——在没有约束的情况下，150g→初始排空速率约7500mg/min，远超Vmax=553mg/min（65kg）。</w:t>
      </w:r>
    </w:p>
    <w:p>
      <w:r>
        <w:rPr>
          <w:b/>
          <w:sz w:val="22"/>
        </w:rPr>
        <w:t>6.3.4 消融分析</w:t>
      </w:r>
    </w:p>
    <w:p>
      <w:pPr>
        <w:ind w:firstLine="420"/>
      </w:pPr>
      <w:r>
        <w:t>在场景A上进行消融实验，每次移除一个增强模块，观察对预测峰值的影响：</w:t>
      </w:r>
    </w:p>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sz w:val="18"/>
              </w:rPr>
              <w:t>配置</w:t>
            </w:r>
          </w:p>
        </w:tc>
        <w:tc>
          <w:tcPr>
            <w:tcW w:type="dxa" w:w="2878"/>
          </w:tcPr>
          <w:p>
            <w:pPr>
              <w:jc w:val="center"/>
            </w:pPr>
            <w:r>
              <w:rPr>
                <w:sz w:val="18"/>
              </w:rPr>
              <w:t>预测峰值 (mmol/L)</w:t>
            </w:r>
          </w:p>
        </w:tc>
        <w:tc>
          <w:tcPr>
            <w:tcW w:type="dxa" w:w="2878"/>
          </w:tcPr>
          <w:p>
            <w:pPr>
              <w:jc w:val="center"/>
            </w:pPr>
            <w:r>
              <w:rPr>
                <w:sz w:val="18"/>
              </w:rPr>
              <w:t>峰值偏差 vs 参考(9)</w:t>
            </w:r>
          </w:p>
        </w:tc>
      </w:tr>
    </w:tbl>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sz w:val="18"/>
              </w:rPr>
              <w:t>完整模型（五项增强+ISF个性化）</w:t>
            </w:r>
          </w:p>
        </w:tc>
        <w:tc>
          <w:tcPr>
            <w:tcW w:type="dxa" w:w="2878"/>
          </w:tcPr>
          <w:p>
            <w:pPr>
              <w:jc w:val="center"/>
            </w:pPr>
            <w:r>
              <w:rPr>
                <w:sz w:val="18"/>
              </w:rPr>
              <w:t>9.8</w:t>
            </w:r>
          </w:p>
        </w:tc>
        <w:tc>
          <w:tcPr>
            <w:tcW w:type="dxa" w:w="2878"/>
          </w:tcPr>
          <w:p>
            <w:pPr>
              <w:jc w:val="center"/>
            </w:pPr>
            <w:r>
              <w:rPr>
                <w:sz w:val="18"/>
              </w:rPr>
              <w:t>+0.8 ✅</w:t>
            </w:r>
          </w:p>
        </w:tc>
      </w:tr>
    </w:tbl>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sz w:val="18"/>
              </w:rPr>
              <w:t>- 移除MM（恢复线性Uid）</w:t>
            </w:r>
          </w:p>
        </w:tc>
        <w:tc>
          <w:tcPr>
            <w:tcW w:type="dxa" w:w="2878"/>
          </w:tcPr>
          <w:p>
            <w:pPr>
              <w:jc w:val="center"/>
            </w:pPr>
            <w:r>
              <w:rPr>
                <w:sz w:val="18"/>
              </w:rPr>
              <w:t>8.2 → 7.0（60min）</w:t>
            </w:r>
          </w:p>
        </w:tc>
        <w:tc>
          <w:tcPr>
            <w:tcW w:type="dxa" w:w="2878"/>
          </w:tcPr>
          <w:p>
            <w:pPr>
              <w:jc w:val="center"/>
            </w:pPr>
            <w:r>
              <w:rPr>
                <w:sz w:val="18"/>
              </w:rPr>
              <w:t>-2.0（过度清糖）</w:t>
            </w:r>
          </w:p>
        </w:tc>
      </w:tr>
    </w:tbl>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sz w:val="18"/>
              </w:rPr>
              <w:t>- 移除VmaxGastric约束</w:t>
            </w:r>
          </w:p>
        </w:tc>
        <w:tc>
          <w:tcPr>
            <w:tcW w:type="dxa" w:w="2878"/>
          </w:tcPr>
          <w:p>
            <w:pPr>
              <w:jc w:val="center"/>
            </w:pPr>
            <w:r>
              <w:rPr>
                <w:sz w:val="18"/>
              </w:rPr>
              <w:t>14.8</w:t>
            </w:r>
          </w:p>
        </w:tc>
        <w:tc>
          <w:tcPr>
            <w:tcW w:type="dxa" w:w="2878"/>
          </w:tcPr>
          <w:p>
            <w:pPr>
              <w:jc w:val="center"/>
            </w:pPr>
            <w:r>
              <w:rPr>
                <w:sz w:val="18"/>
              </w:rPr>
              <w:t>+5.8 ❌</w:t>
            </w:r>
          </w:p>
        </w:tc>
      </w:tr>
    </w:tbl>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sz w:val="18"/>
              </w:rPr>
              <w:t>- 移除sigma（=0）</w:t>
            </w:r>
          </w:p>
        </w:tc>
        <w:tc>
          <w:tcPr>
            <w:tcW w:type="dxa" w:w="2878"/>
          </w:tcPr>
          <w:p>
            <w:pPr>
              <w:jc w:val="center"/>
            </w:pPr>
            <w:r>
              <w:rPr>
                <w:sz w:val="18"/>
              </w:rPr>
              <w:t>11.2</w:t>
            </w:r>
          </w:p>
        </w:tc>
        <w:tc>
          <w:tcPr>
            <w:tcW w:type="dxa" w:w="2878"/>
          </w:tcPr>
          <w:p>
            <w:pPr>
              <w:jc w:val="center"/>
            </w:pPr>
            <w:r>
              <w:rPr>
                <w:sz w:val="18"/>
              </w:rPr>
              <w:t>+2.2</w:t>
            </w:r>
          </w:p>
        </w:tc>
      </w:tr>
    </w:tbl>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sz w:val="18"/>
              </w:rPr>
              <w:t>- 移除ISF个性化（使用群体参数）</w:t>
            </w:r>
          </w:p>
        </w:tc>
        <w:tc>
          <w:tcPr>
            <w:tcW w:type="dxa" w:w="2878"/>
          </w:tcPr>
          <w:p>
            <w:pPr>
              <w:jc w:val="center"/>
            </w:pPr>
            <w:r>
              <w:rPr>
                <w:sz w:val="18"/>
              </w:rPr>
              <w:t>14.8</w:t>
            </w:r>
          </w:p>
        </w:tc>
        <w:tc>
          <w:tcPr>
            <w:tcW w:type="dxa" w:w="2878"/>
          </w:tcPr>
          <w:p>
            <w:pPr>
              <w:jc w:val="center"/>
            </w:pPr>
            <w:r>
              <w:rPr>
                <w:sz w:val="18"/>
              </w:rPr>
              <w:t>+5.8 ❌</w:t>
            </w:r>
          </w:p>
        </w:tc>
      </w:tr>
    </w:tbl>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sz w:val="18"/>
              </w:rPr>
              <w:t>- 移除长效胰岛素建模</w:t>
            </w:r>
          </w:p>
        </w:tc>
        <w:tc>
          <w:tcPr>
            <w:tcW w:type="dxa" w:w="2878"/>
          </w:tcPr>
          <w:p>
            <w:pPr>
              <w:jc w:val="center"/>
            </w:pPr>
            <w:r>
              <w:rPr>
                <w:sz w:val="18"/>
              </w:rPr>
              <w:t>9.2</w:t>
            </w:r>
          </w:p>
        </w:tc>
        <w:tc>
          <w:tcPr>
            <w:tcW w:type="dxa" w:w="2878"/>
          </w:tcPr>
          <w:p>
            <w:pPr>
              <w:jc w:val="center"/>
            </w:pPr>
            <w:r>
              <w:rPr>
                <w:sz w:val="18"/>
              </w:rPr>
              <w:t>+0.2（微量影响，bolus场景）</w:t>
            </w:r>
          </w:p>
        </w:tc>
      </w:tr>
    </w:tbl>
    <w:p>
      <w:pPr>
        <w:ind w:firstLine="420"/>
      </w:pPr>
      <w:r>
        <w:t>VmaxGastric约束和ISF个性化是对预测准确性贡献最大的两个因素（各自将峰值偏差从+5.8降低至+2.2和+0.8以内）。Michaelis-Menten升级对预测峰值的影响相对较小，但对预测曲线的形状（尤其下降阶段）有显著改善——线性Uid导致下降斜率过陡（断崖式），MM产生生理上合理的渐进平缓下降。</w:t>
      </w:r>
    </w:p>
    <w:p>
      <w:r>
        <w:rPr>
          <w:rFonts w:ascii="黑体" w:hAnsi="黑体"/>
          <w:b/>
          <w:sz w:val="24"/>
        </w:rPr>
        <w:t>6.4 增量学习效果分析</w:t>
      </w:r>
    </w:p>
    <w:p>
      <w:r>
        <w:rPr>
          <w:b/>
          <w:sz w:val="22"/>
        </w:rPr>
        <w:t>6.4.1 OnlineLearner收敛性</w:t>
      </w:r>
    </w:p>
    <w:p>
      <w:pPr>
        <w:ind w:firstLine="420"/>
      </w:pPr>
      <w:r>
        <w:t>在5天实测数据上模拟在线学习过程（1,438条记录，按时间顺序处理）：</w:t>
      </w:r>
    </w:p>
    <w:tbl>
      <w:tblPr>
        <w:tblStyle w:val="TableGrid"/>
        <w:tblW w:type="auto" w:w="0"/>
        <w:tblLook w:firstColumn="1" w:firstRow="1" w:lastColumn="0" w:lastRow="0" w:noHBand="0" w:noVBand="1" w:val="04A0"/>
      </w:tblPr>
      <w:tblGrid>
        <w:gridCol w:w="1439"/>
        <w:gridCol w:w="1439"/>
        <w:gridCol w:w="1439"/>
        <w:gridCol w:w="1439"/>
        <w:gridCol w:w="1439"/>
        <w:gridCol w:w="1439"/>
      </w:tblGrid>
      <w:tr>
        <w:tc>
          <w:tcPr>
            <w:tcW w:type="dxa" w:w="1439"/>
          </w:tcPr>
          <w:p>
            <w:pPr>
              <w:jc w:val="center"/>
            </w:pPr>
            <w:r>
              <w:rPr>
                <w:sz w:val="18"/>
              </w:rPr>
              <w:t>天数</w:t>
            </w:r>
          </w:p>
        </w:tc>
        <w:tc>
          <w:tcPr>
            <w:tcW w:type="dxa" w:w="1439"/>
          </w:tcPr>
          <w:p>
            <w:pPr>
              <w:jc w:val="center"/>
            </w:pPr>
            <w:r>
              <w:rPr>
                <w:sz w:val="18"/>
              </w:rPr>
              <w:t>更新次数</w:t>
            </w:r>
          </w:p>
        </w:tc>
        <w:tc>
          <w:tcPr>
            <w:tcW w:type="dxa" w:w="1439"/>
          </w:tcPr>
          <w:p>
            <w:pPr>
              <w:jc w:val="center"/>
            </w:pPr>
            <w:r>
              <w:rPr>
                <w:sz w:val="18"/>
              </w:rPr>
              <w:t>空腹基线(mmol/L)</w:t>
            </w:r>
          </w:p>
        </w:tc>
        <w:tc>
          <w:tcPr>
            <w:tcW w:type="dxa" w:w="1439"/>
          </w:tcPr>
          <w:p>
            <w:pPr>
              <w:jc w:val="center"/>
            </w:pPr>
            <w:r>
              <w:rPr>
                <w:sz w:val="18"/>
              </w:rPr>
              <w:t>餐后峰值(mmol/L)</w:t>
            </w:r>
          </w:p>
        </w:tc>
        <w:tc>
          <w:tcPr>
            <w:tcW w:type="dxa" w:w="1439"/>
          </w:tcPr>
          <w:p>
            <w:pPr>
              <w:jc w:val="center"/>
            </w:pPr>
            <w:r>
              <w:rPr>
                <w:sz w:val="18"/>
              </w:rPr>
              <w:t>CV%</w:t>
            </w:r>
          </w:p>
        </w:tc>
        <w:tc>
          <w:tcPr>
            <w:tcW w:type="dxa" w:w="1439"/>
          </w:tcPr>
          <w:p>
            <w:pPr>
              <w:jc w:val="center"/>
            </w:pPr>
            <w:r>
              <w:rPr>
                <w:sz w:val="18"/>
              </w:rPr>
              <w:t>数据完整度</w:t>
            </w:r>
          </w:p>
        </w:tc>
      </w:tr>
    </w:tbl>
    <w:tbl>
      <w:tblPr>
        <w:tblStyle w:val="TableGrid"/>
        <w:tblW w:type="auto" w:w="0"/>
        <w:tblLook w:firstColumn="1" w:firstRow="1" w:lastColumn="0" w:lastRow="0" w:noHBand="0" w:noVBand="1" w:val="04A0"/>
      </w:tblPr>
      <w:tblGrid>
        <w:gridCol w:w="1439"/>
        <w:gridCol w:w="1439"/>
        <w:gridCol w:w="1439"/>
        <w:gridCol w:w="1439"/>
        <w:gridCol w:w="1439"/>
        <w:gridCol w:w="1439"/>
      </w:tblGrid>
      <w:tr>
        <w:tc>
          <w:tcPr>
            <w:tcW w:type="dxa" w:w="1439"/>
          </w:tcPr>
          <w:p>
            <w:pPr>
              <w:jc w:val="center"/>
            </w:pPr>
            <w:r>
              <w:rPr>
                <w:sz w:val="18"/>
              </w:rPr>
              <w:t>初始化</w:t>
            </w:r>
          </w:p>
        </w:tc>
        <w:tc>
          <w:tcPr>
            <w:tcW w:type="dxa" w:w="1439"/>
          </w:tcPr>
          <w:p>
            <w:pPr>
              <w:jc w:val="center"/>
            </w:pPr>
            <w:r>
              <w:rPr>
                <w:sz w:val="18"/>
              </w:rPr>
              <w:t>0</w:t>
            </w:r>
          </w:p>
        </w:tc>
        <w:tc>
          <w:tcPr>
            <w:tcW w:type="dxa" w:w="1439"/>
          </w:tcPr>
          <w:p>
            <w:pPr>
              <w:jc w:val="center"/>
            </w:pPr>
            <w:r>
              <w:rPr>
                <w:sz w:val="18"/>
              </w:rPr>
              <w:t>6.0 (默认)</w:t>
            </w:r>
          </w:p>
        </w:tc>
        <w:tc>
          <w:tcPr>
            <w:tcW w:type="dxa" w:w="1439"/>
          </w:tcPr>
          <w:p>
            <w:pPr>
              <w:jc w:val="center"/>
            </w:pPr>
            <w:r>
              <w:rPr>
                <w:sz w:val="18"/>
              </w:rPr>
              <w:t>9.0 (默认)</w:t>
            </w:r>
          </w:p>
        </w:tc>
        <w:tc>
          <w:tcPr>
            <w:tcW w:type="dxa" w:w="1439"/>
          </w:tcPr>
          <w:p>
            <w:pPr>
              <w:jc w:val="center"/>
            </w:pPr>
            <w:r>
              <w:rPr>
                <w:sz w:val="18"/>
              </w:rPr>
              <w:t>15.0 (默认)</w:t>
            </w:r>
          </w:p>
        </w:tc>
        <w:tc>
          <w:tcPr>
            <w:tcW w:type="dxa" w:w="1439"/>
          </w:tcPr>
          <w:p>
            <w:pPr>
              <w:jc w:val="center"/>
            </w:pPr>
            <w:r>
              <w:rPr>
                <w:sz w:val="18"/>
              </w:rPr>
              <w:t>0.0</w:t>
            </w:r>
          </w:p>
        </w:tc>
      </w:tr>
    </w:tbl>
    <w:tbl>
      <w:tblPr>
        <w:tblStyle w:val="TableGrid"/>
        <w:tblW w:type="auto" w:w="0"/>
        <w:tblLook w:firstColumn="1" w:firstRow="1" w:lastColumn="0" w:lastRow="0" w:noHBand="0" w:noVBand="1" w:val="04A0"/>
      </w:tblPr>
      <w:tblGrid>
        <w:gridCol w:w="1439"/>
        <w:gridCol w:w="1439"/>
        <w:gridCol w:w="1439"/>
        <w:gridCol w:w="1439"/>
        <w:gridCol w:w="1439"/>
        <w:gridCol w:w="1439"/>
      </w:tblGrid>
      <w:tr>
        <w:tc>
          <w:tcPr>
            <w:tcW w:type="dxa" w:w="1439"/>
          </w:tcPr>
          <w:p>
            <w:pPr>
              <w:jc w:val="center"/>
            </w:pPr>
            <w:r>
              <w:rPr>
                <w:sz w:val="18"/>
              </w:rPr>
              <w:t>第1天</w:t>
            </w:r>
          </w:p>
        </w:tc>
        <w:tc>
          <w:tcPr>
            <w:tcW w:type="dxa" w:w="1439"/>
          </w:tcPr>
          <w:p>
            <w:pPr>
              <w:jc w:val="center"/>
            </w:pPr>
            <w:r>
              <w:rPr>
                <w:sz w:val="18"/>
              </w:rPr>
              <w:t>17</w:t>
            </w:r>
          </w:p>
        </w:tc>
        <w:tc>
          <w:tcPr>
            <w:tcW w:type="dxa" w:w="1439"/>
          </w:tcPr>
          <w:p>
            <w:pPr>
              <w:jc w:val="center"/>
            </w:pPr>
            <w:r>
              <w:rPr>
                <w:sz w:val="18"/>
              </w:rPr>
              <w:t>6.8</w:t>
            </w:r>
          </w:p>
        </w:tc>
        <w:tc>
          <w:tcPr>
            <w:tcW w:type="dxa" w:w="1439"/>
          </w:tcPr>
          <w:p>
            <w:pPr>
              <w:jc w:val="center"/>
            </w:pPr>
            <w:r>
              <w:rPr>
                <w:sz w:val="18"/>
              </w:rPr>
              <w:t>10.2</w:t>
            </w:r>
          </w:p>
        </w:tc>
        <w:tc>
          <w:tcPr>
            <w:tcW w:type="dxa" w:w="1439"/>
          </w:tcPr>
          <w:p>
            <w:pPr>
              <w:jc w:val="center"/>
            </w:pPr>
            <w:r>
              <w:rPr>
                <w:sz w:val="18"/>
              </w:rPr>
              <w:t>22.5</w:t>
            </w:r>
          </w:p>
        </w:tc>
        <w:tc>
          <w:tcPr>
            <w:tcW w:type="dxa" w:w="1439"/>
          </w:tcPr>
          <w:p>
            <w:pPr>
              <w:jc w:val="center"/>
            </w:pPr>
            <w:r>
              <w:rPr>
                <w:sz w:val="18"/>
              </w:rPr>
              <w:t>0.30</w:t>
            </w:r>
          </w:p>
        </w:tc>
      </w:tr>
    </w:tbl>
    <w:tbl>
      <w:tblPr>
        <w:tblStyle w:val="TableGrid"/>
        <w:tblW w:type="auto" w:w="0"/>
        <w:tblLook w:firstColumn="1" w:firstRow="1" w:lastColumn="0" w:lastRow="0" w:noHBand="0" w:noVBand="1" w:val="04A0"/>
      </w:tblPr>
      <w:tblGrid>
        <w:gridCol w:w="1439"/>
        <w:gridCol w:w="1439"/>
        <w:gridCol w:w="1439"/>
        <w:gridCol w:w="1439"/>
        <w:gridCol w:w="1439"/>
        <w:gridCol w:w="1439"/>
      </w:tblGrid>
      <w:tr>
        <w:tc>
          <w:tcPr>
            <w:tcW w:type="dxa" w:w="1439"/>
          </w:tcPr>
          <w:p>
            <w:pPr>
              <w:jc w:val="center"/>
            </w:pPr>
            <w:r>
              <w:rPr>
                <w:sz w:val="18"/>
              </w:rPr>
              <w:t>第2天</w:t>
            </w:r>
          </w:p>
        </w:tc>
        <w:tc>
          <w:tcPr>
            <w:tcW w:type="dxa" w:w="1439"/>
          </w:tcPr>
          <w:p>
            <w:pPr>
              <w:jc w:val="center"/>
            </w:pPr>
            <w:r>
              <w:rPr>
                <w:sz w:val="18"/>
              </w:rPr>
              <w:t>34</w:t>
            </w:r>
          </w:p>
        </w:tc>
        <w:tc>
          <w:tcPr>
            <w:tcW w:type="dxa" w:w="1439"/>
          </w:tcPr>
          <w:p>
            <w:pPr>
              <w:jc w:val="center"/>
            </w:pPr>
            <w:r>
              <w:rPr>
                <w:sz w:val="18"/>
              </w:rPr>
              <w:t>7.0</w:t>
            </w:r>
          </w:p>
        </w:tc>
        <w:tc>
          <w:tcPr>
            <w:tcW w:type="dxa" w:w="1439"/>
          </w:tcPr>
          <w:p>
            <w:pPr>
              <w:jc w:val="center"/>
            </w:pPr>
            <w:r>
              <w:rPr>
                <w:sz w:val="18"/>
              </w:rPr>
              <w:t>10.4</w:t>
            </w:r>
          </w:p>
        </w:tc>
        <w:tc>
          <w:tcPr>
            <w:tcW w:type="dxa" w:w="1439"/>
          </w:tcPr>
          <w:p>
            <w:pPr>
              <w:jc w:val="center"/>
            </w:pPr>
            <w:r>
              <w:rPr>
                <w:sz w:val="18"/>
              </w:rPr>
              <w:t>21.8</w:t>
            </w:r>
          </w:p>
        </w:tc>
        <w:tc>
          <w:tcPr>
            <w:tcW w:type="dxa" w:w="1439"/>
          </w:tcPr>
          <w:p>
            <w:pPr>
              <w:jc w:val="center"/>
            </w:pPr>
            <w:r>
              <w:rPr>
                <w:sz w:val="18"/>
              </w:rPr>
              <w:t>0.33</w:t>
            </w:r>
          </w:p>
        </w:tc>
      </w:tr>
    </w:tbl>
    <w:tbl>
      <w:tblPr>
        <w:tblStyle w:val="TableGrid"/>
        <w:tblW w:type="auto" w:w="0"/>
        <w:tblLook w:firstColumn="1" w:firstRow="1" w:lastColumn="0" w:lastRow="0" w:noHBand="0" w:noVBand="1" w:val="04A0"/>
      </w:tblPr>
      <w:tblGrid>
        <w:gridCol w:w="1439"/>
        <w:gridCol w:w="1439"/>
        <w:gridCol w:w="1439"/>
        <w:gridCol w:w="1439"/>
        <w:gridCol w:w="1439"/>
        <w:gridCol w:w="1439"/>
      </w:tblGrid>
      <w:tr>
        <w:tc>
          <w:tcPr>
            <w:tcW w:type="dxa" w:w="1439"/>
          </w:tcPr>
          <w:p>
            <w:pPr>
              <w:jc w:val="center"/>
            </w:pPr>
            <w:r>
              <w:rPr>
                <w:sz w:val="18"/>
              </w:rPr>
              <w:t>第3天</w:t>
            </w:r>
          </w:p>
        </w:tc>
        <w:tc>
          <w:tcPr>
            <w:tcW w:type="dxa" w:w="1439"/>
          </w:tcPr>
          <w:p>
            <w:pPr>
              <w:jc w:val="center"/>
            </w:pPr>
            <w:r>
              <w:rPr>
                <w:sz w:val="18"/>
              </w:rPr>
              <w:t>50</w:t>
            </w:r>
          </w:p>
        </w:tc>
        <w:tc>
          <w:tcPr>
            <w:tcW w:type="dxa" w:w="1439"/>
          </w:tcPr>
          <w:p>
            <w:pPr>
              <w:jc w:val="center"/>
            </w:pPr>
            <w:r>
              <w:rPr>
                <w:sz w:val="18"/>
              </w:rPr>
              <w:t>7.1</w:t>
            </w:r>
          </w:p>
        </w:tc>
        <w:tc>
          <w:tcPr>
            <w:tcW w:type="dxa" w:w="1439"/>
          </w:tcPr>
          <w:p>
            <w:pPr>
              <w:jc w:val="center"/>
            </w:pPr>
            <w:r>
              <w:rPr>
                <w:sz w:val="18"/>
              </w:rPr>
              <w:t>10.3</w:t>
            </w:r>
          </w:p>
        </w:tc>
        <w:tc>
          <w:tcPr>
            <w:tcW w:type="dxa" w:w="1439"/>
          </w:tcPr>
          <w:p>
            <w:pPr>
              <w:jc w:val="center"/>
            </w:pPr>
            <w:r>
              <w:rPr>
                <w:sz w:val="18"/>
              </w:rPr>
              <w:t>21.2</w:t>
            </w:r>
          </w:p>
        </w:tc>
        <w:tc>
          <w:tcPr>
            <w:tcW w:type="dxa" w:w="1439"/>
          </w:tcPr>
          <w:p>
            <w:pPr>
              <w:jc w:val="center"/>
            </w:pPr>
            <w:r>
              <w:rPr>
                <w:sz w:val="18"/>
              </w:rPr>
              <w:t>0.51</w:t>
            </w:r>
          </w:p>
        </w:tc>
      </w:tr>
    </w:tbl>
    <w:tbl>
      <w:tblPr>
        <w:tblStyle w:val="TableGrid"/>
        <w:tblW w:type="auto" w:w="0"/>
        <w:tblLook w:firstColumn="1" w:firstRow="1" w:lastColumn="0" w:lastRow="0" w:noHBand="0" w:noVBand="1" w:val="04A0"/>
      </w:tblPr>
      <w:tblGrid>
        <w:gridCol w:w="1439"/>
        <w:gridCol w:w="1439"/>
        <w:gridCol w:w="1439"/>
        <w:gridCol w:w="1439"/>
        <w:gridCol w:w="1439"/>
        <w:gridCol w:w="1439"/>
      </w:tblGrid>
      <w:tr>
        <w:tc>
          <w:tcPr>
            <w:tcW w:type="dxa" w:w="1439"/>
          </w:tcPr>
          <w:p>
            <w:pPr>
              <w:jc w:val="center"/>
            </w:pPr>
            <w:r>
              <w:rPr>
                <w:sz w:val="18"/>
              </w:rPr>
              <w:t>第4天</w:t>
            </w:r>
          </w:p>
        </w:tc>
        <w:tc>
          <w:tcPr>
            <w:tcW w:type="dxa" w:w="1439"/>
          </w:tcPr>
          <w:p>
            <w:pPr>
              <w:jc w:val="center"/>
            </w:pPr>
            <w:r>
              <w:rPr>
                <w:sz w:val="18"/>
              </w:rPr>
              <w:t>67</w:t>
            </w:r>
          </w:p>
        </w:tc>
        <w:tc>
          <w:tcPr>
            <w:tcW w:type="dxa" w:w="1439"/>
          </w:tcPr>
          <w:p>
            <w:pPr>
              <w:jc w:val="center"/>
            </w:pPr>
            <w:r>
              <w:rPr>
                <w:sz w:val="18"/>
              </w:rPr>
              <w:t>7.1</w:t>
            </w:r>
          </w:p>
        </w:tc>
        <w:tc>
          <w:tcPr>
            <w:tcW w:type="dxa" w:w="1439"/>
          </w:tcPr>
          <w:p>
            <w:pPr>
              <w:jc w:val="center"/>
            </w:pPr>
            <w:r>
              <w:rPr>
                <w:sz w:val="18"/>
              </w:rPr>
              <w:t>10.4</w:t>
            </w:r>
          </w:p>
        </w:tc>
        <w:tc>
          <w:tcPr>
            <w:tcW w:type="dxa" w:w="1439"/>
          </w:tcPr>
          <w:p>
            <w:pPr>
              <w:jc w:val="center"/>
            </w:pPr>
            <w:r>
              <w:rPr>
                <w:sz w:val="18"/>
              </w:rPr>
              <w:t>21.3</w:t>
            </w:r>
          </w:p>
        </w:tc>
        <w:tc>
          <w:tcPr>
            <w:tcW w:type="dxa" w:w="1439"/>
          </w:tcPr>
          <w:p>
            <w:pPr>
              <w:jc w:val="center"/>
            </w:pPr>
            <w:r>
              <w:rPr>
                <w:sz w:val="18"/>
              </w:rPr>
              <w:t>0.56</w:t>
            </w:r>
          </w:p>
        </w:tc>
      </w:tr>
    </w:tbl>
    <w:tbl>
      <w:tblPr>
        <w:tblStyle w:val="TableGrid"/>
        <w:tblW w:type="auto" w:w="0"/>
        <w:tblLook w:firstColumn="1" w:firstRow="1" w:lastColumn="0" w:lastRow="0" w:noHBand="0" w:noVBand="1" w:val="04A0"/>
      </w:tblPr>
      <w:tblGrid>
        <w:gridCol w:w="1439"/>
        <w:gridCol w:w="1439"/>
        <w:gridCol w:w="1439"/>
        <w:gridCol w:w="1439"/>
        <w:gridCol w:w="1439"/>
        <w:gridCol w:w="1439"/>
      </w:tblGrid>
      <w:tr>
        <w:tc>
          <w:tcPr>
            <w:tcW w:type="dxa" w:w="1439"/>
          </w:tcPr>
          <w:p>
            <w:pPr>
              <w:jc w:val="center"/>
            </w:pPr>
            <w:r>
              <w:rPr>
                <w:sz w:val="18"/>
              </w:rPr>
              <w:t>第5天</w:t>
            </w:r>
          </w:p>
        </w:tc>
        <w:tc>
          <w:tcPr>
            <w:tcW w:type="dxa" w:w="1439"/>
          </w:tcPr>
          <w:p>
            <w:pPr>
              <w:jc w:val="center"/>
            </w:pPr>
            <w:r>
              <w:rPr>
                <w:sz w:val="18"/>
              </w:rPr>
              <w:t>83</w:t>
            </w:r>
          </w:p>
        </w:tc>
        <w:tc>
          <w:tcPr>
            <w:tcW w:type="dxa" w:w="1439"/>
          </w:tcPr>
          <w:p>
            <w:pPr>
              <w:jc w:val="center"/>
            </w:pPr>
            <w:r>
              <w:rPr>
                <w:sz w:val="18"/>
              </w:rPr>
              <w:t>7.1</w:t>
            </w:r>
          </w:p>
        </w:tc>
        <w:tc>
          <w:tcPr>
            <w:tcW w:type="dxa" w:w="1439"/>
          </w:tcPr>
          <w:p>
            <w:pPr>
              <w:jc w:val="center"/>
            </w:pPr>
            <w:r>
              <w:rPr>
                <w:sz w:val="18"/>
              </w:rPr>
              <w:t>10.4</w:t>
            </w:r>
          </w:p>
        </w:tc>
        <w:tc>
          <w:tcPr>
            <w:tcW w:type="dxa" w:w="1439"/>
          </w:tcPr>
          <w:p>
            <w:pPr>
              <w:jc w:val="center"/>
            </w:pPr>
            <w:r>
              <w:rPr>
                <w:sz w:val="18"/>
              </w:rPr>
              <w:t>21.2</w:t>
            </w:r>
          </w:p>
        </w:tc>
        <w:tc>
          <w:tcPr>
            <w:tcW w:type="dxa" w:w="1439"/>
          </w:tcPr>
          <w:p>
            <w:pPr>
              <w:jc w:val="center"/>
            </w:pPr>
            <w:r>
              <w:rPr>
                <w:sz w:val="18"/>
              </w:rPr>
              <w:t>0.60</w:t>
            </w:r>
          </w:p>
        </w:tc>
      </w:tr>
    </w:tbl>
    <w:p>
      <w:pPr>
        <w:ind w:firstLine="420"/>
      </w:pPr>
      <w:r>
        <w:t>关键发现：（1）空腹基线在第1天即快速收敛至6.8（距最终值7.1仅差0.3），得益于前10次更新的α=0.3加速学习策略；（2）CV稳定在21.2%，属于临床定义的"稳定型糖尿病"（CV&lt;36%）；（3）数据完整度因手动记录饮食而逐渐从0.3提升至0.6。</w:t>
      </w:r>
    </w:p>
    <w:p>
      <w:r>
        <w:rPr>
          <w:b/>
          <w:sz w:val="22"/>
        </w:rPr>
        <w:t>6.4.2 IncrementalLearner收敛性</w:t>
      </w:r>
    </w:p>
    <w:p>
      <w:pPr>
        <w:ind w:firstLine="420"/>
      </w:pPr>
      <w:r>
        <w:t>增量网络每12条新数据（约1小时）触发一次训练，5天内共触发6次（由于初始的MIN_DATA_POINTS约束）。</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Pr>
                <w:sz w:val="18"/>
              </w:rPr>
              <w:t>触发次数</w:t>
            </w:r>
          </w:p>
        </w:tc>
        <w:tc>
          <w:tcPr>
            <w:tcW w:type="dxa" w:w="1727"/>
          </w:tcPr>
          <w:p>
            <w:pPr>
              <w:jc w:val="center"/>
            </w:pPr>
            <w:r>
              <w:rPr>
                <w:sz w:val="18"/>
              </w:rPr>
              <w:t>数据量</w:t>
            </w:r>
          </w:p>
        </w:tc>
        <w:tc>
          <w:tcPr>
            <w:tcW w:type="dxa" w:w="1727"/>
          </w:tcPr>
          <w:p>
            <w:pPr>
              <w:jc w:val="center"/>
            </w:pPr>
            <w:r>
              <w:rPr>
                <w:sz w:val="18"/>
              </w:rPr>
              <w:t>损失值</w:t>
            </w:r>
          </w:p>
        </w:tc>
        <w:tc>
          <w:tcPr>
            <w:tcW w:type="dxa" w:w="1727"/>
          </w:tcPr>
          <w:p>
            <w:pPr>
              <w:jc w:val="center"/>
            </w:pPr>
            <w:r>
              <w:rPr>
                <w:sz w:val="18"/>
              </w:rPr>
              <w:t>梯度范数</w:t>
            </w:r>
          </w:p>
        </w:tc>
        <w:tc>
          <w:tcPr>
            <w:tcW w:type="dxa" w:w="1727"/>
          </w:tcPr>
          <w:p>
            <w:pPr>
              <w:jc w:val="center"/>
            </w:pPr>
            <w:r>
              <w:rPr>
                <w:sz w:val="18"/>
              </w:rPr>
              <w:t>备注</w:t>
            </w:r>
          </w:p>
        </w:tc>
      </w:tr>
    </w:tbl>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Pr>
                <w:sz w:val="18"/>
              </w:rPr>
              <w:t>1</w:t>
            </w:r>
          </w:p>
        </w:tc>
        <w:tc>
          <w:tcPr>
            <w:tcW w:type="dxa" w:w="1727"/>
          </w:tcPr>
          <w:p>
            <w:pPr>
              <w:jc w:val="center"/>
            </w:pPr>
            <w:r>
              <w:rPr>
                <w:sz w:val="18"/>
              </w:rPr>
              <w:t>144条</w:t>
            </w:r>
          </w:p>
        </w:tc>
        <w:tc>
          <w:tcPr>
            <w:tcW w:type="dxa" w:w="1727"/>
          </w:tcPr>
          <w:p>
            <w:pPr>
              <w:jc w:val="center"/>
            </w:pPr>
            <w:r>
              <w:rPr>
                <w:sz w:val="18"/>
              </w:rPr>
              <w:t>0.452</w:t>
            </w:r>
          </w:p>
        </w:tc>
        <w:tc>
          <w:tcPr>
            <w:tcW w:type="dxa" w:w="1727"/>
          </w:tcPr>
          <w:p>
            <w:pPr>
              <w:jc w:val="center"/>
            </w:pPr>
            <w:r>
              <w:rPr>
                <w:sz w:val="18"/>
              </w:rPr>
              <w:t>0.023</w:t>
            </w:r>
          </w:p>
        </w:tc>
        <w:tc>
          <w:tcPr>
            <w:tcW w:type="dxa" w:w="1727"/>
          </w:tcPr>
          <w:p>
            <w:pPr>
              <w:jc w:val="center"/>
            </w:pPr>
            <w:r>
              <w:rPr>
                <w:sz w:val="18"/>
              </w:rPr>
              <w:t>初始学习</w:t>
            </w:r>
          </w:p>
        </w:tc>
      </w:tr>
    </w:tbl>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Pr>
                <w:sz w:val="18"/>
              </w:rPr>
              <w:t>2</w:t>
            </w:r>
          </w:p>
        </w:tc>
        <w:tc>
          <w:tcPr>
            <w:tcW w:type="dxa" w:w="1727"/>
          </w:tcPr>
          <w:p>
            <w:pPr>
              <w:jc w:val="center"/>
            </w:pPr>
            <w:r>
              <w:rPr>
                <w:sz w:val="18"/>
              </w:rPr>
              <w:t>288条</w:t>
            </w:r>
          </w:p>
        </w:tc>
        <w:tc>
          <w:tcPr>
            <w:tcW w:type="dxa" w:w="1727"/>
          </w:tcPr>
          <w:p>
            <w:pPr>
              <w:jc w:val="center"/>
            </w:pPr>
            <w:r>
              <w:rPr>
                <w:sz w:val="18"/>
              </w:rPr>
              <w:t>0.128</w:t>
            </w:r>
          </w:p>
        </w:tc>
        <w:tc>
          <w:tcPr>
            <w:tcW w:type="dxa" w:w="1727"/>
          </w:tcPr>
          <w:p>
            <w:pPr>
              <w:jc w:val="center"/>
            </w:pPr>
            <w:r>
              <w:rPr>
                <w:sz w:val="18"/>
              </w:rPr>
              <w:t>0.018</w:t>
            </w:r>
          </w:p>
        </w:tc>
        <w:tc>
          <w:tcPr>
            <w:tcW w:type="dxa" w:w="1727"/>
          </w:tcPr>
          <w:p>
            <w:pPr>
              <w:jc w:val="center"/>
            </w:pPr>
            <w:r>
              <w:rPr>
                <w:sz w:val="18"/>
              </w:rPr>
              <w:t>快速下降</w:t>
            </w:r>
          </w:p>
        </w:tc>
      </w:tr>
    </w:tbl>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Pr>
                <w:sz w:val="18"/>
              </w:rPr>
              <w:t>3</w:t>
            </w:r>
          </w:p>
        </w:tc>
        <w:tc>
          <w:tcPr>
            <w:tcW w:type="dxa" w:w="1727"/>
          </w:tcPr>
          <w:p>
            <w:pPr>
              <w:jc w:val="center"/>
            </w:pPr>
            <w:r>
              <w:rPr>
                <w:sz w:val="18"/>
              </w:rPr>
              <w:t>288条</w:t>
            </w:r>
          </w:p>
        </w:tc>
        <w:tc>
          <w:tcPr>
            <w:tcW w:type="dxa" w:w="1727"/>
          </w:tcPr>
          <w:p>
            <w:pPr>
              <w:jc w:val="center"/>
            </w:pPr>
            <w:r>
              <w:rPr>
                <w:sz w:val="18"/>
              </w:rPr>
              <w:t>0.067</w:t>
            </w:r>
          </w:p>
        </w:tc>
        <w:tc>
          <w:tcPr>
            <w:tcW w:type="dxa" w:w="1727"/>
          </w:tcPr>
          <w:p>
            <w:pPr>
              <w:jc w:val="center"/>
            </w:pPr>
            <w:r>
              <w:rPr>
                <w:sz w:val="18"/>
              </w:rPr>
              <w:t>0.014</w:t>
            </w:r>
          </w:p>
        </w:tc>
        <w:tc>
          <w:tcPr>
            <w:tcW w:type="dxa" w:w="1727"/>
          </w:tcPr>
          <w:p>
            <w:pPr>
              <w:jc w:val="center"/>
            </w:pPr>
            <w:r>
              <w:rPr>
                <w:sz w:val="18"/>
              </w:rPr>
            </w:r>
          </w:p>
        </w:tc>
      </w:tr>
    </w:tbl>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Pr>
                <w:sz w:val="18"/>
              </w:rPr>
              <w:t>4</w:t>
            </w:r>
          </w:p>
        </w:tc>
        <w:tc>
          <w:tcPr>
            <w:tcW w:type="dxa" w:w="1727"/>
          </w:tcPr>
          <w:p>
            <w:pPr>
              <w:jc w:val="center"/>
            </w:pPr>
            <w:r>
              <w:rPr>
                <w:sz w:val="18"/>
              </w:rPr>
              <w:t>288条</w:t>
            </w:r>
          </w:p>
        </w:tc>
        <w:tc>
          <w:tcPr>
            <w:tcW w:type="dxa" w:w="1727"/>
          </w:tcPr>
          <w:p>
            <w:pPr>
              <w:jc w:val="center"/>
            </w:pPr>
            <w:r>
              <w:rPr>
                <w:sz w:val="18"/>
              </w:rPr>
              <w:t>0.041</w:t>
            </w:r>
          </w:p>
        </w:tc>
        <w:tc>
          <w:tcPr>
            <w:tcW w:type="dxa" w:w="1727"/>
          </w:tcPr>
          <w:p>
            <w:pPr>
              <w:jc w:val="center"/>
            </w:pPr>
            <w:r>
              <w:rPr>
                <w:sz w:val="18"/>
              </w:rPr>
              <w:t>0.011</w:t>
            </w:r>
          </w:p>
        </w:tc>
        <w:tc>
          <w:tcPr>
            <w:tcW w:type="dxa" w:w="1727"/>
          </w:tcPr>
          <w:p>
            <w:pPr>
              <w:jc w:val="center"/>
            </w:pPr>
            <w:r>
              <w:rPr>
                <w:sz w:val="18"/>
              </w:rPr>
            </w:r>
          </w:p>
        </w:tc>
      </w:tr>
    </w:tbl>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Pr>
                <w:sz w:val="18"/>
              </w:rPr>
              <w:t>5</w:t>
            </w:r>
          </w:p>
        </w:tc>
        <w:tc>
          <w:tcPr>
            <w:tcW w:type="dxa" w:w="1727"/>
          </w:tcPr>
          <w:p>
            <w:pPr>
              <w:jc w:val="center"/>
            </w:pPr>
            <w:r>
              <w:rPr>
                <w:sz w:val="18"/>
              </w:rPr>
              <w:t>288条</w:t>
            </w:r>
          </w:p>
        </w:tc>
        <w:tc>
          <w:tcPr>
            <w:tcW w:type="dxa" w:w="1727"/>
          </w:tcPr>
          <w:p>
            <w:pPr>
              <w:jc w:val="center"/>
            </w:pPr>
            <w:r>
              <w:rPr>
                <w:sz w:val="18"/>
              </w:rPr>
              <w:t>0.029</w:t>
            </w:r>
          </w:p>
        </w:tc>
        <w:tc>
          <w:tcPr>
            <w:tcW w:type="dxa" w:w="1727"/>
          </w:tcPr>
          <w:p>
            <w:pPr>
              <w:jc w:val="center"/>
            </w:pPr>
            <w:r>
              <w:rPr>
                <w:sz w:val="18"/>
              </w:rPr>
              <w:t>0.009</w:t>
            </w:r>
          </w:p>
        </w:tc>
        <w:tc>
          <w:tcPr>
            <w:tcW w:type="dxa" w:w="1727"/>
          </w:tcPr>
          <w:p>
            <w:pPr>
              <w:jc w:val="center"/>
            </w:pPr>
            <w:r>
              <w:rPr>
                <w:sz w:val="18"/>
              </w:rPr>
            </w:r>
          </w:p>
        </w:tc>
      </w:tr>
    </w:tbl>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Pr>
                <w:sz w:val="18"/>
              </w:rPr>
              <w:t>6</w:t>
            </w:r>
          </w:p>
        </w:tc>
        <w:tc>
          <w:tcPr>
            <w:tcW w:type="dxa" w:w="1727"/>
          </w:tcPr>
          <w:p>
            <w:pPr>
              <w:jc w:val="center"/>
            </w:pPr>
            <w:r>
              <w:rPr>
                <w:sz w:val="18"/>
              </w:rPr>
              <w:t>288条</w:t>
            </w:r>
          </w:p>
        </w:tc>
        <w:tc>
          <w:tcPr>
            <w:tcW w:type="dxa" w:w="1727"/>
          </w:tcPr>
          <w:p>
            <w:pPr>
              <w:jc w:val="center"/>
            </w:pPr>
            <w:r>
              <w:rPr>
                <w:sz w:val="18"/>
              </w:rPr>
              <w:t>0.024</w:t>
            </w:r>
          </w:p>
        </w:tc>
        <w:tc>
          <w:tcPr>
            <w:tcW w:type="dxa" w:w="1727"/>
          </w:tcPr>
          <w:p>
            <w:pPr>
              <w:jc w:val="center"/>
            </w:pPr>
            <w:r>
              <w:rPr>
                <w:sz w:val="18"/>
              </w:rPr>
              <w:t>0.007</w:t>
            </w:r>
          </w:p>
        </w:tc>
        <w:tc>
          <w:tcPr>
            <w:tcW w:type="dxa" w:w="1727"/>
          </w:tcPr>
          <w:p>
            <w:pPr>
              <w:jc w:val="center"/>
            </w:pPr>
            <w:r>
              <w:rPr>
                <w:sz w:val="18"/>
              </w:rPr>
              <w:t>收敛</w:t>
            </w:r>
          </w:p>
        </w:tc>
      </w:tr>
    </w:tbl>
    <w:p>
      <w:pPr>
        <w:ind w:firstLine="420"/>
      </w:pPr>
      <w:r>
        <w:t>损失值在6次更新后收敛于0.024，这是一个健康的收敛值——小于0.1表示网络已学到残差中有意义的模式，但大于0.001避免过拟合到噪声。梯度范数持续减小（0.023→0.007），说明网络正在接近局部最小值，学习过程稳定。</w:t>
      </w:r>
    </w:p>
    <w:p>
      <w:pPr>
        <w:ind w:firstLine="420"/>
      </w:pPr>
      <w:r>
        <w:t>注意： 修复f11/f13归一化前的增量学习结果是损失从正常的0.5级爆炸至12,000,000（12M），梯度范数达数千。修复后的损失值在0.02-0.5的正常范围内。这验证了4.2.3节特征归一化的数值稳定性关键作用。</w:t>
      </w:r>
    </w:p>
    <w:p>
      <w:r>
        <w:rPr>
          <w:b/>
          <w:sz w:val="22"/>
        </w:rPr>
        <w:t>6.4.3 修正强度自适应衰减</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jc w:val="center"/>
            </w:pPr>
            <w:r>
              <w:rPr>
                <w:sz w:val="18"/>
              </w:rPr>
              <w:t>数据天数</w:t>
            </w:r>
          </w:p>
        </w:tc>
        <w:tc>
          <w:tcPr>
            <w:tcW w:type="dxa" w:w="2158"/>
          </w:tcPr>
          <w:p>
            <w:pPr>
              <w:jc w:val="center"/>
            </w:pPr>
            <w:r>
              <w:rPr>
                <w:sz w:val="18"/>
              </w:rPr>
              <w:t>数据完整度</w:t>
            </w:r>
          </w:p>
        </w:tc>
        <w:tc>
          <w:tcPr>
            <w:tcW w:type="dxa" w:w="2158"/>
          </w:tcPr>
          <w:p>
            <w:pPr>
              <w:jc w:val="center"/>
            </w:pPr>
            <w:r>
              <w:rPr>
                <w:sz w:val="18"/>
              </w:rPr>
              <w:t>adaptStrength</w:t>
            </w:r>
          </w:p>
        </w:tc>
        <w:tc>
          <w:tcPr>
            <w:tcW w:type="dxa" w:w="2158"/>
          </w:tcPr>
          <w:p>
            <w:pPr>
              <w:jc w:val="center"/>
            </w:pPr>
            <w:r>
              <w:rPr>
                <w:sz w:val="18"/>
              </w:rPr>
              <w:t>修正行为</w:t>
            </w:r>
          </w:p>
        </w:tc>
      </w:tr>
    </w:tbl>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jc w:val="center"/>
            </w:pPr>
            <w:r>
              <w:rPr>
                <w:sz w:val="18"/>
              </w:rPr>
              <w:t>0天</w:t>
            </w:r>
          </w:p>
        </w:tc>
        <w:tc>
          <w:tcPr>
            <w:tcW w:type="dxa" w:w="2158"/>
          </w:tcPr>
          <w:p>
            <w:pPr>
              <w:jc w:val="center"/>
            </w:pPr>
            <w:r>
              <w:rPr>
                <w:sz w:val="18"/>
              </w:rPr>
              <w:t>0.3 (纯血糖)</w:t>
            </w:r>
          </w:p>
        </w:tc>
        <w:tc>
          <w:tcPr>
            <w:tcW w:type="dxa" w:w="2158"/>
          </w:tcPr>
          <w:p>
            <w:pPr>
              <w:jc w:val="center"/>
            </w:pPr>
            <w:r>
              <w:rPr>
                <w:sz w:val="18"/>
              </w:rPr>
              <w:t>0.70 × 1.00 × 0.82 = 0.574</w:t>
            </w:r>
          </w:p>
        </w:tc>
        <w:tc>
          <w:tcPr>
            <w:tcW w:type="dxa" w:w="2158"/>
          </w:tcPr>
          <w:p>
            <w:pPr>
              <w:jc w:val="center"/>
            </w:pPr>
            <w:r>
              <w:rPr>
                <w:sz w:val="18"/>
              </w:rPr>
              <w:t>强修正：信统计，不信模型</w:t>
            </w:r>
          </w:p>
        </w:tc>
      </w:tr>
    </w:tbl>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jc w:val="center"/>
            </w:pPr>
            <w:r>
              <w:rPr>
                <w:sz w:val="18"/>
              </w:rPr>
              <w:t>1天</w:t>
            </w:r>
          </w:p>
        </w:tc>
        <w:tc>
          <w:tcPr>
            <w:tcW w:type="dxa" w:w="2158"/>
          </w:tcPr>
          <w:p>
            <w:pPr>
              <w:jc w:val="center"/>
            </w:pPr>
            <w:r>
              <w:rPr>
                <w:sz w:val="18"/>
              </w:rPr>
              <w:t>0.3</w:t>
            </w:r>
          </w:p>
        </w:tc>
        <w:tc>
          <w:tcPr>
            <w:tcW w:type="dxa" w:w="2158"/>
          </w:tcPr>
          <w:p>
            <w:pPr>
              <w:jc w:val="center"/>
            </w:pPr>
            <w:r>
              <w:rPr>
                <w:sz w:val="18"/>
              </w:rPr>
              <w:t>0.70 × 0.93 × 0.82 = 0.534</w:t>
            </w:r>
          </w:p>
        </w:tc>
        <w:tc>
          <w:tcPr>
            <w:tcW w:type="dxa" w:w="2158"/>
          </w:tcPr>
          <w:p>
            <w:pPr>
              <w:jc w:val="center"/>
            </w:pPr>
            <w:r>
              <w:rPr>
                <w:sz w:val="18"/>
              </w:rPr>
            </w:r>
          </w:p>
        </w:tc>
      </w:tr>
    </w:tbl>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jc w:val="center"/>
            </w:pPr>
            <w:r>
              <w:rPr>
                <w:sz w:val="18"/>
              </w:rPr>
              <w:t>3天</w:t>
            </w:r>
          </w:p>
        </w:tc>
        <w:tc>
          <w:tcPr>
            <w:tcW w:type="dxa" w:w="2158"/>
          </w:tcPr>
          <w:p>
            <w:pPr>
              <w:jc w:val="center"/>
            </w:pPr>
            <w:r>
              <w:rPr>
                <w:sz w:val="18"/>
              </w:rPr>
              <w:t>0.4</w:t>
            </w:r>
          </w:p>
        </w:tc>
        <w:tc>
          <w:tcPr>
            <w:tcW w:type="dxa" w:w="2158"/>
          </w:tcPr>
          <w:p>
            <w:pPr>
              <w:jc w:val="center"/>
            </w:pPr>
            <w:r>
              <w:rPr>
                <w:sz w:val="18"/>
              </w:rPr>
              <w:t>0.70 × 0.79 × 0.76 = 0.420</w:t>
            </w:r>
          </w:p>
        </w:tc>
        <w:tc>
          <w:tcPr>
            <w:tcW w:type="dxa" w:w="2158"/>
          </w:tcPr>
          <w:p>
            <w:pPr>
              <w:jc w:val="center"/>
            </w:pPr>
            <w:r>
              <w:rPr>
                <w:sz w:val="18"/>
              </w:rPr>
              <w:t>过渡期：统计-模型均衡</w:t>
            </w:r>
          </w:p>
        </w:tc>
      </w:tr>
    </w:tbl>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jc w:val="center"/>
            </w:pPr>
            <w:r>
              <w:rPr>
                <w:sz w:val="18"/>
              </w:rPr>
              <w:t>7天</w:t>
            </w:r>
          </w:p>
        </w:tc>
        <w:tc>
          <w:tcPr>
            <w:tcW w:type="dxa" w:w="2158"/>
          </w:tcPr>
          <w:p>
            <w:pPr>
              <w:jc w:val="center"/>
            </w:pPr>
            <w:r>
              <w:rPr>
                <w:sz w:val="18"/>
              </w:rPr>
              <w:t>0.5</w:t>
            </w:r>
          </w:p>
        </w:tc>
        <w:tc>
          <w:tcPr>
            <w:tcW w:type="dxa" w:w="2158"/>
          </w:tcPr>
          <w:p>
            <w:pPr>
              <w:jc w:val="center"/>
            </w:pPr>
            <w:r>
              <w:rPr>
                <w:sz w:val="18"/>
              </w:rPr>
              <w:t>0.70 × 0.50 × 0.70 = 0.245</w:t>
            </w:r>
          </w:p>
        </w:tc>
        <w:tc>
          <w:tcPr>
            <w:tcW w:type="dxa" w:w="2158"/>
          </w:tcPr>
          <w:p>
            <w:pPr>
              <w:jc w:val="center"/>
            </w:pPr>
            <w:r>
              <w:rPr>
                <w:sz w:val="18"/>
              </w:rPr>
            </w:r>
          </w:p>
        </w:tc>
      </w:tr>
    </w:tbl>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jc w:val="center"/>
            </w:pPr>
            <w:r>
              <w:rPr>
                <w:sz w:val="18"/>
              </w:rPr>
              <w:t>14天</w:t>
            </w:r>
          </w:p>
        </w:tc>
        <w:tc>
          <w:tcPr>
            <w:tcW w:type="dxa" w:w="2158"/>
          </w:tcPr>
          <w:p>
            <w:pPr>
              <w:jc w:val="center"/>
            </w:pPr>
            <w:r>
              <w:rPr>
                <w:sz w:val="18"/>
              </w:rPr>
              <w:t>0.8</w:t>
            </w:r>
          </w:p>
        </w:tc>
        <w:tc>
          <w:tcPr>
            <w:tcW w:type="dxa" w:w="2158"/>
          </w:tcPr>
          <w:p>
            <w:pPr>
              <w:jc w:val="center"/>
            </w:pPr>
            <w:r>
              <w:rPr>
                <w:sz w:val="18"/>
              </w:rPr>
              <w:t>0.70 × 0.15 × 0.52 = 0.055</w:t>
            </w:r>
          </w:p>
        </w:tc>
        <w:tc>
          <w:tcPr>
            <w:tcW w:type="dxa" w:w="2158"/>
          </w:tcPr>
          <w:p>
            <w:pPr>
              <w:jc w:val="center"/>
            </w:pPr>
            <w:r>
              <w:rPr>
                <w:sz w:val="18"/>
              </w:rPr>
              <w:t>弱修正：信模型，保留统计兜底</w:t>
            </w:r>
          </w:p>
        </w:tc>
      </w:tr>
    </w:tbl>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jc w:val="center"/>
            </w:pPr>
            <w:r>
              <w:rPr>
                <w:sz w:val="18"/>
              </w:rPr>
              <w:t>30天</w:t>
            </w:r>
          </w:p>
        </w:tc>
        <w:tc>
          <w:tcPr>
            <w:tcW w:type="dxa" w:w="2158"/>
          </w:tcPr>
          <w:p>
            <w:pPr>
              <w:jc w:val="center"/>
            </w:pPr>
            <w:r>
              <w:rPr>
                <w:sz w:val="18"/>
              </w:rPr>
              <w:t>1.0</w:t>
            </w:r>
          </w:p>
        </w:tc>
        <w:tc>
          <w:tcPr>
            <w:tcW w:type="dxa" w:w="2158"/>
          </w:tcPr>
          <w:p>
            <w:pPr>
              <w:jc w:val="center"/>
            </w:pPr>
            <w:r>
              <w:rPr>
                <w:sz w:val="18"/>
              </w:rPr>
              <w:t>0.70 × 0.15 × 0.40 = 0.042</w:t>
            </w:r>
          </w:p>
        </w:tc>
        <w:tc>
          <w:tcPr>
            <w:tcW w:type="dxa" w:w="2158"/>
          </w:tcPr>
          <w:p>
            <w:pPr>
              <w:jc w:val="center"/>
            </w:pPr>
            <w:r>
              <w:rPr>
                <w:sz w:val="18"/>
              </w:rPr>
              <w:t>模型主导</w:t>
            </w:r>
          </w:p>
        </w:tc>
      </w:tr>
    </w:tbl>
    <w:p>
      <w:pPr>
        <w:ind w:firstLine="420"/>
      </w:pPr>
      <w:r>
        <w:t>adaptStrength从第0天的0.574（强修正）衰减至第30天的0.042（极弱修正，仅在模型明显偏离时提供微小调整）。数据完整度的提升加速了衰减过程（高完整度→信模型），纯血糖数据下衰减相对较慢（保留更高比例的统计兜底）。</w:t>
      </w:r>
    </w:p>
    <w:p>
      <w:r>
        <w:rPr>
          <w:rFonts w:ascii="黑体" w:hAnsi="黑体"/>
          <w:b/>
          <w:sz w:val="24"/>
        </w:rPr>
        <w:t>6.5 消融实验</w:t>
      </w:r>
    </w:p>
    <w:p>
      <w:pPr>
        <w:ind w:firstLine="420"/>
      </w:pPr>
      <w:r>
        <w:t>为量化各核心组件的独立贡献，在OhioT1DM 30分钟预测任务上进行消融实验：</w:t>
      </w:r>
    </w:p>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sz w:val="18"/>
              </w:rPr>
              <w:t>配置</w:t>
            </w:r>
          </w:p>
        </w:tc>
        <w:tc>
          <w:tcPr>
            <w:tcW w:type="dxa" w:w="2878"/>
          </w:tcPr>
          <w:p>
            <w:pPr>
              <w:jc w:val="center"/>
            </w:pPr>
            <w:r>
              <w:rPr>
                <w:sz w:val="18"/>
              </w:rPr>
              <w:t>MAE (mmol/L)</w:t>
            </w:r>
          </w:p>
        </w:tc>
        <w:tc>
          <w:tcPr>
            <w:tcW w:type="dxa" w:w="2878"/>
          </w:tcPr>
          <w:p>
            <w:pPr>
              <w:jc w:val="center"/>
            </w:pPr>
            <w:r>
              <w:rPr>
                <w:sz w:val="18"/>
              </w:rPr>
              <w:t>Clarke A区</w:t>
            </w:r>
          </w:p>
        </w:tc>
      </w:tr>
    </w:tbl>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sz w:val="18"/>
              </w:rPr>
              <w:t>完整系统（TCN + DallaMan + BMA + 自学习）</w:t>
            </w:r>
          </w:p>
        </w:tc>
        <w:tc>
          <w:tcPr>
            <w:tcW w:type="dxa" w:w="2878"/>
          </w:tcPr>
          <w:p>
            <w:pPr>
              <w:jc w:val="center"/>
            </w:pPr>
            <w:r>
              <w:rPr>
                <w:sz w:val="18"/>
              </w:rPr>
              <w:t>0.552</w:t>
            </w:r>
          </w:p>
        </w:tc>
        <w:tc>
          <w:tcPr>
            <w:tcW w:type="dxa" w:w="2878"/>
          </w:tcPr>
          <w:p>
            <w:pPr>
              <w:jc w:val="center"/>
            </w:pPr>
            <w:r>
              <w:rPr>
                <w:sz w:val="18"/>
              </w:rPr>
              <w:t>92.4%</w:t>
            </w:r>
          </w:p>
        </w:tc>
      </w:tr>
    </w:tbl>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sz w:val="18"/>
              </w:rPr>
              <w:t>- 移除BMA融合（仅TCN）</w:t>
            </w:r>
          </w:p>
        </w:tc>
        <w:tc>
          <w:tcPr>
            <w:tcW w:type="dxa" w:w="2878"/>
          </w:tcPr>
          <w:p>
            <w:pPr>
              <w:jc w:val="center"/>
            </w:pPr>
            <w:r>
              <w:rPr>
                <w:sz w:val="18"/>
              </w:rPr>
              <w:t>0.589 (+6.7%)</w:t>
            </w:r>
          </w:p>
        </w:tc>
        <w:tc>
          <w:tcPr>
            <w:tcW w:type="dxa" w:w="2878"/>
          </w:tcPr>
          <w:p>
            <w:pPr>
              <w:jc w:val="center"/>
            </w:pPr>
            <w:r>
              <w:rPr>
                <w:sz w:val="18"/>
              </w:rPr>
              <w:t>91.5%</w:t>
            </w:r>
          </w:p>
        </w:tc>
      </w:tr>
    </w:tbl>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sz w:val="18"/>
              </w:rPr>
              <w:t>- 移除TCN（仅DallaMan + 自学习）</w:t>
            </w:r>
          </w:p>
        </w:tc>
        <w:tc>
          <w:tcPr>
            <w:tcW w:type="dxa" w:w="2878"/>
          </w:tcPr>
          <w:p>
            <w:pPr>
              <w:jc w:val="center"/>
            </w:pPr>
            <w:r>
              <w:rPr>
                <w:sz w:val="18"/>
              </w:rPr>
              <w:t>0.724 (+31.2%)</w:t>
            </w:r>
          </w:p>
        </w:tc>
        <w:tc>
          <w:tcPr>
            <w:tcW w:type="dxa" w:w="2878"/>
          </w:tcPr>
          <w:p>
            <w:pPr>
              <w:jc w:val="center"/>
            </w:pPr>
            <w:r>
              <w:rPr>
                <w:sz w:val="18"/>
              </w:rPr>
              <w:t>85.3%</w:t>
            </w:r>
          </w:p>
        </w:tc>
      </w:tr>
    </w:tbl>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sz w:val="18"/>
              </w:rPr>
              <w:t>- 移除DallaMan（仅TCN + 自学习）</w:t>
            </w:r>
          </w:p>
        </w:tc>
        <w:tc>
          <w:tcPr>
            <w:tcW w:type="dxa" w:w="2878"/>
          </w:tcPr>
          <w:p>
            <w:pPr>
              <w:jc w:val="center"/>
            </w:pPr>
            <w:r>
              <w:rPr>
                <w:sz w:val="18"/>
              </w:rPr>
              <w:t>0.563 (+2.0%)</w:t>
            </w:r>
          </w:p>
        </w:tc>
        <w:tc>
          <w:tcPr>
            <w:tcW w:type="dxa" w:w="2878"/>
          </w:tcPr>
          <w:p>
            <w:pPr>
              <w:jc w:val="center"/>
            </w:pPr>
            <w:r>
              <w:rPr>
                <w:sz w:val="18"/>
              </w:rPr>
              <w:t>91.8%</w:t>
            </w:r>
          </w:p>
        </w:tc>
      </w:tr>
    </w:tbl>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sz w:val="18"/>
              </w:rPr>
              <w:t>- 移除自学习（TCN + DallaMan + BMA，无个性化）</w:t>
            </w:r>
          </w:p>
        </w:tc>
        <w:tc>
          <w:tcPr>
            <w:tcW w:type="dxa" w:w="2878"/>
          </w:tcPr>
          <w:p>
            <w:pPr>
              <w:jc w:val="center"/>
            </w:pPr>
            <w:r>
              <w:rPr>
                <w:sz w:val="18"/>
              </w:rPr>
              <w:t>0.621 (+12.5%)</w:t>
            </w:r>
          </w:p>
        </w:tc>
        <w:tc>
          <w:tcPr>
            <w:tcW w:type="dxa" w:w="2878"/>
          </w:tcPr>
          <w:p>
            <w:pPr>
              <w:jc w:val="center"/>
            </w:pPr>
            <w:r>
              <w:rPr>
                <w:sz w:val="18"/>
              </w:rPr>
              <w:t>90.2%</w:t>
            </w:r>
          </w:p>
        </w:tc>
      </w:tr>
    </w:tbl>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sz w:val="18"/>
              </w:rPr>
              <w:t>- 移除数据质量感知（等权自学习）</w:t>
            </w:r>
          </w:p>
        </w:tc>
        <w:tc>
          <w:tcPr>
            <w:tcW w:type="dxa" w:w="2878"/>
          </w:tcPr>
          <w:p>
            <w:pPr>
              <w:jc w:val="center"/>
            </w:pPr>
            <w:r>
              <w:rPr>
                <w:sz w:val="18"/>
              </w:rPr>
              <w:t>0.578 (+4.7%)</w:t>
            </w:r>
          </w:p>
        </w:tc>
        <w:tc>
          <w:tcPr>
            <w:tcW w:type="dxa" w:w="2878"/>
          </w:tcPr>
          <w:p>
            <w:pPr>
              <w:jc w:val="center"/>
            </w:pPr>
            <w:r>
              <w:rPr>
                <w:sz w:val="18"/>
              </w:rPr>
              <w:t>91.4%</w:t>
            </w:r>
          </w:p>
        </w:tc>
      </w:tr>
    </w:tbl>
    <w:p>
      <w:pPr>
        <w:ind w:firstLine="420"/>
      </w:pPr>
      <w:r>
        <w:t>关键发现：（1）DallaMan移除后MAE仅小幅增加（+2.0%），说明TCN是预测精度的主要贡献者，但DallaMan在数据稀疏场景（新用户、极端饮食）的作用更关键——其在融合中的30%权重也提供了安全约束；（2）移除自学习后MAE增加12.5%，表明个性化适配对精度的贡献显著；（3）移除数据质量感知后MAE增加4.7%，虽然增幅不大但方向正确——在数据完整性差异更大的使用场景（如仅导入纯血糖数据的用户），数据质量感知的重要性将更高。</w:t>
      </w:r>
    </w:p>
    <w:p>
      <w:r>
        <w:rPr>
          <w:rFonts w:ascii="黑体" w:hAnsi="黑体"/>
          <w:b/>
          <w:sz w:val="24"/>
        </w:rPr>
        <w:t>6.6 系统性能测试</w:t>
      </w:r>
    </w:p>
    <w:p>
      <w:r>
        <w:rPr>
          <w:b/>
          <w:sz w:val="22"/>
        </w:rPr>
        <w:t>6.6.1 测试环境</w:t>
      </w:r>
    </w:p>
    <w:p>
      <w:pPr>
        <w:ind w:firstLine="420"/>
      </w:pPr>
      <w:r>
        <w:t>设备：Xiaomi 13 (Snapdragon 8 Gen 2, 8GB RAM, Android 14, MIUI 15)</w:t>
      </w:r>
    </w:p>
    <w:p>
      <w:r>
        <w:rPr>
          <w:b/>
          <w:sz w:val="22"/>
        </w:rPr>
        <w:t>6.6.2 性能指标</w:t>
      </w:r>
    </w:p>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sz w:val="18"/>
              </w:rPr>
              <w:t>指标</w:t>
            </w:r>
          </w:p>
        </w:tc>
        <w:tc>
          <w:tcPr>
            <w:tcW w:type="dxa" w:w="2878"/>
          </w:tcPr>
          <w:p>
            <w:pPr>
              <w:jc w:val="center"/>
            </w:pPr>
            <w:r>
              <w:rPr>
                <w:sz w:val="18"/>
              </w:rPr>
              <w:t>测量值</w:t>
            </w:r>
          </w:p>
        </w:tc>
        <w:tc>
          <w:tcPr>
            <w:tcW w:type="dxa" w:w="2878"/>
          </w:tcPr>
          <w:p>
            <w:pPr>
              <w:jc w:val="center"/>
            </w:pPr>
            <w:r>
              <w:rPr>
                <w:sz w:val="18"/>
              </w:rPr>
              <w:t>行业参考</w:t>
            </w:r>
          </w:p>
        </w:tc>
      </w:tr>
    </w:tbl>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sz w:val="18"/>
              </w:rPr>
              <w:t>APK大小</w:t>
            </w:r>
          </w:p>
        </w:tc>
        <w:tc>
          <w:tcPr>
            <w:tcW w:type="dxa" w:w="2878"/>
          </w:tcPr>
          <w:p>
            <w:pPr>
              <w:jc w:val="center"/>
            </w:pPr>
            <w:r>
              <w:rPr>
                <w:sz w:val="18"/>
              </w:rPr>
              <w:t>82 MB</w:t>
            </w:r>
          </w:p>
        </w:tc>
        <w:tc>
          <w:tcPr>
            <w:tcW w:type="dxa" w:w="2878"/>
          </w:tcPr>
          <w:p>
            <w:pPr>
              <w:jc w:val="center"/>
            </w:pPr>
            <w:r>
              <w:rPr>
                <w:sz w:val="18"/>
              </w:rPr>
              <w:t>&lt;150 MB (良好)</w:t>
            </w:r>
          </w:p>
        </w:tc>
      </w:tr>
    </w:tbl>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sz w:val="18"/>
              </w:rPr>
              <w:t>安装后占用</w:t>
            </w:r>
          </w:p>
        </w:tc>
        <w:tc>
          <w:tcPr>
            <w:tcW w:type="dxa" w:w="2878"/>
          </w:tcPr>
          <w:p>
            <w:pPr>
              <w:jc w:val="center"/>
            </w:pPr>
            <w:r>
              <w:rPr>
                <w:sz w:val="18"/>
              </w:rPr>
              <w:t>156 MB</w:t>
            </w:r>
          </w:p>
        </w:tc>
        <w:tc>
          <w:tcPr>
            <w:tcW w:type="dxa" w:w="2878"/>
          </w:tcPr>
          <w:p>
            <w:pPr>
              <w:jc w:val="center"/>
            </w:pPr>
            <w:r>
              <w:rPr>
                <w:sz w:val="18"/>
              </w:rPr>
              <w:t>&lt;300 MB</w:t>
            </w:r>
          </w:p>
        </w:tc>
      </w:tr>
    </w:tbl>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sz w:val="18"/>
              </w:rPr>
              <w:t>运行时内存</w:t>
            </w:r>
          </w:p>
        </w:tc>
        <w:tc>
          <w:tcPr>
            <w:tcW w:type="dxa" w:w="2878"/>
          </w:tcPr>
          <w:p>
            <w:pPr>
              <w:jc w:val="center"/>
            </w:pPr>
            <w:r>
              <w:rPr>
                <w:sz w:val="18"/>
              </w:rPr>
              <w:t>213 MB (均值), 248 MB (峰值)</w:t>
            </w:r>
          </w:p>
        </w:tc>
        <w:tc>
          <w:tcPr>
            <w:tcW w:type="dxa" w:w="2878"/>
          </w:tcPr>
          <w:p>
            <w:pPr>
              <w:jc w:val="center"/>
            </w:pPr>
            <w:r>
              <w:rPr>
                <w:sz w:val="18"/>
              </w:rPr>
              <w:t>&lt;512 MB (标准)</w:t>
            </w:r>
          </w:p>
        </w:tc>
      </w:tr>
    </w:tbl>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sz w:val="18"/>
              </w:rPr>
              <w:t>冷启动时间</w:t>
            </w:r>
          </w:p>
        </w:tc>
        <w:tc>
          <w:tcPr>
            <w:tcW w:type="dxa" w:w="2878"/>
          </w:tcPr>
          <w:p>
            <w:pPr>
              <w:jc w:val="center"/>
            </w:pPr>
            <w:r>
              <w:rPr>
                <w:sz w:val="18"/>
              </w:rPr>
              <w:t>1.2秒</w:t>
            </w:r>
          </w:p>
        </w:tc>
        <w:tc>
          <w:tcPr>
            <w:tcW w:type="dxa" w:w="2878"/>
          </w:tcPr>
          <w:p>
            <w:pPr>
              <w:jc w:val="center"/>
            </w:pPr>
            <w:r>
              <w:rPr>
                <w:sz w:val="18"/>
              </w:rPr>
              <w:t>&lt;3秒</w:t>
            </w:r>
          </w:p>
        </w:tc>
      </w:tr>
    </w:tbl>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sz w:val="18"/>
              </w:rPr>
              <w:t>CPU使用率(后台)</w:t>
            </w:r>
          </w:p>
        </w:tc>
        <w:tc>
          <w:tcPr>
            <w:tcW w:type="dxa" w:w="2878"/>
          </w:tcPr>
          <w:p>
            <w:pPr>
              <w:jc w:val="center"/>
            </w:pPr>
            <w:r>
              <w:rPr>
                <w:sz w:val="18"/>
              </w:rPr>
              <w:t>&lt;3%</w:t>
            </w:r>
          </w:p>
        </w:tc>
        <w:tc>
          <w:tcPr>
            <w:tcW w:type="dxa" w:w="2878"/>
          </w:tcPr>
          <w:p>
            <w:pPr>
              <w:jc w:val="center"/>
            </w:pPr>
            <w:r>
              <w:rPr>
                <w:sz w:val="18"/>
              </w:rPr>
              <w:t>&lt;10%</w:t>
            </w:r>
          </w:p>
        </w:tc>
      </w:tr>
    </w:tbl>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sz w:val="18"/>
              </w:rPr>
              <w:t>CPU使用率(预测时)</w:t>
            </w:r>
          </w:p>
        </w:tc>
        <w:tc>
          <w:tcPr>
            <w:tcW w:type="dxa" w:w="2878"/>
          </w:tcPr>
          <w:p>
            <w:pPr>
              <w:jc w:val="center"/>
            </w:pPr>
            <w:r>
              <w:rPr>
                <w:sz w:val="18"/>
              </w:rPr>
              <w:t>&lt;5% (峰值, &lt;100ms)</w:t>
            </w:r>
          </w:p>
        </w:tc>
        <w:tc>
          <w:tcPr>
            <w:tcW w:type="dxa" w:w="2878"/>
          </w:tcPr>
          <w:p>
            <w:pPr>
              <w:jc w:val="center"/>
            </w:pPr>
            <w:r>
              <w:rPr>
                <w:sz w:val="18"/>
              </w:rPr>
              <w:t>&lt;15%</w:t>
            </w:r>
          </w:p>
        </w:tc>
      </w:tr>
    </w:tbl>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sz w:val="18"/>
              </w:rPr>
              <w:t>TCN推理延迟</w:t>
            </w:r>
          </w:p>
        </w:tc>
        <w:tc>
          <w:tcPr>
            <w:tcW w:type="dxa" w:w="2878"/>
          </w:tcPr>
          <w:p>
            <w:pPr>
              <w:jc w:val="center"/>
            </w:pPr>
            <w:r>
              <w:rPr>
                <w:sz w:val="18"/>
              </w:rPr>
              <w:t>15 ± 3 ms</w:t>
            </w:r>
          </w:p>
        </w:tc>
        <w:tc>
          <w:tcPr>
            <w:tcW w:type="dxa" w:w="2878"/>
          </w:tcPr>
          <w:p>
            <w:pPr>
              <w:jc w:val="center"/>
            </w:pPr>
            <w:r>
              <w:rPr>
                <w:sz w:val="18"/>
              </w:rPr>
              <w:t>&lt;50ms</w:t>
            </w:r>
          </w:p>
        </w:tc>
      </w:tr>
    </w:tbl>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sz w:val="18"/>
              </w:rPr>
              <w:t>DallaMan RK4预测</w:t>
            </w:r>
          </w:p>
        </w:tc>
        <w:tc>
          <w:tcPr>
            <w:tcW w:type="dxa" w:w="2878"/>
          </w:tcPr>
          <w:p>
            <w:pPr>
              <w:jc w:val="center"/>
            </w:pPr>
            <w:r>
              <w:rPr>
                <w:sz w:val="18"/>
              </w:rPr>
              <w:t>18 ± 4 ms</w:t>
            </w:r>
          </w:p>
        </w:tc>
        <w:tc>
          <w:tcPr>
            <w:tcW w:type="dxa" w:w="2878"/>
          </w:tcPr>
          <w:p>
            <w:pPr>
              <w:jc w:val="center"/>
            </w:pPr>
            <w:r>
              <w:rPr>
                <w:sz w:val="18"/>
              </w:rPr>
              <w:t>&lt;50ms</w:t>
            </w:r>
          </w:p>
        </w:tc>
      </w:tr>
    </w:tbl>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sz w:val="18"/>
              </w:rPr>
              <w:t>端到端预测延迟</w:t>
            </w:r>
          </w:p>
        </w:tc>
        <w:tc>
          <w:tcPr>
            <w:tcW w:type="dxa" w:w="2878"/>
          </w:tcPr>
          <w:p>
            <w:pPr>
              <w:jc w:val="center"/>
            </w:pPr>
            <w:r>
              <w:rPr>
                <w:sz w:val="18"/>
              </w:rPr>
              <w:t>52 ± 8 ms</w:t>
            </w:r>
          </w:p>
        </w:tc>
        <w:tc>
          <w:tcPr>
            <w:tcW w:type="dxa" w:w="2878"/>
          </w:tcPr>
          <w:p>
            <w:pPr>
              <w:jc w:val="center"/>
            </w:pPr>
            <w:r>
              <w:rPr>
                <w:sz w:val="18"/>
              </w:rPr>
              <w:t>&lt;200ms</w:t>
            </w:r>
          </w:p>
        </w:tc>
      </w:tr>
    </w:tbl>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sz w:val="18"/>
              </w:rPr>
              <w:t>288条DB查询</w:t>
            </w:r>
          </w:p>
        </w:tc>
        <w:tc>
          <w:tcPr>
            <w:tcW w:type="dxa" w:w="2878"/>
          </w:tcPr>
          <w:p>
            <w:pPr>
              <w:jc w:val="center"/>
            </w:pPr>
            <w:r>
              <w:rPr>
                <w:sz w:val="18"/>
              </w:rPr>
              <w:t>&lt;10ms</w:t>
            </w:r>
          </w:p>
        </w:tc>
        <w:tc>
          <w:tcPr>
            <w:tcW w:type="dxa" w:w="2878"/>
          </w:tcPr>
          <w:p>
            <w:pPr>
              <w:jc w:val="center"/>
            </w:pPr>
            <w:r>
              <w:rPr>
                <w:sz w:val="18"/>
              </w:rPr>
              <w:t>&lt;50ms</w:t>
            </w:r>
          </w:p>
        </w:tc>
      </w:tr>
    </w:tbl>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sz w:val="18"/>
              </w:rPr>
              <w:t>通知→DB延迟</w:t>
            </w:r>
          </w:p>
        </w:tc>
        <w:tc>
          <w:tcPr>
            <w:tcW w:type="dxa" w:w="2878"/>
          </w:tcPr>
          <w:p>
            <w:pPr>
              <w:jc w:val="center"/>
            </w:pPr>
            <w:r>
              <w:rPr>
                <w:sz w:val="18"/>
              </w:rPr>
              <w:t>&lt;1秒</w:t>
            </w:r>
          </w:p>
        </w:tc>
        <w:tc>
          <w:tcPr>
            <w:tcW w:type="dxa" w:w="2878"/>
          </w:tcPr>
          <w:p>
            <w:pPr>
              <w:jc w:val="center"/>
            </w:pPr>
            <w:r>
              <w:rPr>
                <w:sz w:val="18"/>
              </w:rPr>
              <w:t>&lt;5秒</w:t>
            </w:r>
          </w:p>
        </w:tc>
      </w:tr>
    </w:tbl>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sz w:val="18"/>
              </w:rPr>
              <w:t>前台服务24h存活率</w:t>
            </w:r>
          </w:p>
        </w:tc>
        <w:tc>
          <w:tcPr>
            <w:tcW w:type="dxa" w:w="2878"/>
          </w:tcPr>
          <w:p>
            <w:pPr>
              <w:jc w:val="center"/>
            </w:pPr>
            <w:r>
              <w:rPr>
                <w:sz w:val="18"/>
              </w:rPr>
              <w:t>&gt;95%</w:t>
            </w:r>
          </w:p>
        </w:tc>
        <w:tc>
          <w:tcPr>
            <w:tcW w:type="dxa" w:w="2878"/>
          </w:tcPr>
          <w:p>
            <w:pPr>
              <w:jc w:val="center"/>
            </w:pPr>
            <w:r>
              <w:rPr>
                <w:sz w:val="18"/>
              </w:rPr>
              <w:t>&gt;90%</w:t>
            </w:r>
          </w:p>
        </w:tc>
      </w:tr>
    </w:tbl>
    <w:p>
      <w:r>
        <w:rPr>
          <w:b/>
          <w:sz w:val="22"/>
        </w:rPr>
        <w:t>6.6.3 前台服务存活测试</w:t>
      </w:r>
    </w:p>
    <w:p>
      <w:pPr>
        <w:ind w:firstLine="420"/>
      </w:pPr>
      <w:r>
        <w:t>使用Android的dumpsys和Battery Historian工具进行24小时持续运行测试：</w:t>
      </w:r>
    </w:p>
    <w:p>
      <w:pPr>
        <w:ind w:firstLine="420"/>
      </w:pPr>
      <w:r>
        <w:t>自启动次数（START_STICKY重启）：2次（MIUI后台管理策略所致，均在5秒内恢复）</w:t>
      </w:r>
    </w:p>
    <w:p>
      <w:pPr>
        <w:ind w:firstLine="420"/>
      </w:pPr>
      <w:r>
        <w:t>AlarmManager保活触发：96次（每15分钟），服务健康检查通过率100%</w:t>
      </w:r>
    </w:p>
    <w:p>
      <w:pPr>
        <w:ind w:firstLine="420"/>
      </w:pPr>
      <w:r>
        <w:t>手动停止（用户操作）：0次，证明持久通知未引起用户反感而手动关闭</w:t>
      </w:r>
    </w:p>
    <w:p>
      <w:pPr>
        <w:ind w:firstLine="420"/>
      </w:pPr>
      <w:r>
        <w:t>电池消耗：日均约4.2%（场景：BG Bluetooth + CGM每5分钟通知 + 服务Wakelock）</w:t>
      </w:r>
    </w:p>
    <w:p>
      <w:r>
        <w:rPr>
          <w:rFonts w:ascii="黑体" w:hAnsi="黑体"/>
          <w:b/>
          <w:sz w:val="24"/>
        </w:rPr>
        <w:t>6.7 用户体验评估</w:t>
      </w:r>
    </w:p>
    <w:p>
      <w:r>
        <w:rPr>
          <w:b/>
          <w:sz w:val="22"/>
        </w:rPr>
        <w:t>6.7.1 功能完整性</w:t>
      </w:r>
    </w:p>
    <w:p>
      <w:pPr>
        <w:ind w:firstLine="420"/>
      </w:pPr>
      <w:r>
        <w:t>糖盾系统实现了以下完整功能（功能覆盖率评估）：</w:t>
      </w:r>
    </w:p>
    <w:p>
      <w:pPr>
        <w:ind w:firstLine="420"/>
      </w:pPr>
      <w:r>
        <w:t>✅ 实时CGM血糖监测（40+品牌兼容）</w:t>
      </w:r>
    </w:p>
    <w:p>
      <w:pPr>
        <w:ind w:firstLine="420"/>
      </w:pPr>
      <w:r>
        <w:t>✅ 可缩放时间范围（1h/3h/6h/12h/24h）</w:t>
      </w:r>
    </w:p>
    <w:p>
      <w:pPr>
        <w:ind w:firstLine="420"/>
      </w:pPr>
      <w:r>
        <w:t>✅ 趋势箭头 + ROC速率 + sparkline曲线</w:t>
      </w:r>
    </w:p>
    <w:p>
      <w:pPr>
        <w:ind w:firstLine="420"/>
      </w:pPr>
      <w:r>
        <w:t>✅ TIR目标范围内时间（实时+每日+长期）</w:t>
      </w:r>
    </w:p>
    <w:p>
      <w:pPr>
        <w:ind w:firstLine="420"/>
      </w:pPr>
      <w:r>
        <w:t>✅ 30-180分钟个性化血糖预测（BMA混合）</w:t>
      </w:r>
    </w:p>
    <w:p>
      <w:pPr>
        <w:ind w:firstLine="420"/>
      </w:pPr>
      <w:r>
        <w:t>✅ 指尖血校准（单次校准，CGM偏移自动修正）</w:t>
      </w:r>
    </w:p>
    <w:p>
      <w:pPr>
        <w:ind w:firstLine="420"/>
      </w:pPr>
      <w:r>
        <w:t>✅ 多级预警系统（预测性+即时+自动紧急拨号）</w:t>
      </w:r>
    </w:p>
    <w:p>
      <w:pPr>
        <w:ind w:firstLine="420"/>
      </w:pPr>
      <w:r>
        <w:t>✅ 饮食记录（手动+AI语音识别）</w:t>
      </w:r>
    </w:p>
    <w:p>
      <w:pPr>
        <w:ind w:firstLine="420"/>
      </w:pPr>
      <w:r>
        <w:t>✅ 胰岛素记录（bolus+basal，5种类型）</w:t>
      </w:r>
    </w:p>
    <w:p>
      <w:pPr>
        <w:ind w:firstLine="420"/>
      </w:pPr>
      <w:r>
        <w:t>✅ 运动记录 + 活动量统计</w:t>
      </w:r>
    </w:p>
    <w:p>
      <w:pPr>
        <w:ind w:firstLine="420"/>
      </w:pPr>
      <w:r>
        <w:t>✅ AI糖尿病助手（兼容OpenAI API，自然语言对话）</w:t>
      </w:r>
    </w:p>
    <w:p>
      <w:pPr>
        <w:ind w:firstLine="420"/>
      </w:pPr>
      <w:r>
        <w:t>✅ 餐时胰岛素计算器（IOB感知）</w:t>
      </w:r>
    </w:p>
    <w:p>
      <w:pPr>
        <w:ind w:firstLine="420"/>
      </w:pPr>
      <w:r>
        <w:t>✅ 碳水计数助手</w:t>
      </w:r>
    </w:p>
    <w:p>
      <w:pPr>
        <w:ind w:firstLine="420"/>
      </w:pPr>
      <w:r>
        <w:t>✅ 14/30/90天血糖报告（AGP+TIR+GMI+CV）</w:t>
      </w:r>
    </w:p>
    <w:p>
      <w:pPr>
        <w:ind w:firstLine="420"/>
      </w:pPr>
      <w:r>
        <w:t>✅ Excel数据导入（欧态等品牌xlsx）</w:t>
      </w:r>
    </w:p>
    <w:p>
      <w:pPr>
        <w:ind w:firstLine="420"/>
      </w:pPr>
      <w:r>
        <w:t>✅ 数据导出/分享（JSON+PDF）</w:t>
      </w:r>
    </w:p>
    <w:p>
      <w:pPr>
        <w:ind w:firstLine="420"/>
      </w:pPr>
      <w:r>
        <w:t>✅ 调试数据完整导出</w:t>
      </w:r>
    </w:p>
    <w:p>
      <w:pPr>
        <w:ind w:firstLine="420"/>
      </w:pPr>
      <w:r>
        <w:t>✅ 用户隐私保护（本地优先，无强制上传）</w:t>
      </w:r>
    </w:p>
    <w:p>
      <w:pPr>
        <w:ind w:firstLine="420"/>
      </w:pPr>
      <w:r>
        <w:t>✅ 前台服务持久后台运行</w:t>
      </w:r>
    </w:p>
    <w:p>
      <w:r>
        <w:rPr>
          <w:rFonts w:ascii="黑体" w:hAnsi="黑体"/>
          <w:b/>
          <w:sz w:val="24"/>
        </w:rPr>
        <w:t>7.1 模型局限性分析</w:t>
      </w:r>
    </w:p>
    <w:p>
      <w:pPr>
        <w:ind w:firstLine="420"/>
      </w:pPr>
      <w:r>
        <w:t>尽管本系统的预测精度和功能完整性达到了商业化移动医疗应用的工程标准，但仍存在以下局限性：</w:t>
      </w:r>
    </w:p>
    <w:p>
      <w:pPr>
        <w:ind w:firstLine="420"/>
      </w:pPr>
      <w:r>
        <w:t>反调节激素的缺失。 Dalla Man模型及所有当前主流的葡萄糖-胰岛素代谢模型都未建模反调节激素（Counter-Regulatory Hormones）——包括胰高血糖素（Glucagon）、肾上腺素（Epinephrine）、皮质醇（Cortisol）和生长激素（Growth Hormone）。在血糖急剧下降时，α细胞的胰高血糖素分泌和肾上腺的肾上腺素释放在数分钟内即可逆转下降趋势（Somogyi效应）。缺乏反调节激素模型意味着：（1）严重低血糖后的反弹高血糖（Somogyi rebound）无法被预测；（2）黎明现象（Dawn Phenomenon，清晨因生长激素脉冲导致的肝糖释放）仅能通过24h时段模式间接捕捉，缺乏生理机制的直接建模。</w:t>
      </w:r>
    </w:p>
    <w:p>
      <w:pPr>
        <w:ind w:firstLine="420"/>
      </w:pPr>
      <w:r>
        <w:t>胃排空的简化建模。 当前模型将胃排空建模为单隔室（固体量的线性/受限排出），但实际上胃排空经历两个阶段：固体食物的初始碾磨滞后阶段（lag phase，30-60分钟）和随后的线性/指数排空阶段。此外，餐食的宏量营养素组成显著影响排空速率：高脂肪食物延缓排空（CCK/GLP-1介导），高蛋白食物中等延缓，纯碳水排空最快。餐食的物理形态（固体 vs 半固体 vs 液体）也影响排空速率。当前模型未区分这些因素。</w:t>
      </w:r>
    </w:p>
    <w:p>
      <w:pPr>
        <w:ind w:firstLine="420"/>
      </w:pPr>
      <w:r>
        <w:t>TCN模型的域外泛化能力。 TCN模型在OhioT1DM和HUPA数据集上训练，这些数据集的采集条件（西方饮食模式、Dexcom/Libre传感器、T1DM泵治疗为主）可能不完全代表中国T2DM患者的实际使用条件（中式饮食的高升糖指数特点、国产CGM传感器特性、口服药主导的治疗策略）。虽然Dalla Man模型的BMA融合提供了域外保障，但TCN模型在中国T2DM场景下的精度降幅尚需独立验证。</w:t>
      </w:r>
    </w:p>
    <w:p>
      <w:pPr>
        <w:ind w:firstLine="420"/>
      </w:pPr>
      <w:r>
        <w:t>数据稀疏场景的预测退化。 在新用户的前24-72小时，BMA权重偏向Dalla Man（w_TCN=0.3），且OnlineLearner的统计参数尚未稳定（空腹基线、时段模式需要≥3天数据才能收敛）。在这一窗口期，预测精度近似于未经个性化调整的群体模型，对餐后峰值的预测偏差可能较大。系统通过保守的预警阈值（低血糖预警阈值略高、高血糖阈值略低）来管理这一阶段的临床风险。</w:t>
      </w:r>
    </w:p>
    <w:p>
      <w:pPr>
        <w:ind w:firstLine="420"/>
      </w:pPr>
      <w:r>
        <w:t>ONNX Runtime的Android兼容性。 ONNX Runtime 1.16.0在Android 8.0-14上测试通过，但Android 15+（API 35+）在2026年尚未正式发布，其引入的新的NDK限制或16KB页面大小等变化可能会影响ORT的ARM64原生库兼容性。需要关注ORT的兼容性更新。</w:t>
      </w:r>
    </w:p>
    <w:p>
      <w:pPr>
        <w:ind w:firstLine="420"/>
      </w:pPr>
      <w:r>
        <w:t>SharedPreferences持久化的I/O瓶颈。 OnlineLearner和IncrementalLearner的学习参数目前存储在SharedPreferences中（≤100个键值对，每个值≤ 8字节）。在当前规模下（单个手机，每用户83次OnlineLearner更新+ ≤50个IncrementalLearner更新），SP的性能完全可接受。但如果系统将来扩展到服务器端部署（管理数千用户的个性化参数），SP的XML解析开销和文件级读写锁将成为瓶颈，需要迁移至SQLite表或Key-Value存储（如MMKV）。</w:t>
      </w:r>
    </w:p>
    <w:p>
      <w:r>
        <w:rPr>
          <w:rFonts w:ascii="黑体" w:hAnsi="黑体"/>
          <w:b/>
          <w:sz w:val="24"/>
        </w:rPr>
        <w:t>7.2 临床意义与应用前景</w:t>
      </w:r>
    </w:p>
    <w:p>
      <w:r>
        <w:rPr>
          <w:b/>
          <w:sz w:val="22"/>
        </w:rPr>
        <w:t>7.2.1 预测性预警的临床价值</w:t>
      </w:r>
    </w:p>
    <w:p>
      <w:pPr>
        <w:ind w:firstLine="420"/>
      </w:pPr>
      <w:r>
        <w:t>糖盾系统的30分钟预测性低血糖预警提供了关键的临床干预时间窗口。对于使用胰岛素治疗的糖尿病患者（尤其是T1DM和无感知性低血糖患者），提前30分钟预警可使患者有充裕时间完成以下干预：确认血糖（指尖血验证，1分钟）、补充速效碳水（15-20g葡萄糖片/果汁，1分钟）、等待碳水吸收和血糖回升（15-20分钟）——整个过程约需20-25分钟，完全容纳在30分钟预警窗口内。预测性预警的引入有潜力将住院和急诊就诊中的严重低血糖事件减少40-60%（参考Cameron et al., 2011的闭环系统安全性研究外推）。</w:t>
      </w:r>
    </w:p>
    <w:p>
      <w:r>
        <w:rPr>
          <w:b/>
          <w:sz w:val="22"/>
        </w:rPr>
        <w:t>7.2.2 ISF/CR自动测算的辅助决策价值</w:t>
      </w:r>
    </w:p>
    <w:p>
      <w:pPr>
        <w:ind w:firstLine="420"/>
      </w:pPr>
      <w:r>
        <w:t>系统通过AutoParamEstimator从历史数据中估算患者的ISF和CR（精度约±20%），为缺乏专业医务人员指导的糖尿病患者（尤其是基层和农村患者）提供了胰岛素剂量的初始估算依据。虽然估算值的精度不及内分泌科医师通过系统评估确定的参数（精度±10%），但它提供了一个比"患者盲目摸索"更安全的起始点。</w:t>
      </w:r>
    </w:p>
    <w:p>
      <w:r>
        <w:rPr>
          <w:b/>
          <w:sz w:val="22"/>
        </w:rPr>
        <w:t>7.2.3 TIR/GMI标准化报告的医患沟通价值</w:t>
      </w:r>
    </w:p>
    <w:p>
      <w:pPr>
        <w:ind w:firstLine="420"/>
      </w:pPr>
      <w:r>
        <w:t>系统生成的14/30/90天标准化CGM报告（含AGP图、TIR、GMI、CV、TBR等指标）可与患者的临床就诊直接结合。患者可将报告PDF打印或发送给医师，在就诊时进行数据驱动的讨论（"您的TIR从45%提升至62%，说明饮食调整有效；但TBR仍为8%，我们需降低晚餐前胰岛素剂量"）。这相比传统的"您最近感觉怎么样？"式的主观问诊更具信息量和效率。</w:t>
      </w:r>
    </w:p>
    <w:p>
      <w:r>
        <w:rPr>
          <w:b/>
          <w:sz w:val="22"/>
        </w:rPr>
        <w:t>7.2.4 不同场景的应用前景</w:t>
      </w:r>
    </w:p>
    <w:p>
      <w:pPr>
        <w:ind w:firstLine="420"/>
      </w:pPr>
      <w:r>
        <w:t>个人日常管理场景： 本系统最直接的应用，糖尿病患者使用糖盾作为日常血糖管理伴侣</w:t>
      </w:r>
    </w:p>
    <w:p>
      <w:pPr>
        <w:ind w:firstLine="420"/>
      </w:pPr>
      <w:r>
        <w:t>基层医疗场景： 社区卫生服务中心可通过糖盾的数据导出功能远程监测高风险管理患者</w:t>
      </w:r>
    </w:p>
    <w:p>
      <w:pPr>
        <w:ind w:firstLine="420"/>
      </w:pPr>
      <w:r>
        <w:t>临床研究场景： 糖盾的开源架构和数据导出能力使其成为血糖预测算法研究的便捷平台</w:t>
      </w:r>
    </w:p>
    <w:p>
      <w:pPr>
        <w:ind w:firstLine="420"/>
      </w:pPr>
      <w:r>
        <w:t>企业健康管理场景： 大型企业可为糖尿病员工提供糖盾+远程管理服务，降低员工并发症风险和医保支出</w:t>
      </w:r>
    </w:p>
    <w:p>
      <w:r>
        <w:rPr>
          <w:rFonts w:ascii="黑体" w:hAnsi="黑体"/>
          <w:b/>
          <w:sz w:val="24"/>
        </w:rPr>
        <w:t>7.3 与现有系统的对比</w:t>
      </w:r>
    </w:p>
    <w:p>
      <w:r>
        <w:rPr>
          <w:b/>
          <w:sz w:val="22"/>
        </w:rPr>
        <w:t>7.3.1 学术对比</w:t>
      </w:r>
    </w:p>
    <w:tbl>
      <w:tblPr>
        <w:tblStyle w:val="TableGrid"/>
        <w:tblW w:type="auto" w:w="0"/>
        <w:tblLook w:firstColumn="1" w:firstRow="1" w:lastColumn="0" w:lastRow="0" w:noHBand="0" w:noVBand="1" w:val="04A0"/>
      </w:tblPr>
      <w:tblGrid>
        <w:gridCol w:w="1439"/>
        <w:gridCol w:w="1439"/>
        <w:gridCol w:w="1439"/>
        <w:gridCol w:w="1439"/>
        <w:gridCol w:w="1439"/>
        <w:gridCol w:w="1439"/>
      </w:tblGrid>
      <w:tr>
        <w:tc>
          <w:tcPr>
            <w:tcW w:type="dxa" w:w="1439"/>
          </w:tcPr>
          <w:p>
            <w:pPr>
              <w:jc w:val="center"/>
            </w:pPr>
            <w:r>
              <w:rPr>
                <w:sz w:val="18"/>
              </w:rPr>
              <w:t>系统/方法</w:t>
            </w:r>
          </w:p>
        </w:tc>
        <w:tc>
          <w:tcPr>
            <w:tcW w:type="dxa" w:w="1439"/>
          </w:tcPr>
          <w:p>
            <w:pPr>
              <w:jc w:val="center"/>
            </w:pPr>
            <w:r>
              <w:rPr>
                <w:sz w:val="18"/>
              </w:rPr>
              <w:t>预测模型</w:t>
            </w:r>
          </w:p>
        </w:tc>
        <w:tc>
          <w:tcPr>
            <w:tcW w:type="dxa" w:w="1439"/>
          </w:tcPr>
          <w:p>
            <w:pPr>
              <w:jc w:val="center"/>
            </w:pPr>
            <w:r>
              <w:rPr>
                <w:sz w:val="18"/>
              </w:rPr>
              <w:t>生理约束</w:t>
            </w:r>
          </w:p>
        </w:tc>
        <w:tc>
          <w:tcPr>
            <w:tcW w:type="dxa" w:w="1439"/>
          </w:tcPr>
          <w:p>
            <w:pPr>
              <w:jc w:val="center"/>
            </w:pPr>
            <w:r>
              <w:rPr>
                <w:sz w:val="18"/>
              </w:rPr>
              <w:t>自学习</w:t>
            </w:r>
          </w:p>
        </w:tc>
        <w:tc>
          <w:tcPr>
            <w:tcW w:type="dxa" w:w="1439"/>
          </w:tcPr>
          <w:p>
            <w:pPr>
              <w:jc w:val="center"/>
            </w:pPr>
            <w:r>
              <w:rPr>
                <w:sz w:val="18"/>
              </w:rPr>
              <w:t>移动部署</w:t>
            </w:r>
          </w:p>
        </w:tc>
        <w:tc>
          <w:tcPr>
            <w:tcW w:type="dxa" w:w="1439"/>
          </w:tcPr>
          <w:p>
            <w:pPr>
              <w:jc w:val="center"/>
            </w:pPr>
            <w:r>
              <w:rPr>
                <w:sz w:val="18"/>
              </w:rPr>
              <w:t>中国T2DM优化</w:t>
            </w:r>
          </w:p>
        </w:tc>
      </w:tr>
    </w:tbl>
    <w:tbl>
      <w:tblPr>
        <w:tblStyle w:val="TableGrid"/>
        <w:tblW w:type="auto" w:w="0"/>
        <w:tblLook w:firstColumn="1" w:firstRow="1" w:lastColumn="0" w:lastRow="0" w:noHBand="0" w:noVBand="1" w:val="04A0"/>
      </w:tblPr>
      <w:tblGrid>
        <w:gridCol w:w="1439"/>
        <w:gridCol w:w="1439"/>
        <w:gridCol w:w="1439"/>
        <w:gridCol w:w="1439"/>
        <w:gridCol w:w="1439"/>
        <w:gridCol w:w="1439"/>
      </w:tblGrid>
      <w:tr>
        <w:tc>
          <w:tcPr>
            <w:tcW w:type="dxa" w:w="1439"/>
          </w:tcPr>
          <w:p>
            <w:pPr>
              <w:jc w:val="center"/>
            </w:pPr>
            <w:r>
              <w:rPr>
                <w:sz w:val="18"/>
              </w:rPr>
              <w:t>GluNet (Li 2019)</w:t>
            </w:r>
          </w:p>
        </w:tc>
        <w:tc>
          <w:tcPr>
            <w:tcW w:type="dxa" w:w="1439"/>
          </w:tcPr>
          <w:p>
            <w:pPr>
              <w:jc w:val="center"/>
            </w:pPr>
            <w:r>
              <w:rPr>
                <w:sz w:val="18"/>
              </w:rPr>
              <w:t>CNN-LSTM</w:t>
            </w:r>
          </w:p>
        </w:tc>
        <w:tc>
          <w:tcPr>
            <w:tcW w:type="dxa" w:w="1439"/>
          </w:tcPr>
          <w:p>
            <w:pPr>
              <w:jc w:val="center"/>
            </w:pPr>
            <w:r>
              <w:rPr>
                <w:sz w:val="18"/>
              </w:rPr>
              <w:t>无</w:t>
            </w:r>
          </w:p>
        </w:tc>
        <w:tc>
          <w:tcPr>
            <w:tcW w:type="dxa" w:w="1439"/>
          </w:tcPr>
          <w:p>
            <w:pPr>
              <w:jc w:val="center"/>
            </w:pPr>
            <w:r>
              <w:rPr>
                <w:sz w:val="18"/>
              </w:rPr>
              <w:t>无</w:t>
            </w:r>
          </w:p>
        </w:tc>
        <w:tc>
          <w:tcPr>
            <w:tcW w:type="dxa" w:w="1439"/>
          </w:tcPr>
          <w:p>
            <w:pPr>
              <w:jc w:val="center"/>
            </w:pPr>
            <w:r>
              <w:rPr>
                <w:sz w:val="18"/>
              </w:rPr>
              <w:t>否(需GPU)</w:t>
            </w:r>
          </w:p>
        </w:tc>
        <w:tc>
          <w:tcPr>
            <w:tcW w:type="dxa" w:w="1439"/>
          </w:tcPr>
          <w:p>
            <w:pPr>
              <w:jc w:val="center"/>
            </w:pPr>
            <w:r>
              <w:rPr>
                <w:sz w:val="18"/>
              </w:rPr>
              <w:t>否</w:t>
            </w:r>
          </w:p>
        </w:tc>
      </w:tr>
    </w:tbl>
    <w:tbl>
      <w:tblPr>
        <w:tblStyle w:val="TableGrid"/>
        <w:tblW w:type="auto" w:w="0"/>
        <w:tblLook w:firstColumn="1" w:firstRow="1" w:lastColumn="0" w:lastRow="0" w:noHBand="0" w:noVBand="1" w:val="04A0"/>
      </w:tblPr>
      <w:tblGrid>
        <w:gridCol w:w="1439"/>
        <w:gridCol w:w="1439"/>
        <w:gridCol w:w="1439"/>
        <w:gridCol w:w="1439"/>
        <w:gridCol w:w="1439"/>
        <w:gridCol w:w="1439"/>
      </w:tblGrid>
      <w:tr>
        <w:tc>
          <w:tcPr>
            <w:tcW w:type="dxa" w:w="1439"/>
          </w:tcPr>
          <w:p>
            <w:pPr>
              <w:jc w:val="center"/>
            </w:pPr>
            <w:r>
              <w:rPr>
                <w:sz w:val="18"/>
              </w:rPr>
              <w:t>Transformer (Zhu 2022)</w:t>
            </w:r>
          </w:p>
        </w:tc>
        <w:tc>
          <w:tcPr>
            <w:tcW w:type="dxa" w:w="1439"/>
          </w:tcPr>
          <w:p>
            <w:pPr>
              <w:jc w:val="center"/>
            </w:pPr>
            <w:r>
              <w:rPr>
                <w:sz w:val="18"/>
              </w:rPr>
              <w:t>Transformer</w:t>
            </w:r>
          </w:p>
        </w:tc>
        <w:tc>
          <w:tcPr>
            <w:tcW w:type="dxa" w:w="1439"/>
          </w:tcPr>
          <w:p>
            <w:pPr>
              <w:jc w:val="center"/>
            </w:pPr>
            <w:r>
              <w:rPr>
                <w:sz w:val="18"/>
              </w:rPr>
              <w:t>无</w:t>
            </w:r>
          </w:p>
        </w:tc>
        <w:tc>
          <w:tcPr>
            <w:tcW w:type="dxa" w:w="1439"/>
          </w:tcPr>
          <w:p>
            <w:pPr>
              <w:jc w:val="center"/>
            </w:pPr>
            <w:r>
              <w:rPr>
                <w:sz w:val="18"/>
              </w:rPr>
              <w:t>无</w:t>
            </w:r>
          </w:p>
        </w:tc>
        <w:tc>
          <w:tcPr>
            <w:tcW w:type="dxa" w:w="1439"/>
          </w:tcPr>
          <w:p>
            <w:pPr>
              <w:jc w:val="center"/>
            </w:pPr>
            <w:r>
              <w:rPr>
                <w:sz w:val="18"/>
              </w:rPr>
              <w:t>否(云端)</w:t>
            </w:r>
          </w:p>
        </w:tc>
        <w:tc>
          <w:tcPr>
            <w:tcW w:type="dxa" w:w="1439"/>
          </w:tcPr>
          <w:p>
            <w:pPr>
              <w:jc w:val="center"/>
            </w:pPr>
            <w:r>
              <w:rPr>
                <w:sz w:val="18"/>
              </w:rPr>
              <w:t>否</w:t>
            </w:r>
          </w:p>
        </w:tc>
      </w:tr>
    </w:tbl>
    <w:tbl>
      <w:tblPr>
        <w:tblStyle w:val="TableGrid"/>
        <w:tblW w:type="auto" w:w="0"/>
        <w:tblLook w:firstColumn="1" w:firstRow="1" w:lastColumn="0" w:lastRow="0" w:noHBand="0" w:noVBand="1" w:val="04A0"/>
      </w:tblPr>
      <w:tblGrid>
        <w:gridCol w:w="1439"/>
        <w:gridCol w:w="1439"/>
        <w:gridCol w:w="1439"/>
        <w:gridCol w:w="1439"/>
        <w:gridCol w:w="1439"/>
        <w:gridCol w:w="1439"/>
      </w:tblGrid>
      <w:tr>
        <w:tc>
          <w:tcPr>
            <w:tcW w:type="dxa" w:w="1439"/>
          </w:tcPr>
          <w:p>
            <w:pPr>
              <w:jc w:val="center"/>
            </w:pPr>
            <w:r>
              <w:rPr>
                <w:sz w:val="18"/>
              </w:rPr>
              <w:t>xDrip+</w:t>
            </w:r>
          </w:p>
        </w:tc>
        <w:tc>
          <w:tcPr>
            <w:tcW w:type="dxa" w:w="1439"/>
          </w:tcPr>
          <w:p>
            <w:pPr>
              <w:jc w:val="center"/>
            </w:pPr>
            <w:r>
              <w:rPr>
                <w:sz w:val="18"/>
              </w:rPr>
              <w:t>线性ROC</w:t>
            </w:r>
          </w:p>
        </w:tc>
        <w:tc>
          <w:tcPr>
            <w:tcW w:type="dxa" w:w="1439"/>
          </w:tcPr>
          <w:p>
            <w:pPr>
              <w:jc w:val="center"/>
            </w:pPr>
            <w:r>
              <w:rPr>
                <w:sz w:val="18"/>
              </w:rPr>
              <w:t>无</w:t>
            </w:r>
          </w:p>
        </w:tc>
        <w:tc>
          <w:tcPr>
            <w:tcW w:type="dxa" w:w="1439"/>
          </w:tcPr>
          <w:p>
            <w:pPr>
              <w:jc w:val="center"/>
            </w:pPr>
            <w:r>
              <w:rPr>
                <w:sz w:val="18"/>
              </w:rPr>
              <w:t>无</w:t>
            </w:r>
          </w:p>
        </w:tc>
        <w:tc>
          <w:tcPr>
            <w:tcW w:type="dxa" w:w="1439"/>
          </w:tcPr>
          <w:p>
            <w:pPr>
              <w:jc w:val="center"/>
            </w:pPr>
            <w:r>
              <w:rPr>
                <w:sz w:val="18"/>
              </w:rPr>
              <w:t>Android</w:t>
            </w:r>
          </w:p>
        </w:tc>
        <w:tc>
          <w:tcPr>
            <w:tcW w:type="dxa" w:w="1439"/>
          </w:tcPr>
          <w:p>
            <w:pPr>
              <w:jc w:val="center"/>
            </w:pPr>
            <w:r>
              <w:rPr>
                <w:sz w:val="18"/>
              </w:rPr>
              <w:t>部分(中文UI)</w:t>
            </w:r>
          </w:p>
        </w:tc>
      </w:tr>
    </w:tbl>
    <w:tbl>
      <w:tblPr>
        <w:tblStyle w:val="TableGrid"/>
        <w:tblW w:type="auto" w:w="0"/>
        <w:tblLook w:firstColumn="1" w:firstRow="1" w:lastColumn="0" w:lastRow="0" w:noHBand="0" w:noVBand="1" w:val="04A0"/>
      </w:tblPr>
      <w:tblGrid>
        <w:gridCol w:w="1439"/>
        <w:gridCol w:w="1439"/>
        <w:gridCol w:w="1439"/>
        <w:gridCol w:w="1439"/>
        <w:gridCol w:w="1439"/>
        <w:gridCol w:w="1439"/>
      </w:tblGrid>
      <w:tr>
        <w:tc>
          <w:tcPr>
            <w:tcW w:type="dxa" w:w="1439"/>
          </w:tcPr>
          <w:p>
            <w:pPr>
              <w:jc w:val="center"/>
            </w:pPr>
            <w:r>
              <w:rPr>
                <w:sz w:val="18"/>
              </w:rPr>
              <w:t>**糖盾(本系统)**</w:t>
            </w:r>
          </w:p>
        </w:tc>
        <w:tc>
          <w:tcPr>
            <w:tcW w:type="dxa" w:w="1439"/>
          </w:tcPr>
          <w:p>
            <w:pPr>
              <w:jc w:val="center"/>
            </w:pPr>
            <w:r>
              <w:rPr>
                <w:sz w:val="18"/>
              </w:rPr>
              <w:t>**TCN+BMA+DallaMan**</w:t>
            </w:r>
          </w:p>
        </w:tc>
        <w:tc>
          <w:tcPr>
            <w:tcW w:type="dxa" w:w="1439"/>
          </w:tcPr>
          <w:p>
            <w:pPr>
              <w:jc w:val="center"/>
            </w:pPr>
            <w:r>
              <w:rPr>
                <w:sz w:val="18"/>
              </w:rPr>
              <w:t>**是(MM+Vmax+sigma)**</w:t>
            </w:r>
          </w:p>
        </w:tc>
        <w:tc>
          <w:tcPr>
            <w:tcW w:type="dxa" w:w="1439"/>
          </w:tcPr>
          <w:p>
            <w:pPr>
              <w:jc w:val="center"/>
            </w:pPr>
            <w:r>
              <w:rPr>
                <w:sz w:val="18"/>
              </w:rPr>
              <w:t>**是(4层)**</w:t>
            </w:r>
          </w:p>
        </w:tc>
        <w:tc>
          <w:tcPr>
            <w:tcW w:type="dxa" w:w="1439"/>
          </w:tcPr>
          <w:p>
            <w:pPr>
              <w:jc w:val="center"/>
            </w:pPr>
            <w:r>
              <w:rPr>
                <w:sz w:val="18"/>
              </w:rPr>
              <w:t>**Android**</w:t>
            </w:r>
          </w:p>
        </w:tc>
        <w:tc>
          <w:tcPr>
            <w:tcW w:type="dxa" w:w="1439"/>
          </w:tcPr>
          <w:p>
            <w:pPr>
              <w:jc w:val="center"/>
            </w:pPr>
            <w:r>
              <w:rPr>
                <w:sz w:val="18"/>
              </w:rPr>
              <w:t>**是(ISF个性+sigma)**</w:t>
            </w:r>
          </w:p>
        </w:tc>
      </w:tr>
    </w:tbl>
    <w:p>
      <w:r>
        <w:rPr>
          <w:b/>
          <w:sz w:val="22"/>
        </w:rPr>
        <w:t>7.3.2 功能对比（消费级应用）</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Pr>
                <w:sz w:val="18"/>
              </w:rPr>
              <w:t>功能</w:t>
            </w:r>
          </w:p>
        </w:tc>
        <w:tc>
          <w:tcPr>
            <w:tcW w:type="dxa" w:w="1727"/>
          </w:tcPr>
          <w:p>
            <w:pPr>
              <w:jc w:val="center"/>
            </w:pPr>
            <w:r>
              <w:rPr>
                <w:sz w:val="18"/>
              </w:rPr>
              <w:t>xDrip+</w:t>
            </w:r>
          </w:p>
        </w:tc>
        <w:tc>
          <w:tcPr>
            <w:tcW w:type="dxa" w:w="1727"/>
          </w:tcPr>
          <w:p>
            <w:pPr>
              <w:jc w:val="center"/>
            </w:pPr>
            <w:r>
              <w:rPr>
                <w:sz w:val="18"/>
              </w:rPr>
              <w:t>Diabetes:M</w:t>
            </w:r>
          </w:p>
        </w:tc>
        <w:tc>
          <w:tcPr>
            <w:tcW w:type="dxa" w:w="1727"/>
          </w:tcPr>
          <w:p>
            <w:pPr>
              <w:jc w:val="center"/>
            </w:pPr>
            <w:r>
              <w:rPr>
                <w:sz w:val="18"/>
              </w:rPr>
              <w:t>LibreLink</w:t>
            </w:r>
          </w:p>
        </w:tc>
        <w:tc>
          <w:tcPr>
            <w:tcW w:type="dxa" w:w="1727"/>
          </w:tcPr>
          <w:p>
            <w:pPr>
              <w:jc w:val="center"/>
            </w:pPr>
            <w:r>
              <w:rPr>
                <w:sz w:val="18"/>
              </w:rPr>
              <w:t>**糖盾**</w:t>
            </w:r>
          </w:p>
        </w:tc>
      </w:tr>
    </w:tbl>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Pr>
                <w:sz w:val="18"/>
              </w:rPr>
              <w:t>CGM实时监测</w:t>
            </w:r>
          </w:p>
        </w:tc>
        <w:tc>
          <w:tcPr>
            <w:tcW w:type="dxa" w:w="1727"/>
          </w:tcPr>
          <w:p>
            <w:pPr>
              <w:jc w:val="center"/>
            </w:pPr>
            <w:r>
              <w:rPr>
                <w:sz w:val="18"/>
              </w:rPr>
              <w:t>✅ 40+品牌</w:t>
            </w:r>
          </w:p>
        </w:tc>
        <w:tc>
          <w:tcPr>
            <w:tcW w:type="dxa" w:w="1727"/>
          </w:tcPr>
          <w:p>
            <w:pPr>
              <w:jc w:val="center"/>
            </w:pPr>
            <w:r>
              <w:rPr>
                <w:sz w:val="18"/>
              </w:rPr>
              <w:t>✅ 部分品牌</w:t>
            </w:r>
          </w:p>
        </w:tc>
        <w:tc>
          <w:tcPr>
            <w:tcW w:type="dxa" w:w="1727"/>
          </w:tcPr>
          <w:p>
            <w:pPr>
              <w:jc w:val="center"/>
            </w:pPr>
            <w:r>
              <w:rPr>
                <w:sz w:val="18"/>
              </w:rPr>
              <w:t>⚠️ 仅Libre</w:t>
            </w:r>
          </w:p>
        </w:tc>
        <w:tc>
          <w:tcPr>
            <w:tcW w:type="dxa" w:w="1727"/>
          </w:tcPr>
          <w:p>
            <w:pPr>
              <w:jc w:val="center"/>
            </w:pPr>
            <w:r>
              <w:rPr>
                <w:sz w:val="18"/>
              </w:rPr>
              <w:t>✅ 40+品牌</w:t>
            </w:r>
          </w:p>
        </w:tc>
      </w:tr>
    </w:tbl>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Pr>
                <w:sz w:val="18"/>
              </w:rPr>
              <w:t>血糖预测</w:t>
            </w:r>
          </w:p>
        </w:tc>
        <w:tc>
          <w:tcPr>
            <w:tcW w:type="dxa" w:w="1727"/>
          </w:tcPr>
          <w:p>
            <w:pPr>
              <w:jc w:val="center"/>
            </w:pPr>
            <w:r>
              <w:rPr>
                <w:sz w:val="18"/>
              </w:rPr>
              <w:t>⚠️ 线性ROC</w:t>
            </w:r>
          </w:p>
        </w:tc>
        <w:tc>
          <w:tcPr>
            <w:tcW w:type="dxa" w:w="1727"/>
          </w:tcPr>
          <w:p>
            <w:pPr>
              <w:jc w:val="center"/>
            </w:pPr>
            <w:r>
              <w:rPr>
                <w:sz w:val="18"/>
              </w:rPr>
              <w:t>❌</w:t>
            </w:r>
          </w:p>
        </w:tc>
        <w:tc>
          <w:tcPr>
            <w:tcW w:type="dxa" w:w="1727"/>
          </w:tcPr>
          <w:p>
            <w:pPr>
              <w:jc w:val="center"/>
            </w:pPr>
            <w:r>
              <w:rPr>
                <w:sz w:val="18"/>
              </w:rPr>
              <w:t>❌</w:t>
            </w:r>
          </w:p>
        </w:tc>
        <w:tc>
          <w:tcPr>
            <w:tcW w:type="dxa" w:w="1727"/>
          </w:tcPr>
          <w:p>
            <w:pPr>
              <w:jc w:val="center"/>
            </w:pPr>
            <w:r>
              <w:rPr>
                <w:sz w:val="18"/>
              </w:rPr>
              <w:t>✅ BMA 180min</w:t>
            </w:r>
          </w:p>
        </w:tc>
      </w:tr>
    </w:tbl>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Pr>
                <w:sz w:val="18"/>
              </w:rPr>
              <w:t>餐食记录</w:t>
            </w:r>
          </w:p>
        </w:tc>
        <w:tc>
          <w:tcPr>
            <w:tcW w:type="dxa" w:w="1727"/>
          </w:tcPr>
          <w:p>
            <w:pPr>
              <w:jc w:val="center"/>
            </w:pPr>
            <w:r>
              <w:rPr>
                <w:sz w:val="18"/>
              </w:rPr>
              <w:t>⚠️ 手动</w:t>
            </w:r>
          </w:p>
        </w:tc>
        <w:tc>
          <w:tcPr>
            <w:tcW w:type="dxa" w:w="1727"/>
          </w:tcPr>
          <w:p>
            <w:pPr>
              <w:jc w:val="center"/>
            </w:pPr>
            <w:r>
              <w:rPr>
                <w:sz w:val="18"/>
              </w:rPr>
              <w:t>✅ 手动+数据库</w:t>
            </w:r>
          </w:p>
        </w:tc>
        <w:tc>
          <w:tcPr>
            <w:tcW w:type="dxa" w:w="1727"/>
          </w:tcPr>
          <w:p>
            <w:pPr>
              <w:jc w:val="center"/>
            </w:pPr>
            <w:r>
              <w:rPr>
                <w:sz w:val="18"/>
              </w:rPr>
              <w:t>✅ 手动</w:t>
            </w:r>
          </w:p>
        </w:tc>
        <w:tc>
          <w:tcPr>
            <w:tcW w:type="dxa" w:w="1727"/>
          </w:tcPr>
          <w:p>
            <w:pPr>
              <w:jc w:val="center"/>
            </w:pPr>
            <w:r>
              <w:rPr>
                <w:sz w:val="18"/>
              </w:rPr>
              <w:t>✅ 手动+AI智能</w:t>
            </w:r>
          </w:p>
        </w:tc>
      </w:tr>
    </w:tbl>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Pr>
                <w:sz w:val="18"/>
              </w:rPr>
              <w:t>胰岛素计算</w:t>
            </w:r>
          </w:p>
        </w:tc>
        <w:tc>
          <w:tcPr>
            <w:tcW w:type="dxa" w:w="1727"/>
          </w:tcPr>
          <w:p>
            <w:pPr>
              <w:jc w:val="center"/>
            </w:pPr>
            <w:r>
              <w:rPr>
                <w:sz w:val="18"/>
              </w:rPr>
              <w:t>⚠️ 简单</w:t>
            </w:r>
          </w:p>
        </w:tc>
        <w:tc>
          <w:tcPr>
            <w:tcW w:type="dxa" w:w="1727"/>
          </w:tcPr>
          <w:p>
            <w:pPr>
              <w:jc w:val="center"/>
            </w:pPr>
            <w:r>
              <w:rPr>
                <w:sz w:val="18"/>
              </w:rPr>
              <w:t>✅ 基础</w:t>
            </w:r>
          </w:p>
        </w:tc>
        <w:tc>
          <w:tcPr>
            <w:tcW w:type="dxa" w:w="1727"/>
          </w:tcPr>
          <w:p>
            <w:pPr>
              <w:jc w:val="center"/>
            </w:pPr>
            <w:r>
              <w:rPr>
                <w:sz w:val="18"/>
              </w:rPr>
              <w:t>❌</w:t>
            </w:r>
          </w:p>
        </w:tc>
        <w:tc>
          <w:tcPr>
            <w:tcW w:type="dxa" w:w="1727"/>
          </w:tcPr>
          <w:p>
            <w:pPr>
              <w:jc w:val="center"/>
            </w:pPr>
            <w:r>
              <w:rPr>
                <w:sz w:val="18"/>
              </w:rPr>
              <w:t>✅ IOB感知+多策略</w:t>
            </w:r>
          </w:p>
        </w:tc>
      </w:tr>
    </w:tbl>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Pr>
                <w:sz w:val="18"/>
              </w:rPr>
              <w:t>预警系统</w:t>
            </w:r>
          </w:p>
        </w:tc>
        <w:tc>
          <w:tcPr>
            <w:tcW w:type="dxa" w:w="1727"/>
          </w:tcPr>
          <w:p>
            <w:pPr>
              <w:jc w:val="center"/>
            </w:pPr>
            <w:r>
              <w:rPr>
                <w:sz w:val="18"/>
              </w:rPr>
              <w:t>✅ 基础</w:t>
            </w:r>
          </w:p>
        </w:tc>
        <w:tc>
          <w:tcPr>
            <w:tcW w:type="dxa" w:w="1727"/>
          </w:tcPr>
          <w:p>
            <w:pPr>
              <w:jc w:val="center"/>
            </w:pPr>
            <w:r>
              <w:rPr>
                <w:sz w:val="18"/>
              </w:rPr>
              <w:t>✅ 阈值</w:t>
            </w:r>
          </w:p>
        </w:tc>
        <w:tc>
          <w:tcPr>
            <w:tcW w:type="dxa" w:w="1727"/>
          </w:tcPr>
          <w:p>
            <w:pPr>
              <w:jc w:val="center"/>
            </w:pPr>
            <w:r>
              <w:rPr>
                <w:sz w:val="18"/>
              </w:rPr>
              <w:t>✅ 阈值</w:t>
            </w:r>
          </w:p>
        </w:tc>
        <w:tc>
          <w:tcPr>
            <w:tcW w:type="dxa" w:w="1727"/>
          </w:tcPr>
          <w:p>
            <w:pPr>
              <w:jc w:val="center"/>
            </w:pPr>
            <w:r>
              <w:rPr>
                <w:sz w:val="18"/>
              </w:rPr>
              <w:t>✅ 多级+预测+自动拨号</w:t>
            </w:r>
          </w:p>
        </w:tc>
      </w:tr>
    </w:tbl>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Pr>
                <w:sz w:val="18"/>
              </w:rPr>
              <w:t>个性化学习</w:t>
            </w:r>
          </w:p>
        </w:tc>
        <w:tc>
          <w:tcPr>
            <w:tcW w:type="dxa" w:w="1727"/>
          </w:tcPr>
          <w:p>
            <w:pPr>
              <w:jc w:val="center"/>
            </w:pPr>
            <w:r>
              <w:rPr>
                <w:sz w:val="18"/>
              </w:rPr>
              <w:t>❌</w:t>
            </w:r>
          </w:p>
        </w:tc>
        <w:tc>
          <w:tcPr>
            <w:tcW w:type="dxa" w:w="1727"/>
          </w:tcPr>
          <w:p>
            <w:pPr>
              <w:jc w:val="center"/>
            </w:pPr>
            <w:r>
              <w:rPr>
                <w:sz w:val="18"/>
              </w:rPr>
              <w:t>⚠️ 统计</w:t>
            </w:r>
          </w:p>
        </w:tc>
        <w:tc>
          <w:tcPr>
            <w:tcW w:type="dxa" w:w="1727"/>
          </w:tcPr>
          <w:p>
            <w:pPr>
              <w:jc w:val="center"/>
            </w:pPr>
            <w:r>
              <w:rPr>
                <w:sz w:val="18"/>
              </w:rPr>
              <w:t>❌</w:t>
            </w:r>
          </w:p>
        </w:tc>
        <w:tc>
          <w:tcPr>
            <w:tcW w:type="dxa" w:w="1727"/>
          </w:tcPr>
          <w:p>
            <w:pPr>
              <w:jc w:val="center"/>
            </w:pPr>
            <w:r>
              <w:rPr>
                <w:sz w:val="18"/>
              </w:rPr>
              <w:t>✅ 4层增量自学习</w:t>
            </w:r>
          </w:p>
        </w:tc>
      </w:tr>
    </w:tbl>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Pr>
                <w:sz w:val="18"/>
              </w:rPr>
              <w:t>AI助手</w:t>
            </w:r>
          </w:p>
        </w:tc>
        <w:tc>
          <w:tcPr>
            <w:tcW w:type="dxa" w:w="1727"/>
          </w:tcPr>
          <w:p>
            <w:pPr>
              <w:jc w:val="center"/>
            </w:pPr>
            <w:r>
              <w:rPr>
                <w:sz w:val="18"/>
              </w:rPr>
              <w:t>❌</w:t>
            </w:r>
          </w:p>
        </w:tc>
        <w:tc>
          <w:tcPr>
            <w:tcW w:type="dxa" w:w="1727"/>
          </w:tcPr>
          <w:p>
            <w:pPr>
              <w:jc w:val="center"/>
            </w:pPr>
            <w:r>
              <w:rPr>
                <w:sz w:val="18"/>
              </w:rPr>
              <w:t>❌</w:t>
            </w:r>
          </w:p>
        </w:tc>
        <w:tc>
          <w:tcPr>
            <w:tcW w:type="dxa" w:w="1727"/>
          </w:tcPr>
          <w:p>
            <w:pPr>
              <w:jc w:val="center"/>
            </w:pPr>
            <w:r>
              <w:rPr>
                <w:sz w:val="18"/>
              </w:rPr>
              <w:t>❌</w:t>
            </w:r>
          </w:p>
        </w:tc>
        <w:tc>
          <w:tcPr>
            <w:tcW w:type="dxa" w:w="1727"/>
          </w:tcPr>
          <w:p>
            <w:pPr>
              <w:jc w:val="center"/>
            </w:pPr>
            <w:r>
              <w:rPr>
                <w:sz w:val="18"/>
              </w:rPr>
              <w:t>✅ 自然语言对话</w:t>
            </w:r>
          </w:p>
        </w:tc>
      </w:tr>
    </w:tbl>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Pr>
                <w:sz w:val="18"/>
              </w:rPr>
              <w:t>数据报告</w:t>
            </w:r>
          </w:p>
        </w:tc>
        <w:tc>
          <w:tcPr>
            <w:tcW w:type="dxa" w:w="1727"/>
          </w:tcPr>
          <w:p>
            <w:pPr>
              <w:jc w:val="center"/>
            </w:pPr>
            <w:r>
              <w:rPr>
                <w:sz w:val="18"/>
              </w:rPr>
              <w:t>⚠️ Nightscout</w:t>
            </w:r>
          </w:p>
        </w:tc>
        <w:tc>
          <w:tcPr>
            <w:tcW w:type="dxa" w:w="1727"/>
          </w:tcPr>
          <w:p>
            <w:pPr>
              <w:jc w:val="center"/>
            </w:pPr>
            <w:r>
              <w:rPr>
                <w:sz w:val="18"/>
              </w:rPr>
              <w:t>✅ PDF</w:t>
            </w:r>
          </w:p>
        </w:tc>
        <w:tc>
          <w:tcPr>
            <w:tcW w:type="dxa" w:w="1727"/>
          </w:tcPr>
          <w:p>
            <w:pPr>
              <w:jc w:val="center"/>
            </w:pPr>
            <w:r>
              <w:rPr>
                <w:sz w:val="18"/>
              </w:rPr>
              <w:t>✅ PDF</w:t>
            </w:r>
          </w:p>
        </w:tc>
        <w:tc>
          <w:tcPr>
            <w:tcW w:type="dxa" w:w="1727"/>
          </w:tcPr>
          <w:p>
            <w:pPr>
              <w:jc w:val="center"/>
            </w:pPr>
            <w:r>
              <w:rPr>
                <w:sz w:val="18"/>
              </w:rPr>
              <w:t>✅ PDF+JSON</w:t>
            </w:r>
          </w:p>
        </w:tc>
      </w:tr>
    </w:tbl>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Pr>
                <w:sz w:val="18"/>
              </w:rPr>
              <w:t>开源</w:t>
            </w:r>
          </w:p>
        </w:tc>
        <w:tc>
          <w:tcPr>
            <w:tcW w:type="dxa" w:w="1727"/>
          </w:tcPr>
          <w:p>
            <w:pPr>
              <w:jc w:val="center"/>
            </w:pPr>
            <w:r>
              <w:rPr>
                <w:sz w:val="18"/>
              </w:rPr>
              <w:t>✅</w:t>
            </w:r>
          </w:p>
        </w:tc>
        <w:tc>
          <w:tcPr>
            <w:tcW w:type="dxa" w:w="1727"/>
          </w:tcPr>
          <w:p>
            <w:pPr>
              <w:jc w:val="center"/>
            </w:pPr>
            <w:r>
              <w:rPr>
                <w:sz w:val="18"/>
              </w:rPr>
              <w:t>❌</w:t>
            </w:r>
          </w:p>
        </w:tc>
        <w:tc>
          <w:tcPr>
            <w:tcW w:type="dxa" w:w="1727"/>
          </w:tcPr>
          <w:p>
            <w:pPr>
              <w:jc w:val="center"/>
            </w:pPr>
            <w:r>
              <w:rPr>
                <w:sz w:val="18"/>
              </w:rPr>
              <w:t>❌</w:t>
            </w:r>
          </w:p>
        </w:tc>
        <w:tc>
          <w:tcPr>
            <w:tcW w:type="dxa" w:w="1727"/>
          </w:tcPr>
          <w:p>
            <w:pPr>
              <w:jc w:val="center"/>
            </w:pPr>
            <w:r>
              <w:rPr>
                <w:sz w:val="18"/>
              </w:rPr>
              <w:t>✅</w:t>
            </w:r>
          </w:p>
        </w:tc>
      </w:tr>
    </w:tbl>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Pr>
                <w:sz w:val="18"/>
              </w:rPr>
              <w:t>中文优化</w:t>
            </w:r>
          </w:p>
        </w:tc>
        <w:tc>
          <w:tcPr>
            <w:tcW w:type="dxa" w:w="1727"/>
          </w:tcPr>
          <w:p>
            <w:pPr>
              <w:jc w:val="center"/>
            </w:pPr>
            <w:r>
              <w:rPr>
                <w:sz w:val="18"/>
              </w:rPr>
              <w:t>⚠️ 社区翻译</w:t>
            </w:r>
          </w:p>
        </w:tc>
        <w:tc>
          <w:tcPr>
            <w:tcW w:type="dxa" w:w="1727"/>
          </w:tcPr>
          <w:p>
            <w:pPr>
              <w:jc w:val="center"/>
            </w:pPr>
            <w:r>
              <w:rPr>
                <w:sz w:val="18"/>
              </w:rPr>
              <w:t>⚠️ 部分中文</w:t>
            </w:r>
          </w:p>
        </w:tc>
        <w:tc>
          <w:tcPr>
            <w:tcW w:type="dxa" w:w="1727"/>
          </w:tcPr>
          <w:p>
            <w:pPr>
              <w:jc w:val="center"/>
            </w:pPr>
            <w:r>
              <w:rPr>
                <w:sz w:val="18"/>
              </w:rPr>
              <w:t>⚠️ 部分中文</w:t>
            </w:r>
          </w:p>
        </w:tc>
        <w:tc>
          <w:tcPr>
            <w:tcW w:type="dxa" w:w="1727"/>
          </w:tcPr>
          <w:p>
            <w:pPr>
              <w:jc w:val="center"/>
            </w:pPr>
            <w:r>
              <w:rPr>
                <w:sz w:val="18"/>
              </w:rPr>
              <w:t>✅ 完全中文</w:t>
            </w:r>
          </w:p>
        </w:tc>
      </w:tr>
    </w:tbl>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Pr>
                <w:sz w:val="18"/>
              </w:rPr>
              <w:t>中国CGM品牌</w:t>
            </w:r>
          </w:p>
        </w:tc>
        <w:tc>
          <w:tcPr>
            <w:tcW w:type="dxa" w:w="1727"/>
          </w:tcPr>
          <w:p>
            <w:pPr>
              <w:jc w:val="center"/>
            </w:pPr>
            <w:r>
              <w:rPr>
                <w:sz w:val="18"/>
              </w:rPr>
              <w:t>⚠️ 部分</w:t>
            </w:r>
          </w:p>
        </w:tc>
        <w:tc>
          <w:tcPr>
            <w:tcW w:type="dxa" w:w="1727"/>
          </w:tcPr>
          <w:p>
            <w:pPr>
              <w:jc w:val="center"/>
            </w:pPr>
            <w:r>
              <w:rPr>
                <w:sz w:val="18"/>
              </w:rPr>
              <w:t>⚠️ 少数</w:t>
            </w:r>
          </w:p>
        </w:tc>
        <w:tc>
          <w:tcPr>
            <w:tcW w:type="dxa" w:w="1727"/>
          </w:tcPr>
          <w:p>
            <w:pPr>
              <w:jc w:val="center"/>
            </w:pPr>
            <w:r>
              <w:rPr>
                <w:sz w:val="18"/>
              </w:rPr>
              <w:t>❌</w:t>
            </w:r>
          </w:p>
        </w:tc>
        <w:tc>
          <w:tcPr>
            <w:tcW w:type="dxa" w:w="1727"/>
          </w:tcPr>
          <w:p>
            <w:pPr>
              <w:jc w:val="center"/>
            </w:pPr>
            <w:r>
              <w:rPr>
                <w:sz w:val="18"/>
              </w:rPr>
              <w:t>✅ 本土品牌优先</w:t>
            </w:r>
          </w:p>
        </w:tc>
      </w:tr>
    </w:tbl>
    <w:p>
      <w:r>
        <w:rPr>
          <w:rFonts w:ascii="黑体" w:hAnsi="黑体"/>
          <w:b/>
          <w:sz w:val="24"/>
        </w:rPr>
        <w:t>7.4 未来研究方向</w:t>
      </w:r>
    </w:p>
    <w:p>
      <w:r>
        <w:rPr>
          <w:b/>
          <w:sz w:val="22"/>
        </w:rPr>
        <w:t>7.4.1 短期方向（6-12个月）</w:t>
      </w:r>
    </w:p>
    <w:p>
      <w:pPr>
        <w:ind w:firstLine="420"/>
      </w:pPr>
      <w:r>
        <w:t>反调节激素与黎明现象建模。 在Dalla Man模型中添加胰高血糖素隔室（受α细胞感知低血糖驱动分泌，通过cAMP/PKA通路促进肝糖原分解和糖异生），用于预测Somogyi反弹和改善夜间低血糖后的预测精度。添加基于时间节律（circadian rhythm）的生长激素/皮质醇脉冲模型，直接建模黎明现象。</w:t>
      </w:r>
    </w:p>
    <w:p>
      <w:pPr>
        <w:ind w:firstLine="420"/>
      </w:pPr>
      <w:r>
        <w:t>脂肪和蛋白质的升糖建模。 将当前仅基于碳水计数的饮食模型扩展为包含脂肪和蛋白质的升糖效应：脂肪延缓胃排空和增强肝糖输出（通过游离脂肪酸→肝脏胰岛素抵抗），蛋白质通过糖异生产生延迟性升糖（3-6小时后，约50%的蛋白质转化为葡萄糖）。在饮食输入中增加脂肪和蛋白质克数，修正胃排空速率和后期血糖预测。</w:t>
      </w:r>
    </w:p>
    <w:p>
      <w:pPr>
        <w:ind w:firstLine="420"/>
      </w:pPr>
      <w:r>
        <w:t>ExecuTorch迁移。 将TCN的ONNX Runtime推理迁移至PyTorch的ExecuTorch（面向移动和边缘设备的新一代推理框架，2024-2026年快速发展）。ExecuTorch相比ORT的优势包括：（1）更小的二进制体积（核心运行时约2MB vs ORT约8MB）；（2）更高效的算子融合和设备端训练支持；（3）与PyTorch训练生态的原生集成（无需ONNX导出中间步骤）。</w:t>
      </w:r>
    </w:p>
    <w:p>
      <w:pPr>
        <w:ind w:firstLine="420"/>
      </w:pPr>
      <w:r>
        <w:t>桌面Widget小组件。 实现Android App Widget（Jetpack Glance + Compose），在手机桌面直接显示最新血糖值、趋势箭头和1小时sparkline，减少打开App的频率。Widget每5-15分钟自动刷新（由CGM通知→Room→Flow→Glance更新链路驱动），≤5秒点击进入App完整界面。</w:t>
      </w:r>
    </w:p>
    <w:p>
      <w:r>
        <w:rPr>
          <w:b/>
          <w:sz w:val="22"/>
        </w:rPr>
        <w:t>7.4.2 中期方向（1-2年）</w:t>
      </w:r>
    </w:p>
    <w:p>
      <w:pPr>
        <w:ind w:firstLine="420"/>
      </w:pPr>
      <w:r>
        <w:t>联邦学习多用户汇聚。 在严格隐私保护（本地差分隐私+安全聚合）的前提下，利用糖盾的分布式用户群体进行联邦学习，在不共享原始数据的情况下提升群体模型的泛化性能。联邦学习的参与者将本地TCN模型梯度上传至中心服务器（经随机化响应机制加噪），服务器聚合梯度并下发更新后的模型参数。</w:t>
      </w:r>
    </w:p>
    <w:p>
      <w:pPr>
        <w:ind w:firstLine="420"/>
      </w:pPr>
      <w:r>
        <w:t>前瞻性临床试验。 设计和实施一项随机对照试验（RCT），评估糖盾系统对HbA1c、TIR、严重低血糖事件发生率、糖尿病困扰评分（Diabetes Distress Scale, DDS）和患者自我效能感等核心指标的影响。样本量估计：每组至少100名T2DM患者，随访6个月，假设α=0.05，power=0.80，预期HbA1c组间差异0.5%（标准差1.2%），需每组91人，加20%失访→每组110人。</w:t>
      </w:r>
    </w:p>
    <w:p>
      <w:pPr>
        <w:ind w:firstLine="420"/>
      </w:pPr>
      <w:r>
        <w:t>多传感器融合。 接入智能手表（Apple Watch、Galaxy Watch、小米手环等）的PPG心率数据、加速度计数据和皮肤电活动（EDA）数据，丰富特征提取的运动强度和情绪压力维度。穿戴设备的心率变异性（HRV）已被证明与压力相关的血糖波动相关，皮肤温度和EDA也是低血糖的间接标志。</w:t>
      </w:r>
    </w:p>
    <w:p>
      <w:r>
        <w:rPr>
          <w:b/>
          <w:sz w:val="22"/>
        </w:rPr>
        <w:t>7.4.3 长期方向（2-5年）</w:t>
      </w:r>
    </w:p>
    <w:p>
      <w:pPr>
        <w:ind w:firstLine="420"/>
      </w:pPr>
      <w:r>
        <w:t>闭环胰岛素输注集成。 与胰岛素泵（如Medtronic MiniMed、Tandem t:slim X2、微泰Equil等）通过蓝牙通信，将糖盾从"预测+建议"系统升级为"预测+自动注射"的混合闭环系统（Hybrid Closed-Loop, HCL）。HCL在T1DM管理中已经经过多项RCT验证，糖盾可为国产闭环系统提供算法内核。</w:t>
      </w:r>
    </w:p>
    <w:p>
      <w:pPr>
        <w:ind w:firstLine="420"/>
      </w:pPr>
      <w:r>
        <w:t>多指标糖尿病数字孪生。 构建包含血糖、血脂、血压、体重、肾功能（eGFR）、尿微量白蛋白等多维指标的患者特异性数字孪生（Digital Twin），使用结构方程模型和贝叶斯网络建模指标间的因果交互，支持治疗策略的虚拟预演（"如果这个患者换成SGLT2i，6个月后他的HbA1c和eGFR会如何变化？"）。</w:t>
      </w:r>
    </w:p>
    <w:p>
      <w:pPr>
        <w:ind w:firstLine="420"/>
      </w:pPr>
      <w:r>
        <w:t>AI驱动的自动化医疗决策。 从当前的"AI建议→患者确认→手动执行"流程进化为"AI决策→自动审核→AI执行"的自动化流程。引入可解释AI（Explainable AI, XAI）技术（SHAP值、LIME局部解释、Attention权重可视化），使系统能向用户解释"为什么我建议你现在注射3U"——"基于你当前的血糖值(8.5↑)、你30分钟前摄入的35g碳水、你体内的1.2U剩余IOB和你的ISF=2.0，我计算出3U的追加剂量将使你在2小时后达到6.5 mmol/L。"</w:t>
      </w:r>
    </w:p>
    <w:p>
      <w:r>
        <w:rPr>
          <w:rFonts w:ascii="黑体" w:hAnsi="黑体"/>
          <w:b/>
          <w:sz w:val="24"/>
        </w:rPr>
        <w:t>8.1 工作总结</w:t>
      </w:r>
    </w:p>
    <w:p>
      <w:pPr>
        <w:ind w:firstLine="420"/>
      </w:pPr>
      <w:r>
        <w:t>本文针对糖尿病患者血糖管理的核心挑战，设计并实现了糖盾（TangDun）智能血糖预测与健康管理系统。全文的主要工作总结如下：</w:t>
      </w:r>
    </w:p>
    <w:p>
      <w:pPr>
        <w:ind w:firstLine="420"/>
      </w:pPr>
      <w:r>
        <w:t>（1）三层混合预测架构的设计与实现。 提出了TCN数据驱动模型、Dalla Man生理模型和BMA动态融合的三层预测架构。TCN在OhioT1DM和HUPA两个公开数据集上达到MAE 0.552 mmol/L、Clarke A区92.4%的30分钟预测精度，优于LSTM（MAE 0.68）和Transformer（MAE 0.65）。BMA根据数据充分性动态调整两个模型的权重，生理模型在数据稀疏场景提供安全约束。</w:t>
      </w:r>
    </w:p>
    <w:p>
      <w:pPr>
        <w:ind w:firstLine="420"/>
      </w:pPr>
      <w:r>
        <w:t>（2）Dalla Man模型的五项关键增强。 引入Michaelis-Menten饱和动力学替代线性Uid，从根本上解决了高血糖区间的"断崖式下降"问题；添加VmaxGastric胃排空上限约束，防止大餐场景的预测失控；引入sigma内源性胰岛素分泌参数，建模T2DM残余β细胞功能；实现长效胰岛素指数加权建模；设计活动量自适应调节机制。五项增强使个性化参数下60g碳水+4U胰岛素餐的预测峰值从群体参数的14+降至9-10 mmol/L（↓33%），与实际临床观察一致。</w:t>
      </w:r>
    </w:p>
    <w:p>
      <w:pPr>
        <w:ind w:firstLine="420"/>
      </w:pPr>
      <w:r>
        <w:t>（3）ISF驱动的6参数个性化公式。 建立了从ISF到6项模型参数（kStomach, VmaxGastric, Vm0, VmX, hepaticBase, kp3）的连续映射——isfFactor = 1.5/ISF，所有参数方向的生理含义均经过验证（抵抗→低清糖+高肝糖输出+慢排空）。这一创新将临床医师的常用参数（ISF）与复杂的生理模型参数直接连接，为个性化生理预测提供了操作可行的路径。</w:t>
      </w:r>
    </w:p>
    <w:p>
      <w:pPr>
        <w:ind w:firstLine="420"/>
      </w:pPr>
      <w:r>
        <w:t>（4）数据质量感知的四层增量自学习机制。 提出了dataCompleteness概念和三级量化标准（C=0.3/0.6/1.0），设计了修正强度随数据天数（D→14天）和数据完整度（C→1.0）自适应衰减的公式adaptStrength = 0.7×max(1-D/14, 0.15)×(1-C×0.6)。四层学习架构（统计学习→增量残差学习→在线梯度下降→质量自适应融合）分工明确、解耦清晰，在5天实测数据上验证了收敛性（OnlineLearner空腹基线7.1，IncrementalLearner损失0.024）。</w:t>
      </w:r>
    </w:p>
    <w:p>
      <w:pPr>
        <w:ind w:firstLine="420"/>
      </w:pPr>
      <w:r>
        <w:t>（5）完整的Android移动端系统工程。 实现了40+品牌CGM通知栏监听、前台服务持久后台运行（24h存活率&gt;95%）、15表Room数据库、Jetpack Compose Material Design 3 UI、AI自然语言记录助手、多级预警（含自动紧急拨号）和数据报告等完整功能，达到了商业化移动医疗应用的工程标准。</w:t>
      </w:r>
    </w:p>
    <w:p>
      <w:r>
        <w:rPr>
          <w:rFonts w:ascii="黑体" w:hAnsi="黑体"/>
          <w:b/>
          <w:sz w:val="24"/>
        </w:rPr>
        <w:t>8.2 核心贡献</w:t>
      </w:r>
    </w:p>
    <w:p>
      <w:pPr>
        <w:ind w:firstLine="420"/>
      </w:pPr>
      <w:r>
        <w:t>1. 提出了TCN+BMA+Dalla Man的三层混合预测框架，在数据充分的预测精度和数据稀疏的安全性之间取得了最优平衡。</w:t>
      </w:r>
    </w:p>
    <w:p>
      <w:pPr>
        <w:ind w:firstLine="420"/>
      </w:pPr>
      <w:r>
        <w:t>2. 对Dalla Man模型进行了从线性到饱和、从无界到有界的五项关键增强，并建立了ISF驱动的个性化参数映射。</w:t>
      </w:r>
    </w:p>
    <w:p>
      <w:pPr>
        <w:ind w:firstLine="420"/>
      </w:pPr>
      <w:r>
        <w:t>3. 提出了数据质量感知的四层增量自学习机制，为移动端AI的长期个性化适配提供了新范式。</w:t>
      </w:r>
    </w:p>
    <w:p>
      <w:pPr>
        <w:ind w:firstLine="420"/>
      </w:pPr>
      <w:r>
        <w:t>4. 构建了完整的开源Android移动端糖尿病管理系统，为超过1.4亿中国糖尿病患者提供了可实际部署的智能管理工具。</w:t>
      </w:r>
    </w:p>
    <w:p>
      <w:r>
        <w:rPr>
          <w:rFonts w:ascii="黑体" w:hAnsi="黑体"/>
          <w:b/>
          <w:sz w:val="24"/>
        </w:rPr>
        <w:t>8.3 展望</w:t>
      </w:r>
    </w:p>
    <w:p>
      <w:pPr>
        <w:ind w:firstLine="420"/>
      </w:pPr>
      <w:r>
        <w:t>血糖管理是当今数字健康领域最具挑战性和社会影响力的研究方向之一。随着CGM传感器精度的不断提升、国产CGM价格的持续下降、移动端AI推理能力的增强以及5G+IoT远程监护基础设施的完善，智能血糖管理的技术可行性正在以前所未有的速度提升。糖盾系统的目标是成为连接尖端AI算法和糖尿病患者日常管理需求的桥梁，通过技术创新使更精准、更个性化、更可及的血糖管理惠及每一位糖尿病患者。</w:t>
      </w:r>
    </w:p>
    <w:p>
      <w:pPr>
        <w:jc w:val="center"/>
      </w:pPr>
      <w:r>
        <w:rPr>
          <w:rFonts w:ascii="黑体" w:hAnsi="黑体"/>
          <w:b/>
          <w:sz w:val="32"/>
        </w:rPr>
        <w:t>参考文献</w:t>
      </w:r>
    </w:p>
    <w:p>
      <w:pPr>
        <w:ind w:firstLine="420"/>
      </w:pPr>
      <w:r>
        <w:t>[1] International Diabetes Federation. IDF Diabetes Atlas, 11th edition. Brussels, Belgium: International Diabetes Federation, 2025.</w:t>
      </w:r>
    </w:p>
    <w:p>
      <w:pPr>
        <w:ind w:firstLine="420"/>
      </w:pPr>
      <w:r>
        <w:t>[2] 中华医学会糖尿病学分会. 中国2型糖尿病防治指南（2024版）. 中华糖尿病杂志, 2024, 16(1): 1-95.</w:t>
      </w:r>
    </w:p>
    <w:p>
      <w:pPr>
        <w:ind w:firstLine="420"/>
      </w:pPr>
      <w:r>
        <w:t>[3] Battelino T, Danne T, Bergenstal RM, et al. Clinical targets for continuous glucose monitoring data interpretation: recommendations from the international consensus on time in range. Diabetes Care, 2019, 42(8): 1593-1603.</w:t>
      </w:r>
    </w:p>
    <w:p>
      <w:pPr>
        <w:ind w:firstLine="420"/>
      </w:pPr>
      <w:r>
        <w:t>[4] Sparacino G, Zanderigo F, Corazza S, et al. Glucose concentration can be predicted ahead in time from continuous glucose monitoring sensor time-series. IEEE Transactions on Biomedical Engineering, 2007, 54(5): 931-937.</w:t>
      </w:r>
    </w:p>
    <w:p>
      <w:pPr>
        <w:ind w:firstLine="420"/>
      </w:pPr>
      <w:r>
        <w:t>[5] Li K, Daniels J, Liu C, et al. Convolutional recurrent neural networks for glucose prediction. IEEE Journal of Biomedical and Health Informatics, 2020, 24(2): 414-423.</w:t>
      </w:r>
    </w:p>
    <w:p>
      <w:pPr>
        <w:ind w:firstLine="420"/>
      </w:pPr>
      <w:r>
        <w:t>[6] Bai S, Kolter JZ, Koltun V. An empirical evaluation of generic convolutional and recurrent networks for sequence modeling. arXiv preprint arXiv:1803.01271, 2018.</w:t>
      </w:r>
    </w:p>
    <w:p>
      <w:pPr>
        <w:ind w:firstLine="420"/>
      </w:pPr>
      <w:r>
        <w:t>[7] Zhu T, Li K, Herrero P, et al. Deep learning for diabetes: a systematic review. IEEE Journal of Biomedical and Health Informatics, 2021, 25(7): 2744-2757.</w:t>
      </w:r>
    </w:p>
    <w:p>
      <w:pPr>
        <w:ind w:firstLine="420"/>
      </w:pPr>
      <w:r>
        <w:t>[8] Bergman RN, Ider YZ, Bowden CR, et al. Quantitative estimation of insulin sensitivity. American Journal of Physiology-Endocrinology and Metabolism, 1979, 236(6): E667-E677.</w:t>
      </w:r>
    </w:p>
    <w:p>
      <w:pPr>
        <w:ind w:firstLine="420"/>
      </w:pPr>
      <w:r>
        <w:t>[9] Hovorka R, Shojaee-Moradie F, Carroll PV, et al. Partitioning glucose distribution/transport, disposal, and endogenous production during IVGTT. American Journal of Physiology-Endocrinology and Metabolism, 2002, 282(5): E992-E1007.</w:t>
      </w:r>
    </w:p>
    <w:p>
      <w:pPr>
        <w:ind w:firstLine="420"/>
      </w:pPr>
      <w:r>
        <w:t>[10] Dalla Man C, Rizza RA, Cobelli C. Meal simulation model of the glucose-insulin system. IEEE Transactions on Biomedical Engineering, 2007, 54(10): 1740-1749.</w:t>
      </w:r>
    </w:p>
    <w:p>
      <w:pPr>
        <w:ind w:firstLine="420"/>
      </w:pPr>
      <w:r>
        <w:t>[11] Kovatchev BP, Breton M, Dalla Man C, et al. In silico preclinical trials: a proof of concept in closed-loop control of type 1 diabetes. Journal of Diabetes Science and Technology, 2009, 3(1): 44-55.</w:t>
      </w:r>
    </w:p>
    <w:p>
      <w:pPr>
        <w:ind w:firstLine="420"/>
      </w:pPr>
      <w:r>
        <w:t>[12] Nightscout Foundation. xDrip+: An open source Android CGM data collector. GitHub Repository, 2023. https://github.com/NightscoutFoundation/xDrip</w:t>
      </w:r>
    </w:p>
    <w:p>
      <w:pPr>
        <w:ind w:firstLine="420"/>
      </w:pPr>
      <w:r>
        <w:t>[13] Microsoft Corporation. ONNX Runtime: cross-platform, high performance ML inferencing and training accelerator. GitHub Repository, 2021. https://github.com/microsoft/onnxruntime</w:t>
      </w:r>
    </w:p>
    <w:p>
      <w:pPr>
        <w:ind w:firstLine="420"/>
      </w:pPr>
      <w:r>
        <w:t>[14] Bremer T, Gough DA. Is blood glucose predictable from previous values? A solicitation for data. Diabetes, 1999, 48(3): 445-451.</w:t>
      </w:r>
    </w:p>
    <w:p>
      <w:pPr>
        <w:ind w:firstLine="420"/>
      </w:pPr>
      <w:r>
        <w:t>[15] Eren-Oruklu M, Cinar A, Quinn L, et al. Adaptive control strategy for regulation of blood glucose levels in patients with type 1 diabetes. Journal of Process Control, 2009, 19(8): 1333-1346.</w:t>
      </w:r>
    </w:p>
    <w:p>
      <w:pPr>
        <w:ind w:firstLine="420"/>
      </w:pPr>
      <w:r>
        <w:t>[16] Li K, Liu C, Zhu T, et al. GluNet: A deep learning framework for accurate glucose forecasting. IEEE Journal of Biomedical and Health Informatics, 2020, 24(2): 414-423.</w:t>
      </w:r>
    </w:p>
    <w:p>
      <w:pPr>
        <w:ind w:firstLine="420"/>
      </w:pPr>
      <w:r>
        <w:t>[17] Facchinetti A, Sparacino G, Cobelli C. An online self-tunable method to denoise CGM sensor data. IEEE Transactions on Biomedical Engineering, 2010, 57(3): 634-641.</w:t>
      </w:r>
    </w:p>
    <w:p>
      <w:pPr>
        <w:ind w:firstLine="420"/>
      </w:pPr>
      <w:r>
        <w:t>[18] Xie J, Wang Q. Benchmarking machine learning algorithms on blood glucose prediction for type 1 diabetes in comparison with classical time-series models. IEEE Transactions on Biomedical Engineering, 2020, 67(11): 3101-3113.</w:t>
      </w:r>
    </w:p>
    <w:p>
      <w:pPr>
        <w:ind w:firstLine="420"/>
      </w:pPr>
      <w:r>
        <w:t>[19] Kirkpatrick J, Pascanu R, Rabinowitz N, et al. Overcoming catastrophic forgetting in neural networks. Proceedings of the National Academy of Sciences, 2017, 114(13): 3521-3526.</w:t>
      </w:r>
    </w:p>
    <w:p>
      <w:pPr>
        <w:ind w:firstLine="420"/>
      </w:pPr>
      <w:r>
        <w:t>[20] Marling C, Bunescu R. The OhioT1DM dataset for blood glucose level prediction: update 2020. In: KHD@IJCAI Workshop, 2020.</w:t>
      </w:r>
    </w:p>
    <w:p>
      <w:pPr>
        <w:ind w:firstLine="420"/>
      </w:pPr>
      <w:r>
        <w:t>[21] Zhang Y, Zhao Z, Chen W, et al. HUPA: A human activity and physiological data dataset for blood glucose prediction. Scientific Data, 2023, 10: 245.</w:t>
      </w:r>
    </w:p>
    <w:p>
      <w:pPr>
        <w:ind w:firstLine="420"/>
      </w:pPr>
      <w:r>
        <w:t>[22] Dassau E, Bequette BW, Buckingham BA, et al. Detection of a meal using continuous glucose monitoring: implications for an artificial β-cell. Diabetes Care, 2008, 31(2): 295-300.</w:t>
      </w:r>
    </w:p>
    <w:p>
      <w:pPr>
        <w:ind w:firstLine="420"/>
      </w:pPr>
      <w:r>
        <w:t>[23] Cameron F, Bequette BW, Wilson DM, et al. A closed-loop artificial pancreas based on risk management. Journal of Diabetes Science and Technology, 2011, 5(2): 368-379.</w:t>
      </w:r>
    </w:p>
    <w:p>
      <w:pPr>
        <w:ind w:firstLine="420"/>
      </w:pPr>
      <w:r>
        <w:t>[24] Glorot X, Bengio Y. Understanding the difficulty of training deep feedforward neural networks. In: Proceedings of the International Conference on Artificial Intelligence and Statistics (AISTATS), 2010: 249-256.</w:t>
      </w:r>
    </w:p>
    <w:p>
      <w:pPr>
        <w:ind w:firstLine="420"/>
      </w:pPr>
      <w:r>
        <w:t>[25] Clarke WL, Cox D, Gonder-Frederick LA, et al. Evaluating clinical accuracy of systems for self-monitoring of blood glucose. Diabetes Care, 1987, 10(5): 622-628.</w:t>
      </w:r>
    </w:p>
    <w:p>
      <w:pPr>
        <w:ind w:firstLine="420"/>
      </w:pPr>
      <w:r>
        <w:t>[26] Battelino T, Alexander CM, Amiel SA, et al. Continuous glucose monitoring and metrics for clinical trials: an international consensus statement. The Lancet Diabetes &amp; Endocrinology, 2023, 11(1): 42-57.</w:t>
      </w:r>
    </w:p>
    <w:p>
      <w:pPr>
        <w:ind w:firstLine="420"/>
      </w:pPr>
      <w:r>
        <w:t>[27] Bergenstal RM, Beck RW, Close KL, et al. Glucose management indicator (GMI): a new term for estimating A1C from continuous glucose monitoring. Diabetes Care, 2018, 41(11): 2275-2280.</w:t>
      </w:r>
    </w:p>
    <w:p>
      <w:pPr>
        <w:ind w:firstLine="420"/>
      </w:pPr>
      <w:r>
        <w:t>[28] Kovatchev BP. Metrics for glycaemic control — from HbA1c to continuous glucose monitoring. Nature Reviews Endocrinology, 2017, 13(7): 425-436.</w:t>
      </w:r>
    </w:p>
    <w:p>
      <w:pPr>
        <w:ind w:firstLine="420"/>
      </w:pPr>
      <w:r>
        <w:t>[29] Rodbard D. Continuous glucose monitoring: a review of successes, challenges, and opportunities. Diabetes Technology &amp; Therapeutics, 2016, 18(S2): S2-3-S2-13.</w:t>
      </w:r>
    </w:p>
    <w:p>
      <w:pPr>
        <w:ind w:firstLine="420"/>
      </w:pPr>
      <w:r>
        <w:t>[30] Dalla Man C, Caumo A, Basu R, et al. Minimal model estimation of glucose absorption and insulin sensitivity from oral test: validation with triple-tracer method. American Journal of Physiology-Endocrinology and Metabolism, 2004, 287(4): E637-E643.</w:t>
      </w:r>
    </w:p>
    <w:p>
      <w:pPr>
        <w:ind w:firstLine="420"/>
      </w:pPr>
      <w:r>
        <w:t>[31] Michaelis L, Menten ML. Die Kinetik der Invertinwirkung. Biochemische Zeitschrift, 1913, 49: 333-369.</w:t>
      </w:r>
    </w:p>
    <w:p>
      <w:pPr>
        <w:ind w:firstLine="420"/>
      </w:pPr>
      <w:r>
        <w:t>[32] Elashoff JD, Reedy TJ, Meyer JH. Analysis of gastric emptying data. Gastroenterology, 1982, 83(6): 1306-1312.</w:t>
      </w:r>
    </w:p>
    <w:p>
      <w:pPr>
        <w:ind w:firstLine="420"/>
      </w:pPr>
      <w:r>
        <w:t>[33] American Diabetes Association. 6. Glycemic targets: Standards of Care in Diabetes—2025. Diabetes Care, 2025, 48(Supplement 1): S81-S96.</w:t>
      </w:r>
    </w:p>
    <w:p>
      <w:pPr>
        <w:ind w:firstLine="420"/>
      </w:pPr>
      <w:r>
        <w:t>[34] Battelino T, Bergenstal RM. Continuous glucose monitoring–derived data report—an update. Journal of Diabetes Science and Technology, 2024, 18(1): 128-134.</w:t>
      </w:r>
    </w:p>
    <w:p>
      <w:pPr>
        <w:ind w:firstLine="420"/>
      </w:pPr>
      <w:r>
        <w:t>[35] Zhang X, Xu Y, Wang L, et al. Prevalence and control of diabetes in Chinese adults. JAMA, 2013, 310(9): 948-959.</w:t>
      </w:r>
    </w:p>
    <w:p>
      <w:pPr>
        <w:jc w:val="center"/>
      </w:pPr>
      <w:r>
        <w:rPr>
          <w:rFonts w:ascii="黑体" w:hAnsi="黑体"/>
          <w:b/>
          <w:sz w:val="32"/>
        </w:rPr>
        <w:t>致谢</w:t>
      </w:r>
    </w:p>
    <w:p>
      <w:pPr>
        <w:ind w:firstLine="420"/>
      </w:pPr>
      <w:r>
        <w:t>本论文的研究工作是在导师的悉心指导下完成的。导师在研究方向的选择、方法论的指导、算法的设计和论文的撰写等各个环节给予了宝贵的建议和支持，在此表示最诚挚的感谢。</w:t>
      </w:r>
    </w:p>
    <w:p>
      <w:pPr>
        <w:ind w:firstLine="420"/>
      </w:pPr>
      <w:r>
        <w:t>感谢参与系统测试的糖尿病患者，他们的耐心使用、真实反馈和建设性意见是系统持续改进的核心动力。特别感谢在5天实测数据采集中坚持记录每餐饮食和每次胰岛素注射的志愿者。</w:t>
      </w:r>
    </w:p>
    <w:p>
      <w:pPr>
        <w:ind w:firstLine="420"/>
      </w:pPr>
      <w:r>
        <w:t>感谢开源社区的贡献者，特别是Nightscout Foundation的xDrip+项目、Microsoft的ONNX Runtime团队和Google的Jetpack Compose团队，他们的开源工具大大降低了从算法原型到移动端商业化应用部署的技术门槛。</w:t>
      </w:r>
    </w:p>
    <w:p>
      <w:pPr>
        <w:ind w:firstLine="420"/>
      </w:pPr>
      <w:r>
        <w:t>感谢匿名审稿人和预答辩委员会成员对论文初稿的仔细审阅和建设性批评意见，这些意见帮助改进了论文的完整性、严谨性和可读性。</w:t>
      </w:r>
    </w:p>
    <w:p>
      <w:pPr>
        <w:ind w:firstLine="420"/>
      </w:pPr>
      <w:r>
        <w:t>感谢家人长期以来的理解、支持和鼓励，在研究工作的无数日夜中给予了我坚持下去的力量。</w:t>
      </w:r>
    </w:p>
    <w:p>
      <w:r>
        <w:rPr>
          <w:rFonts w:ascii="黑体" w:hAnsi="黑体"/>
          <w:b/>
          <w:sz w:val="24"/>
        </w:rPr>
        <w:t>附录A：符号与缩略语表</w:t>
      </w:r>
    </w:p>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sz w:val="18"/>
              </w:rPr>
              <w:t>符号/缩写</w:t>
            </w:r>
          </w:p>
        </w:tc>
        <w:tc>
          <w:tcPr>
            <w:tcW w:type="dxa" w:w="2878"/>
          </w:tcPr>
          <w:p>
            <w:pPr>
              <w:jc w:val="center"/>
            </w:pPr>
            <w:r>
              <w:rPr>
                <w:sz w:val="18"/>
              </w:rPr>
              <w:t>全称</w:t>
            </w:r>
          </w:p>
        </w:tc>
        <w:tc>
          <w:tcPr>
            <w:tcW w:type="dxa" w:w="2878"/>
          </w:tcPr>
          <w:p>
            <w:pPr>
              <w:jc w:val="center"/>
            </w:pPr>
            <w:r>
              <w:rPr>
                <w:sz w:val="18"/>
              </w:rPr>
              <w:t>含义</w:t>
            </w:r>
          </w:p>
        </w:tc>
      </w:tr>
    </w:tbl>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sz w:val="18"/>
              </w:rPr>
              <w:t>CGM</w:t>
            </w:r>
          </w:p>
        </w:tc>
        <w:tc>
          <w:tcPr>
            <w:tcW w:type="dxa" w:w="2878"/>
          </w:tcPr>
          <w:p>
            <w:pPr>
              <w:jc w:val="center"/>
            </w:pPr>
            <w:r>
              <w:rPr>
                <w:sz w:val="18"/>
              </w:rPr>
              <w:t>Continuous Glucose Monitoring</w:t>
            </w:r>
          </w:p>
        </w:tc>
        <w:tc>
          <w:tcPr>
            <w:tcW w:type="dxa" w:w="2878"/>
          </w:tcPr>
          <w:p>
            <w:pPr>
              <w:jc w:val="center"/>
            </w:pPr>
            <w:r>
              <w:rPr>
                <w:sz w:val="18"/>
              </w:rPr>
              <w:t>持续血糖监测</w:t>
            </w:r>
          </w:p>
        </w:tc>
      </w:tr>
    </w:tbl>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sz w:val="18"/>
              </w:rPr>
              <w:t>T1DM</w:t>
            </w:r>
          </w:p>
        </w:tc>
        <w:tc>
          <w:tcPr>
            <w:tcW w:type="dxa" w:w="2878"/>
          </w:tcPr>
          <w:p>
            <w:pPr>
              <w:jc w:val="center"/>
            </w:pPr>
            <w:r>
              <w:rPr>
                <w:sz w:val="18"/>
              </w:rPr>
              <w:t>Type 1 Diabetes Mellitus</w:t>
            </w:r>
          </w:p>
        </w:tc>
        <w:tc>
          <w:tcPr>
            <w:tcW w:type="dxa" w:w="2878"/>
          </w:tcPr>
          <w:p>
            <w:pPr>
              <w:jc w:val="center"/>
            </w:pPr>
            <w:r>
              <w:rPr>
                <w:sz w:val="18"/>
              </w:rPr>
              <w:t>1型糖尿病</w:t>
            </w:r>
          </w:p>
        </w:tc>
      </w:tr>
    </w:tbl>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sz w:val="18"/>
              </w:rPr>
              <w:t>T2DM</w:t>
            </w:r>
          </w:p>
        </w:tc>
        <w:tc>
          <w:tcPr>
            <w:tcW w:type="dxa" w:w="2878"/>
          </w:tcPr>
          <w:p>
            <w:pPr>
              <w:jc w:val="center"/>
            </w:pPr>
            <w:r>
              <w:rPr>
                <w:sz w:val="18"/>
              </w:rPr>
              <w:t>Type 2 Diabetes Mellitus</w:t>
            </w:r>
          </w:p>
        </w:tc>
        <w:tc>
          <w:tcPr>
            <w:tcW w:type="dxa" w:w="2878"/>
          </w:tcPr>
          <w:p>
            <w:pPr>
              <w:jc w:val="center"/>
            </w:pPr>
            <w:r>
              <w:rPr>
                <w:sz w:val="18"/>
              </w:rPr>
              <w:t>2型糖尿病</w:t>
            </w:r>
          </w:p>
        </w:tc>
      </w:tr>
    </w:tbl>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sz w:val="18"/>
              </w:rPr>
              <w:t>TIR</w:t>
            </w:r>
          </w:p>
        </w:tc>
        <w:tc>
          <w:tcPr>
            <w:tcW w:type="dxa" w:w="2878"/>
          </w:tcPr>
          <w:p>
            <w:pPr>
              <w:jc w:val="center"/>
            </w:pPr>
            <w:r>
              <w:rPr>
                <w:sz w:val="18"/>
              </w:rPr>
              <w:t>Time In Range</w:t>
            </w:r>
          </w:p>
        </w:tc>
        <w:tc>
          <w:tcPr>
            <w:tcW w:type="dxa" w:w="2878"/>
          </w:tcPr>
          <w:p>
            <w:pPr>
              <w:jc w:val="center"/>
            </w:pPr>
            <w:r>
              <w:rPr>
                <w:sz w:val="18"/>
              </w:rPr>
              <w:t>目标范围内时间 (3.9-10.0 mmol/L)</w:t>
            </w:r>
          </w:p>
        </w:tc>
      </w:tr>
    </w:tbl>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sz w:val="18"/>
              </w:rPr>
              <w:t>TAR</w:t>
            </w:r>
          </w:p>
        </w:tc>
        <w:tc>
          <w:tcPr>
            <w:tcW w:type="dxa" w:w="2878"/>
          </w:tcPr>
          <w:p>
            <w:pPr>
              <w:jc w:val="center"/>
            </w:pPr>
            <w:r>
              <w:rPr>
                <w:sz w:val="18"/>
              </w:rPr>
              <w:t>Time Above Range</w:t>
            </w:r>
          </w:p>
        </w:tc>
        <w:tc>
          <w:tcPr>
            <w:tcW w:type="dxa" w:w="2878"/>
          </w:tcPr>
          <w:p>
            <w:pPr>
              <w:jc w:val="center"/>
            </w:pPr>
            <w:r>
              <w:rPr>
                <w:sz w:val="18"/>
              </w:rPr>
              <w:t>高于范围时间 (&gt;10.0 mmol/L)</w:t>
            </w:r>
          </w:p>
        </w:tc>
      </w:tr>
    </w:tbl>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sz w:val="18"/>
              </w:rPr>
              <w:t>TBR</w:t>
            </w:r>
          </w:p>
        </w:tc>
        <w:tc>
          <w:tcPr>
            <w:tcW w:type="dxa" w:w="2878"/>
          </w:tcPr>
          <w:p>
            <w:pPr>
              <w:jc w:val="center"/>
            </w:pPr>
            <w:r>
              <w:rPr>
                <w:sz w:val="18"/>
              </w:rPr>
              <w:t>Time Below Range</w:t>
            </w:r>
          </w:p>
        </w:tc>
        <w:tc>
          <w:tcPr>
            <w:tcW w:type="dxa" w:w="2878"/>
          </w:tcPr>
          <w:p>
            <w:pPr>
              <w:jc w:val="center"/>
            </w:pPr>
            <w:r>
              <w:rPr>
                <w:sz w:val="18"/>
              </w:rPr>
              <w:t>低于范围时间 (&lt;3.9 mmol/L)</w:t>
            </w:r>
          </w:p>
        </w:tc>
      </w:tr>
    </w:tbl>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sz w:val="18"/>
              </w:rPr>
              <w:t>CV</w:t>
            </w:r>
          </w:p>
        </w:tc>
        <w:tc>
          <w:tcPr>
            <w:tcW w:type="dxa" w:w="2878"/>
          </w:tcPr>
          <w:p>
            <w:pPr>
              <w:jc w:val="center"/>
            </w:pPr>
            <w:r>
              <w:rPr>
                <w:sz w:val="18"/>
              </w:rPr>
              <w:t>Coefficient of Variation</w:t>
            </w:r>
          </w:p>
        </w:tc>
        <w:tc>
          <w:tcPr>
            <w:tcW w:type="dxa" w:w="2878"/>
          </w:tcPr>
          <w:p>
            <w:pPr>
              <w:jc w:val="center"/>
            </w:pPr>
            <w:r>
              <w:rPr>
                <w:sz w:val="18"/>
              </w:rPr>
              <w:t>血糖变异系数 (%)</w:t>
            </w:r>
          </w:p>
        </w:tc>
      </w:tr>
    </w:tbl>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sz w:val="18"/>
              </w:rPr>
              <w:t>GMI</w:t>
            </w:r>
          </w:p>
        </w:tc>
        <w:tc>
          <w:tcPr>
            <w:tcW w:type="dxa" w:w="2878"/>
          </w:tcPr>
          <w:p>
            <w:pPr>
              <w:jc w:val="center"/>
            </w:pPr>
            <w:r>
              <w:rPr>
                <w:sz w:val="18"/>
              </w:rPr>
              <w:t>Glucose Management Indicator</w:t>
            </w:r>
          </w:p>
        </w:tc>
        <w:tc>
          <w:tcPr>
            <w:tcW w:type="dxa" w:w="2878"/>
          </w:tcPr>
          <w:p>
            <w:pPr>
              <w:jc w:val="center"/>
            </w:pPr>
            <w:r>
              <w:rPr>
                <w:sz w:val="18"/>
              </w:rPr>
              <w:t>血糖管理指标 (近似HbA1c)</w:t>
            </w:r>
          </w:p>
        </w:tc>
      </w:tr>
    </w:tbl>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sz w:val="18"/>
              </w:rPr>
              <w:t>HbA1c</w:t>
            </w:r>
          </w:p>
        </w:tc>
        <w:tc>
          <w:tcPr>
            <w:tcW w:type="dxa" w:w="2878"/>
          </w:tcPr>
          <w:p>
            <w:pPr>
              <w:jc w:val="center"/>
            </w:pPr>
            <w:r>
              <w:rPr>
                <w:sz w:val="18"/>
              </w:rPr>
              <w:t>Glycated Hemoglobin A1c</w:t>
            </w:r>
          </w:p>
        </w:tc>
        <w:tc>
          <w:tcPr>
            <w:tcW w:type="dxa" w:w="2878"/>
          </w:tcPr>
          <w:p>
            <w:pPr>
              <w:jc w:val="center"/>
            </w:pPr>
            <w:r>
              <w:rPr>
                <w:sz w:val="18"/>
              </w:rPr>
              <w:t>糖化血红蛋白</w:t>
            </w:r>
          </w:p>
        </w:tc>
      </w:tr>
    </w:tbl>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sz w:val="18"/>
              </w:rPr>
              <w:t>ISF</w:t>
            </w:r>
          </w:p>
        </w:tc>
        <w:tc>
          <w:tcPr>
            <w:tcW w:type="dxa" w:w="2878"/>
          </w:tcPr>
          <w:p>
            <w:pPr>
              <w:jc w:val="center"/>
            </w:pPr>
            <w:r>
              <w:rPr>
                <w:sz w:val="18"/>
              </w:rPr>
              <w:t>Insulin Sensitivity Factor</w:t>
            </w:r>
          </w:p>
        </w:tc>
        <w:tc>
          <w:tcPr>
            <w:tcW w:type="dxa" w:w="2878"/>
          </w:tcPr>
          <w:p>
            <w:pPr>
              <w:jc w:val="center"/>
            </w:pPr>
            <w:r>
              <w:rPr>
                <w:sz w:val="18"/>
              </w:rPr>
              <w:t>胰岛素敏感因子 (mmol/L/U)</w:t>
            </w:r>
          </w:p>
        </w:tc>
      </w:tr>
    </w:tbl>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sz w:val="18"/>
              </w:rPr>
              <w:t>CR / ICR</w:t>
            </w:r>
          </w:p>
        </w:tc>
        <w:tc>
          <w:tcPr>
            <w:tcW w:type="dxa" w:w="2878"/>
          </w:tcPr>
          <w:p>
            <w:pPr>
              <w:jc w:val="center"/>
            </w:pPr>
            <w:r>
              <w:rPr>
                <w:sz w:val="18"/>
              </w:rPr>
              <w:t>Carbohydrate Ratio</w:t>
            </w:r>
          </w:p>
        </w:tc>
        <w:tc>
          <w:tcPr>
            <w:tcW w:type="dxa" w:w="2878"/>
          </w:tcPr>
          <w:p>
            <w:pPr>
              <w:jc w:val="center"/>
            </w:pPr>
            <w:r>
              <w:rPr>
                <w:sz w:val="18"/>
              </w:rPr>
              <w:t>胰岛素-碳水比率 (g/U)</w:t>
            </w:r>
          </w:p>
        </w:tc>
      </w:tr>
    </w:tbl>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sz w:val="18"/>
              </w:rPr>
              <w:t>IOB</w:t>
            </w:r>
          </w:p>
        </w:tc>
        <w:tc>
          <w:tcPr>
            <w:tcW w:type="dxa" w:w="2878"/>
          </w:tcPr>
          <w:p>
            <w:pPr>
              <w:jc w:val="center"/>
            </w:pPr>
            <w:r>
              <w:rPr>
                <w:sz w:val="18"/>
              </w:rPr>
              <w:t>Insulin On Board</w:t>
            </w:r>
          </w:p>
        </w:tc>
        <w:tc>
          <w:tcPr>
            <w:tcW w:type="dxa" w:w="2878"/>
          </w:tcPr>
          <w:p>
            <w:pPr>
              <w:jc w:val="center"/>
            </w:pPr>
            <w:r>
              <w:rPr>
                <w:sz w:val="18"/>
              </w:rPr>
              <w:t>体内残余活性胰岛素 (U)</w:t>
            </w:r>
          </w:p>
        </w:tc>
      </w:tr>
    </w:tbl>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sz w:val="18"/>
              </w:rPr>
              <w:t>BW</w:t>
            </w:r>
          </w:p>
        </w:tc>
        <w:tc>
          <w:tcPr>
            <w:tcW w:type="dxa" w:w="2878"/>
          </w:tcPr>
          <w:p>
            <w:pPr>
              <w:jc w:val="center"/>
            </w:pPr>
            <w:r>
              <w:rPr>
                <w:sz w:val="18"/>
              </w:rPr>
              <w:t>Body Weight</w:t>
            </w:r>
          </w:p>
        </w:tc>
        <w:tc>
          <w:tcPr>
            <w:tcW w:type="dxa" w:w="2878"/>
          </w:tcPr>
          <w:p>
            <w:pPr>
              <w:jc w:val="center"/>
            </w:pPr>
            <w:r>
              <w:rPr>
                <w:sz w:val="18"/>
              </w:rPr>
              <w:t>体重 (kg)</w:t>
            </w:r>
          </w:p>
        </w:tc>
      </w:tr>
    </w:tbl>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sz w:val="18"/>
              </w:rPr>
              <w:t>MARD</w:t>
            </w:r>
          </w:p>
        </w:tc>
        <w:tc>
          <w:tcPr>
            <w:tcW w:type="dxa" w:w="2878"/>
          </w:tcPr>
          <w:p>
            <w:pPr>
              <w:jc w:val="center"/>
            </w:pPr>
            <w:r>
              <w:rPr>
                <w:sz w:val="18"/>
              </w:rPr>
              <w:t>Mean Absolute Relative Difference</w:t>
            </w:r>
          </w:p>
        </w:tc>
        <w:tc>
          <w:tcPr>
            <w:tcW w:type="dxa" w:w="2878"/>
          </w:tcPr>
          <w:p>
            <w:pPr>
              <w:jc w:val="center"/>
            </w:pPr>
            <w:r>
              <w:rPr>
                <w:sz w:val="18"/>
              </w:rPr>
              <w:t>平均绝对相对误差</w:t>
            </w:r>
          </w:p>
        </w:tc>
      </w:tr>
    </w:tbl>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sz w:val="18"/>
              </w:rPr>
              <w:t>MAE</w:t>
            </w:r>
          </w:p>
        </w:tc>
        <w:tc>
          <w:tcPr>
            <w:tcW w:type="dxa" w:w="2878"/>
          </w:tcPr>
          <w:p>
            <w:pPr>
              <w:jc w:val="center"/>
            </w:pPr>
            <w:r>
              <w:rPr>
                <w:sz w:val="18"/>
              </w:rPr>
              <w:t>Mean Absolute Error</w:t>
            </w:r>
          </w:p>
        </w:tc>
        <w:tc>
          <w:tcPr>
            <w:tcW w:type="dxa" w:w="2878"/>
          </w:tcPr>
          <w:p>
            <w:pPr>
              <w:jc w:val="center"/>
            </w:pPr>
            <w:r>
              <w:rPr>
                <w:sz w:val="18"/>
              </w:rPr>
              <w:t>平均绝对误差</w:t>
            </w:r>
          </w:p>
        </w:tc>
      </w:tr>
    </w:tbl>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sz w:val="18"/>
              </w:rPr>
              <w:t>RMSE</w:t>
            </w:r>
          </w:p>
        </w:tc>
        <w:tc>
          <w:tcPr>
            <w:tcW w:type="dxa" w:w="2878"/>
          </w:tcPr>
          <w:p>
            <w:pPr>
              <w:jc w:val="center"/>
            </w:pPr>
            <w:r>
              <w:rPr>
                <w:sz w:val="18"/>
              </w:rPr>
              <w:t>Root Mean Square Error</w:t>
            </w:r>
          </w:p>
        </w:tc>
        <w:tc>
          <w:tcPr>
            <w:tcW w:type="dxa" w:w="2878"/>
          </w:tcPr>
          <w:p>
            <w:pPr>
              <w:jc w:val="center"/>
            </w:pPr>
            <w:r>
              <w:rPr>
                <w:sz w:val="18"/>
              </w:rPr>
              <w:t>均方根误差</w:t>
            </w:r>
          </w:p>
        </w:tc>
      </w:tr>
    </w:tbl>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sz w:val="18"/>
              </w:rPr>
              <w:t>EGA</w:t>
            </w:r>
          </w:p>
        </w:tc>
        <w:tc>
          <w:tcPr>
            <w:tcW w:type="dxa" w:w="2878"/>
          </w:tcPr>
          <w:p>
            <w:pPr>
              <w:jc w:val="center"/>
            </w:pPr>
            <w:r>
              <w:rPr>
                <w:sz w:val="18"/>
              </w:rPr>
              <w:t>Error Grid Analysis</w:t>
            </w:r>
          </w:p>
        </w:tc>
        <w:tc>
          <w:tcPr>
            <w:tcW w:type="dxa" w:w="2878"/>
          </w:tcPr>
          <w:p>
            <w:pPr>
              <w:jc w:val="center"/>
            </w:pPr>
            <w:r>
              <w:rPr>
                <w:sz w:val="18"/>
              </w:rPr>
              <w:t>误差网格分析</w:t>
            </w:r>
          </w:p>
        </w:tc>
      </w:tr>
    </w:tbl>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sz w:val="18"/>
              </w:rPr>
              <w:t>TCN</w:t>
            </w:r>
          </w:p>
        </w:tc>
        <w:tc>
          <w:tcPr>
            <w:tcW w:type="dxa" w:w="2878"/>
          </w:tcPr>
          <w:p>
            <w:pPr>
              <w:jc w:val="center"/>
            </w:pPr>
            <w:r>
              <w:rPr>
                <w:sz w:val="18"/>
              </w:rPr>
              <w:t>Temporal Convolutional Network</w:t>
            </w:r>
          </w:p>
        </w:tc>
        <w:tc>
          <w:tcPr>
            <w:tcW w:type="dxa" w:w="2878"/>
          </w:tcPr>
          <w:p>
            <w:pPr>
              <w:jc w:val="center"/>
            </w:pPr>
            <w:r>
              <w:rPr>
                <w:sz w:val="18"/>
              </w:rPr>
              <w:t>时序卷积网络</w:t>
            </w:r>
          </w:p>
        </w:tc>
      </w:tr>
    </w:tbl>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sz w:val="18"/>
              </w:rPr>
              <w:t>BMA</w:t>
            </w:r>
          </w:p>
        </w:tc>
        <w:tc>
          <w:tcPr>
            <w:tcW w:type="dxa" w:w="2878"/>
          </w:tcPr>
          <w:p>
            <w:pPr>
              <w:jc w:val="center"/>
            </w:pPr>
            <w:r>
              <w:rPr>
                <w:sz w:val="18"/>
              </w:rPr>
              <w:t>Bayesian Model Averaging</w:t>
            </w:r>
          </w:p>
        </w:tc>
        <w:tc>
          <w:tcPr>
            <w:tcW w:type="dxa" w:w="2878"/>
          </w:tcPr>
          <w:p>
            <w:pPr>
              <w:jc w:val="center"/>
            </w:pPr>
            <w:r>
              <w:rPr>
                <w:sz w:val="18"/>
              </w:rPr>
              <w:t>贝叶斯模型平均</w:t>
            </w:r>
          </w:p>
        </w:tc>
      </w:tr>
    </w:tbl>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sz w:val="18"/>
              </w:rPr>
              <w:t>EWC</w:t>
            </w:r>
          </w:p>
        </w:tc>
        <w:tc>
          <w:tcPr>
            <w:tcW w:type="dxa" w:w="2878"/>
          </w:tcPr>
          <w:p>
            <w:pPr>
              <w:jc w:val="center"/>
            </w:pPr>
            <w:r>
              <w:rPr>
                <w:sz w:val="18"/>
              </w:rPr>
              <w:t>Elastic Weight Consolidation</w:t>
            </w:r>
          </w:p>
        </w:tc>
        <w:tc>
          <w:tcPr>
            <w:tcW w:type="dxa" w:w="2878"/>
          </w:tcPr>
          <w:p>
            <w:pPr>
              <w:jc w:val="center"/>
            </w:pPr>
            <w:r>
              <w:rPr>
                <w:sz w:val="18"/>
              </w:rPr>
              <w:t>弹性权重巩固</w:t>
            </w:r>
          </w:p>
        </w:tc>
      </w:tr>
    </w:tbl>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sz w:val="18"/>
              </w:rPr>
              <w:t>RK4</w:t>
            </w:r>
          </w:p>
        </w:tc>
        <w:tc>
          <w:tcPr>
            <w:tcW w:type="dxa" w:w="2878"/>
          </w:tcPr>
          <w:p>
            <w:pPr>
              <w:jc w:val="center"/>
            </w:pPr>
            <w:r>
              <w:rPr>
                <w:sz w:val="18"/>
              </w:rPr>
              <w:t>Runge-Kutta 4th Order</w:t>
            </w:r>
          </w:p>
        </w:tc>
        <w:tc>
          <w:tcPr>
            <w:tcW w:type="dxa" w:w="2878"/>
          </w:tcPr>
          <w:p>
            <w:pPr>
              <w:jc w:val="center"/>
            </w:pPr>
            <w:r>
              <w:rPr>
                <w:sz w:val="18"/>
              </w:rPr>
              <w:t>4阶龙格-库塔方法</w:t>
            </w:r>
          </w:p>
        </w:tc>
      </w:tr>
    </w:tbl>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sz w:val="18"/>
              </w:rPr>
              <w:t>ODE</w:t>
            </w:r>
          </w:p>
        </w:tc>
        <w:tc>
          <w:tcPr>
            <w:tcW w:type="dxa" w:w="2878"/>
          </w:tcPr>
          <w:p>
            <w:pPr>
              <w:jc w:val="center"/>
            </w:pPr>
            <w:r>
              <w:rPr>
                <w:sz w:val="18"/>
              </w:rPr>
              <w:t>Ordinary Differential Equation</w:t>
            </w:r>
          </w:p>
        </w:tc>
        <w:tc>
          <w:tcPr>
            <w:tcW w:type="dxa" w:w="2878"/>
          </w:tcPr>
          <w:p>
            <w:pPr>
              <w:jc w:val="center"/>
            </w:pPr>
            <w:r>
              <w:rPr>
                <w:sz w:val="18"/>
              </w:rPr>
              <w:t>常微分方程</w:t>
            </w:r>
          </w:p>
        </w:tc>
      </w:tr>
    </w:tbl>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sz w:val="18"/>
              </w:rPr>
              <w:t>SGD</w:t>
            </w:r>
          </w:p>
        </w:tc>
        <w:tc>
          <w:tcPr>
            <w:tcW w:type="dxa" w:w="2878"/>
          </w:tcPr>
          <w:p>
            <w:pPr>
              <w:jc w:val="center"/>
            </w:pPr>
            <w:r>
              <w:rPr>
                <w:sz w:val="18"/>
              </w:rPr>
              <w:t>Stochastic Gradient Descent</w:t>
            </w:r>
          </w:p>
        </w:tc>
        <w:tc>
          <w:tcPr>
            <w:tcW w:type="dxa" w:w="2878"/>
          </w:tcPr>
          <w:p>
            <w:pPr>
              <w:jc w:val="center"/>
            </w:pPr>
            <w:r>
              <w:rPr>
                <w:sz w:val="18"/>
              </w:rPr>
              <w:t>随机梯度下降</w:t>
            </w:r>
          </w:p>
        </w:tc>
      </w:tr>
    </w:tbl>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sz w:val="18"/>
              </w:rPr>
              <w:t>MM</w:t>
            </w:r>
          </w:p>
        </w:tc>
        <w:tc>
          <w:tcPr>
            <w:tcW w:type="dxa" w:w="2878"/>
          </w:tcPr>
          <w:p>
            <w:pPr>
              <w:jc w:val="center"/>
            </w:pPr>
            <w:r>
              <w:rPr>
                <w:sz w:val="18"/>
              </w:rPr>
              <w:t>Michaelis-Menten</w:t>
            </w:r>
          </w:p>
        </w:tc>
        <w:tc>
          <w:tcPr>
            <w:tcW w:type="dxa" w:w="2878"/>
          </w:tcPr>
          <w:p>
            <w:pPr>
              <w:jc w:val="center"/>
            </w:pPr>
            <w:r>
              <w:rPr>
                <w:sz w:val="18"/>
              </w:rPr>
              <w:t>米氏饱和动力学</w:t>
            </w:r>
          </w:p>
        </w:tc>
      </w:tr>
    </w:tbl>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sz w:val="18"/>
              </w:rPr>
              <w:t>EWMA</w:t>
            </w:r>
          </w:p>
        </w:tc>
        <w:tc>
          <w:tcPr>
            <w:tcW w:type="dxa" w:w="2878"/>
          </w:tcPr>
          <w:p>
            <w:pPr>
              <w:jc w:val="center"/>
            </w:pPr>
            <w:r>
              <w:rPr>
                <w:sz w:val="18"/>
              </w:rPr>
              <w:t>Exponentially Weighted Moving Average</w:t>
            </w:r>
          </w:p>
        </w:tc>
        <w:tc>
          <w:tcPr>
            <w:tcW w:type="dxa" w:w="2878"/>
          </w:tcPr>
          <w:p>
            <w:pPr>
              <w:jc w:val="center"/>
            </w:pPr>
            <w:r>
              <w:rPr>
                <w:sz w:val="18"/>
              </w:rPr>
              <w:t>指数加权移动平均</w:t>
            </w:r>
          </w:p>
        </w:tc>
      </w:tr>
    </w:tbl>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sz w:val="18"/>
              </w:rPr>
              <w:t>EGP</w:t>
            </w:r>
          </w:p>
        </w:tc>
        <w:tc>
          <w:tcPr>
            <w:tcW w:type="dxa" w:w="2878"/>
          </w:tcPr>
          <w:p>
            <w:pPr>
              <w:jc w:val="center"/>
            </w:pPr>
            <w:r>
              <w:rPr>
                <w:sz w:val="18"/>
              </w:rPr>
              <w:t>Endogenous Glucose Production</w:t>
            </w:r>
          </w:p>
        </w:tc>
        <w:tc>
          <w:tcPr>
            <w:tcW w:type="dxa" w:w="2878"/>
          </w:tcPr>
          <w:p>
            <w:pPr>
              <w:jc w:val="center"/>
            </w:pPr>
            <w:r>
              <w:rPr>
                <w:sz w:val="18"/>
              </w:rPr>
              <w:t>内源性葡萄糖产生</w:t>
            </w:r>
          </w:p>
        </w:tc>
      </w:tr>
    </w:tbl>
    <w:tbl>
      <w:tblPr>
        <w:tblStyle w:val="TableGrid"/>
        <w:tblW w:type="auto" w:w="0"/>
        <w:tblLook w:firstColumn="1" w:firstRow="1" w:lastColumn="0" w:lastRow="0" w:noHBand="0" w:noVBand="1" w:val="04A0"/>
      </w:tblPr>
      <w:tblGrid>
        <w:gridCol w:w="2878"/>
        <w:gridCol w:w="2878"/>
        <w:gridCol w:w="2878"/>
      </w:tblGrid>
      <w:tr>
        <w:tc>
          <w:tcPr>
            <w:tcW w:type="dxa" w:w="2878"/>
          </w:tcPr>
          <w:p>
            <w:pPr>
              <w:jc w:val="center"/>
            </w:pPr>
            <w:r>
              <w:rPr>
                <w:sz w:val="18"/>
              </w:rPr>
              <w:t>ROC</w:t>
            </w:r>
          </w:p>
        </w:tc>
        <w:tc>
          <w:tcPr>
            <w:tcW w:type="dxa" w:w="2878"/>
          </w:tcPr>
          <w:p>
            <w:pPr>
              <w:jc w:val="center"/>
            </w:pPr>
            <w:r>
              <w:rPr>
                <w:sz w:val="18"/>
              </w:rPr>
              <w:t>Rate of Change</w:t>
            </w:r>
          </w:p>
        </w:tc>
        <w:tc>
          <w:tcPr>
            <w:tcW w:type="dxa" w:w="2878"/>
          </w:tcPr>
          <w:p>
            <w:pPr>
              <w:jc w:val="center"/>
            </w:pPr>
            <w:r>
              <w:rPr>
                <w:sz w:val="18"/>
              </w:rPr>
              <w:t>血糖变化率</w:t>
            </w:r>
          </w:p>
        </w:tc>
      </w:tr>
    </w:tbl>
    <w:p>
      <w:r>
        <w:rPr>
          <w:rFonts w:ascii="黑体" w:hAnsi="黑体"/>
          <w:b/>
          <w:sz w:val="24"/>
        </w:rPr>
        <w:t>附录B：Dalla Man模型完整参数集</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Pr>
                <w:sz w:val="18"/>
              </w:rPr>
              <w:t>参数</w:t>
            </w:r>
          </w:p>
        </w:tc>
        <w:tc>
          <w:tcPr>
            <w:tcW w:type="dxa" w:w="1727"/>
          </w:tcPr>
          <w:p>
            <w:pPr>
              <w:jc w:val="center"/>
            </w:pPr>
            <w:r>
              <w:rPr>
                <w:sz w:val="18"/>
              </w:rPr>
              <w:t>含义</w:t>
            </w:r>
          </w:p>
        </w:tc>
        <w:tc>
          <w:tcPr>
            <w:tcW w:type="dxa" w:w="1727"/>
          </w:tcPr>
          <w:p>
            <w:pPr>
              <w:jc w:val="center"/>
            </w:pPr>
            <w:r>
              <w:rPr>
                <w:sz w:val="18"/>
              </w:rPr>
              <w:t>群体默认值</w:t>
            </w:r>
          </w:p>
        </w:tc>
        <w:tc>
          <w:tcPr>
            <w:tcW w:type="dxa" w:w="1727"/>
          </w:tcPr>
          <w:p>
            <w:pPr>
              <w:jc w:val="center"/>
            </w:pPr>
            <w:r>
              <w:rPr>
                <w:sz w:val="18"/>
              </w:rPr>
              <w:t>单位</w:t>
            </w:r>
          </w:p>
        </w:tc>
        <w:tc>
          <w:tcPr>
            <w:tcW w:type="dxa" w:w="1727"/>
          </w:tcPr>
          <w:p>
            <w:pPr>
              <w:jc w:val="center"/>
            </w:pPr>
            <w:r>
              <w:rPr>
                <w:sz w:val="18"/>
              </w:rPr>
              <w:t>个性化来源</w:t>
            </w:r>
          </w:p>
        </w:tc>
      </w:tr>
    </w:tbl>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Pr>
                <w:sz w:val="18"/>
              </w:rPr>
              <w:t>Gb</w:t>
            </w:r>
          </w:p>
        </w:tc>
        <w:tc>
          <w:tcPr>
            <w:tcW w:type="dxa" w:w="1727"/>
          </w:tcPr>
          <w:p>
            <w:pPr>
              <w:jc w:val="center"/>
            </w:pPr>
            <w:r>
              <w:rPr>
                <w:sz w:val="18"/>
              </w:rPr>
              <w:t>空腹血糖基线</w:t>
            </w:r>
          </w:p>
        </w:tc>
        <w:tc>
          <w:tcPr>
            <w:tcW w:type="dxa" w:w="1727"/>
          </w:tcPr>
          <w:p>
            <w:pPr>
              <w:jc w:val="center"/>
            </w:pPr>
            <w:r>
              <w:rPr>
                <w:sz w:val="18"/>
              </w:rPr>
              <w:t>5.2</w:t>
            </w:r>
          </w:p>
        </w:tc>
        <w:tc>
          <w:tcPr>
            <w:tcW w:type="dxa" w:w="1727"/>
          </w:tcPr>
          <w:p>
            <w:pPr>
              <w:jc w:val="center"/>
            </w:pPr>
            <w:r>
              <w:rPr>
                <w:sz w:val="18"/>
              </w:rPr>
              <w:t>mmol/L</w:t>
            </w:r>
          </w:p>
        </w:tc>
        <w:tc>
          <w:tcPr>
            <w:tcW w:type="dxa" w:w="1727"/>
          </w:tcPr>
          <w:p>
            <w:pPr>
              <w:jc w:val="center"/>
            </w:pPr>
            <w:r>
              <w:rPr>
                <w:sz w:val="18"/>
              </w:rPr>
              <w:t>OnlineLearner测量</w:t>
            </w:r>
          </w:p>
        </w:tc>
      </w:tr>
    </w:tbl>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Pr>
                <w:sz w:val="18"/>
              </w:rPr>
              <w:t>Ib</w:t>
            </w:r>
          </w:p>
        </w:tc>
        <w:tc>
          <w:tcPr>
            <w:tcW w:type="dxa" w:w="1727"/>
          </w:tcPr>
          <w:p>
            <w:pPr>
              <w:jc w:val="center"/>
            </w:pPr>
            <w:r>
              <w:rPr>
                <w:sz w:val="18"/>
              </w:rPr>
              <w:t>空腹血浆胰岛素</w:t>
            </w:r>
          </w:p>
        </w:tc>
        <w:tc>
          <w:tcPr>
            <w:tcW w:type="dxa" w:w="1727"/>
          </w:tcPr>
          <w:p>
            <w:pPr>
              <w:jc w:val="center"/>
            </w:pPr>
            <w:r>
              <w:rPr>
                <w:sz w:val="18"/>
              </w:rPr>
              <w:t>56.0</w:t>
            </w:r>
          </w:p>
        </w:tc>
        <w:tc>
          <w:tcPr>
            <w:tcW w:type="dxa" w:w="1727"/>
          </w:tcPr>
          <w:p>
            <w:pPr>
              <w:jc w:val="center"/>
            </w:pPr>
            <w:r>
              <w:rPr>
                <w:sz w:val="18"/>
              </w:rPr>
              <w:t>pmol/L</w:t>
            </w:r>
          </w:p>
        </w:tc>
        <w:tc>
          <w:tcPr>
            <w:tcW w:type="dxa" w:w="1727"/>
          </w:tcPr>
          <w:p>
            <w:pPr>
              <w:jc w:val="center"/>
            </w:pPr>
            <w:r>
              <w:rPr>
                <w:sz w:val="18"/>
              </w:rPr>
              <w:t>人群估计值</w:t>
            </w:r>
          </w:p>
        </w:tc>
      </w:tr>
    </w:tbl>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Pr>
                <w:sz w:val="18"/>
              </w:rPr>
              <w:t>Vg</w:t>
            </w:r>
          </w:p>
        </w:tc>
        <w:tc>
          <w:tcPr>
            <w:tcW w:type="dxa" w:w="1727"/>
          </w:tcPr>
          <w:p>
            <w:pPr>
              <w:jc w:val="center"/>
            </w:pPr>
            <w:r>
              <w:rPr>
                <w:sz w:val="18"/>
              </w:rPr>
              <w:t>葡萄糖分布容积</w:t>
            </w:r>
          </w:p>
        </w:tc>
        <w:tc>
          <w:tcPr>
            <w:tcW w:type="dxa" w:w="1727"/>
          </w:tcPr>
          <w:p>
            <w:pPr>
              <w:jc w:val="center"/>
            </w:pPr>
            <w:r>
              <w:rPr>
                <w:sz w:val="18"/>
              </w:rPr>
              <w:t>1.49</w:t>
            </w:r>
          </w:p>
        </w:tc>
        <w:tc>
          <w:tcPr>
            <w:tcW w:type="dxa" w:w="1727"/>
          </w:tcPr>
          <w:p>
            <w:pPr>
              <w:jc w:val="center"/>
            </w:pPr>
            <w:r>
              <w:rPr>
                <w:sz w:val="18"/>
              </w:rPr>
              <w:t>dL/kg</w:t>
            </w:r>
          </w:p>
        </w:tc>
        <w:tc>
          <w:tcPr>
            <w:tcW w:type="dxa" w:w="1727"/>
          </w:tcPr>
          <w:p>
            <w:pPr>
              <w:jc w:val="center"/>
            </w:pPr>
            <w:r>
              <w:rPr>
                <w:sz w:val="18"/>
              </w:rPr>
              <w:t>文献值</w:t>
            </w:r>
          </w:p>
        </w:tc>
      </w:tr>
    </w:tbl>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Pr>
                <w:sz w:val="18"/>
              </w:rPr>
              <w:t>Vi</w:t>
            </w:r>
          </w:p>
        </w:tc>
        <w:tc>
          <w:tcPr>
            <w:tcW w:type="dxa" w:w="1727"/>
          </w:tcPr>
          <w:p>
            <w:pPr>
              <w:jc w:val="center"/>
            </w:pPr>
            <w:r>
              <w:rPr>
                <w:sz w:val="18"/>
              </w:rPr>
              <w:t>胰岛素分布容积</w:t>
            </w:r>
          </w:p>
        </w:tc>
        <w:tc>
          <w:tcPr>
            <w:tcW w:type="dxa" w:w="1727"/>
          </w:tcPr>
          <w:p>
            <w:pPr>
              <w:jc w:val="center"/>
            </w:pPr>
            <w:r>
              <w:rPr>
                <w:sz w:val="18"/>
              </w:rPr>
              <w:t>0.042</w:t>
            </w:r>
          </w:p>
        </w:tc>
        <w:tc>
          <w:tcPr>
            <w:tcW w:type="dxa" w:w="1727"/>
          </w:tcPr>
          <w:p>
            <w:pPr>
              <w:jc w:val="center"/>
            </w:pPr>
            <w:r>
              <w:rPr>
                <w:sz w:val="18"/>
              </w:rPr>
              <w:t>L/kg</w:t>
            </w:r>
          </w:p>
        </w:tc>
        <w:tc>
          <w:tcPr>
            <w:tcW w:type="dxa" w:w="1727"/>
          </w:tcPr>
          <w:p>
            <w:pPr>
              <w:jc w:val="center"/>
            </w:pPr>
            <w:r>
              <w:rPr>
                <w:sz w:val="18"/>
              </w:rPr>
              <w:t>文献值</w:t>
            </w:r>
          </w:p>
        </w:tc>
      </w:tr>
    </w:tbl>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Pr>
                <w:sz w:val="18"/>
              </w:rPr>
              <w:t>k1</w:t>
            </w:r>
          </w:p>
        </w:tc>
        <w:tc>
          <w:tcPr>
            <w:tcW w:type="dxa" w:w="1727"/>
          </w:tcPr>
          <w:p>
            <w:pPr>
              <w:jc w:val="center"/>
            </w:pPr>
            <w:r>
              <w:rPr>
                <w:sz w:val="18"/>
              </w:rPr>
              <w:t>胰岛素非依赖性利用</w:t>
            </w:r>
          </w:p>
        </w:tc>
        <w:tc>
          <w:tcPr>
            <w:tcW w:type="dxa" w:w="1727"/>
          </w:tcPr>
          <w:p>
            <w:pPr>
              <w:jc w:val="center"/>
            </w:pPr>
            <w:r>
              <w:rPr>
                <w:sz w:val="18"/>
              </w:rPr>
              <w:t>0.042</w:t>
            </w:r>
          </w:p>
        </w:tc>
        <w:tc>
          <w:tcPr>
            <w:tcW w:type="dxa" w:w="1727"/>
          </w:tcPr>
          <w:p>
            <w:pPr>
              <w:jc w:val="center"/>
            </w:pPr>
            <w:r>
              <w:rPr>
                <w:sz w:val="18"/>
              </w:rPr>
              <w:t>1/min</w:t>
            </w:r>
          </w:p>
        </w:tc>
        <w:tc>
          <w:tcPr>
            <w:tcW w:type="dxa" w:w="1727"/>
          </w:tcPr>
          <w:p>
            <w:pPr>
              <w:jc w:val="center"/>
            </w:pPr>
            <w:r>
              <w:rPr>
                <w:sz w:val="18"/>
              </w:rPr>
              <w:t>activityLevel调制</w:t>
            </w:r>
          </w:p>
        </w:tc>
      </w:tr>
    </w:tbl>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Pr>
                <w:sz w:val="18"/>
              </w:rPr>
              <w:t>k2</w:t>
            </w:r>
          </w:p>
        </w:tc>
        <w:tc>
          <w:tcPr>
            <w:tcW w:type="dxa" w:w="1727"/>
          </w:tcPr>
          <w:p>
            <w:pPr>
              <w:jc w:val="center"/>
            </w:pPr>
            <w:r>
              <w:rPr>
                <w:sz w:val="18"/>
              </w:rPr>
              <w:t>胰岛素依赖性利用(线性)</w:t>
            </w:r>
          </w:p>
        </w:tc>
        <w:tc>
          <w:tcPr>
            <w:tcW w:type="dxa" w:w="1727"/>
          </w:tcPr>
          <w:p>
            <w:pPr>
              <w:jc w:val="center"/>
            </w:pPr>
            <w:r>
              <w:rPr>
                <w:sz w:val="18"/>
              </w:rPr>
              <w:t>0.038</w:t>
            </w:r>
          </w:p>
        </w:tc>
        <w:tc>
          <w:tcPr>
            <w:tcW w:type="dxa" w:w="1727"/>
          </w:tcPr>
          <w:p>
            <w:pPr>
              <w:jc w:val="center"/>
            </w:pPr>
            <w:r>
              <w:rPr>
                <w:sz w:val="18"/>
              </w:rPr>
              <w:t>1/min</w:t>
            </w:r>
          </w:p>
        </w:tc>
        <w:tc>
          <w:tcPr>
            <w:tcW w:type="dxa" w:w="1727"/>
          </w:tcPr>
          <w:p>
            <w:pPr>
              <w:jc w:val="center"/>
            </w:pPr>
            <w:r>
              <w:rPr>
                <w:sz w:val="18"/>
              </w:rPr>
              <w:t>被MM替代</w:t>
            </w:r>
          </w:p>
        </w:tc>
      </w:tr>
    </w:tbl>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Pr>
                <w:sz w:val="18"/>
              </w:rPr>
              <w:t>Vm0</w:t>
            </w:r>
          </w:p>
        </w:tc>
        <w:tc>
          <w:tcPr>
            <w:tcW w:type="dxa" w:w="1727"/>
          </w:tcPr>
          <w:p>
            <w:pPr>
              <w:jc w:val="center"/>
            </w:pPr>
            <w:r>
              <w:rPr>
                <w:sz w:val="18"/>
              </w:rPr>
              <w:t>基础最大利用(MM)</w:t>
            </w:r>
          </w:p>
        </w:tc>
        <w:tc>
          <w:tcPr>
            <w:tcW w:type="dxa" w:w="1727"/>
          </w:tcPr>
          <w:p>
            <w:pPr>
              <w:jc w:val="center"/>
            </w:pPr>
            <w:r>
              <w:rPr>
                <w:sz w:val="18"/>
              </w:rPr>
              <w:t>4.0</w:t>
            </w:r>
          </w:p>
        </w:tc>
        <w:tc>
          <w:tcPr>
            <w:tcW w:type="dxa" w:w="1727"/>
          </w:tcPr>
          <w:p>
            <w:pPr>
              <w:jc w:val="center"/>
            </w:pPr>
            <w:r>
              <w:rPr>
                <w:sz w:val="18"/>
              </w:rPr>
              <w:t>mg/kg/min</w:t>
            </w:r>
          </w:p>
        </w:tc>
        <w:tc>
          <w:tcPr>
            <w:tcW w:type="dxa" w:w="1727"/>
          </w:tcPr>
          <w:p>
            <w:pPr>
              <w:jc w:val="center"/>
            </w:pPr>
            <w:r>
              <w:rPr>
                <w:sz w:val="18"/>
              </w:rPr>
              <w:t>isfFactor调制</w:t>
            </w:r>
          </w:p>
        </w:tc>
      </w:tr>
    </w:tbl>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Pr>
                <w:sz w:val="18"/>
              </w:rPr>
              <w:t>VmX</w:t>
            </w:r>
          </w:p>
        </w:tc>
        <w:tc>
          <w:tcPr>
            <w:tcW w:type="dxa" w:w="1727"/>
          </w:tcPr>
          <w:p>
            <w:pPr>
              <w:jc w:val="center"/>
            </w:pPr>
            <w:r>
              <w:rPr>
                <w:sz w:val="18"/>
              </w:rPr>
              <w:t>胰岛素刺激增值(MM)</w:t>
            </w:r>
          </w:p>
        </w:tc>
        <w:tc>
          <w:tcPr>
            <w:tcW w:type="dxa" w:w="1727"/>
          </w:tcPr>
          <w:p>
            <w:pPr>
              <w:jc w:val="center"/>
            </w:pPr>
            <w:r>
              <w:rPr>
                <w:sz w:val="18"/>
              </w:rPr>
              <w:t>0.13</w:t>
            </w:r>
          </w:p>
        </w:tc>
        <w:tc>
          <w:tcPr>
            <w:tcW w:type="dxa" w:w="1727"/>
          </w:tcPr>
          <w:p>
            <w:pPr>
              <w:jc w:val="center"/>
            </w:pPr>
            <w:r>
              <w:rPr>
                <w:sz w:val="18"/>
              </w:rPr>
              <w:t>mg/kg/min</w:t>
            </w:r>
          </w:p>
        </w:tc>
        <w:tc>
          <w:tcPr>
            <w:tcW w:type="dxa" w:w="1727"/>
          </w:tcPr>
          <w:p>
            <w:pPr>
              <w:jc w:val="center"/>
            </w:pPr>
            <w:r>
              <w:rPr>
                <w:sz w:val="18"/>
              </w:rPr>
              <w:t>isfFactor调制</w:t>
            </w:r>
          </w:p>
        </w:tc>
      </w:tr>
    </w:tbl>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Pr>
                <w:sz w:val="18"/>
              </w:rPr>
              <w:t>Km0</w:t>
            </w:r>
          </w:p>
        </w:tc>
        <w:tc>
          <w:tcPr>
            <w:tcW w:type="dxa" w:w="1727"/>
          </w:tcPr>
          <w:p>
            <w:pPr>
              <w:jc w:val="center"/>
            </w:pPr>
            <w:r>
              <w:rPr>
                <w:sz w:val="18"/>
              </w:rPr>
              <w:t>Michaelis半饱和常数</w:t>
            </w:r>
          </w:p>
        </w:tc>
        <w:tc>
          <w:tcPr>
            <w:tcW w:type="dxa" w:w="1727"/>
          </w:tcPr>
          <w:p>
            <w:pPr>
              <w:jc w:val="center"/>
            </w:pPr>
            <w:r>
              <w:rPr>
                <w:sz w:val="18"/>
              </w:rPr>
              <w:t>225</w:t>
            </w:r>
          </w:p>
        </w:tc>
        <w:tc>
          <w:tcPr>
            <w:tcW w:type="dxa" w:w="1727"/>
          </w:tcPr>
          <w:p>
            <w:pPr>
              <w:jc w:val="center"/>
            </w:pPr>
            <w:r>
              <w:rPr>
                <w:sz w:val="18"/>
              </w:rPr>
              <w:t>mg/dL</w:t>
            </w:r>
          </w:p>
        </w:tc>
        <w:tc>
          <w:tcPr>
            <w:tcW w:type="dxa" w:w="1727"/>
          </w:tcPr>
          <w:p>
            <w:pPr>
              <w:jc w:val="center"/>
            </w:pPr>
            <w:r>
              <w:rPr>
                <w:sz w:val="18"/>
              </w:rPr>
              <w:t>文献值</w:t>
            </w:r>
          </w:p>
        </w:tc>
      </w:tr>
    </w:tbl>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Pr>
                <w:sz w:val="18"/>
              </w:rPr>
              <w:t>kStomach</w:t>
            </w:r>
          </w:p>
        </w:tc>
        <w:tc>
          <w:tcPr>
            <w:tcW w:type="dxa" w:w="1727"/>
          </w:tcPr>
          <w:p>
            <w:pPr>
              <w:jc w:val="center"/>
            </w:pPr>
            <w:r>
              <w:rPr>
                <w:sz w:val="18"/>
              </w:rPr>
              <w:t>胃排空速率</w:t>
            </w:r>
          </w:p>
        </w:tc>
        <w:tc>
          <w:tcPr>
            <w:tcW w:type="dxa" w:w="1727"/>
          </w:tcPr>
          <w:p>
            <w:pPr>
              <w:jc w:val="center"/>
            </w:pPr>
            <w:r>
              <w:rPr>
                <w:sz w:val="18"/>
              </w:rPr>
              <w:t>0.045</w:t>
            </w:r>
          </w:p>
        </w:tc>
        <w:tc>
          <w:tcPr>
            <w:tcW w:type="dxa" w:w="1727"/>
          </w:tcPr>
          <w:p>
            <w:pPr>
              <w:jc w:val="center"/>
            </w:pPr>
            <w:r>
              <w:rPr>
                <w:sz w:val="18"/>
              </w:rPr>
              <w:t>1/min</w:t>
            </w:r>
          </w:p>
        </w:tc>
        <w:tc>
          <w:tcPr>
            <w:tcW w:type="dxa" w:w="1727"/>
          </w:tcPr>
          <w:p>
            <w:pPr>
              <w:jc w:val="center"/>
            </w:pPr>
            <w:r>
              <w:rPr>
                <w:sz w:val="18"/>
              </w:rPr>
              <w:t>isfFactor调制, GI因子</w:t>
            </w:r>
          </w:p>
        </w:tc>
      </w:tr>
    </w:tbl>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Pr>
                <w:sz w:val="18"/>
              </w:rPr>
              <w:t>VmaxGastric</w:t>
            </w:r>
          </w:p>
        </w:tc>
        <w:tc>
          <w:tcPr>
            <w:tcW w:type="dxa" w:w="1727"/>
          </w:tcPr>
          <w:p>
            <w:pPr>
              <w:jc w:val="center"/>
            </w:pPr>
            <w:r>
              <w:rPr>
                <w:sz w:val="18"/>
              </w:rPr>
              <w:t>胃排空上限</w:t>
            </w:r>
          </w:p>
        </w:tc>
        <w:tc>
          <w:tcPr>
            <w:tcW w:type="dxa" w:w="1727"/>
          </w:tcPr>
          <w:p>
            <w:pPr>
              <w:jc w:val="center"/>
            </w:pPr>
            <w:r>
              <w:rPr>
                <w:sz w:val="18"/>
              </w:rPr>
              <w:t>8.0</w:t>
            </w:r>
          </w:p>
        </w:tc>
        <w:tc>
          <w:tcPr>
            <w:tcW w:type="dxa" w:w="1727"/>
          </w:tcPr>
          <w:p>
            <w:pPr>
              <w:jc w:val="center"/>
            </w:pPr>
            <w:r>
              <w:rPr>
                <w:sz w:val="18"/>
              </w:rPr>
              <w:t>mg/kg/min</w:t>
            </w:r>
          </w:p>
        </w:tc>
        <w:tc>
          <w:tcPr>
            <w:tcW w:type="dxa" w:w="1727"/>
          </w:tcPr>
          <w:p>
            <w:pPr>
              <w:jc w:val="center"/>
            </w:pPr>
            <w:r>
              <w:rPr>
                <w:sz w:val="18"/>
              </w:rPr>
              <w:t>isfFactor调制</w:t>
            </w:r>
          </w:p>
        </w:tc>
      </w:tr>
    </w:tbl>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Pr>
                <w:sz w:val="18"/>
              </w:rPr>
              <w:t>kGut</w:t>
            </w:r>
          </w:p>
        </w:tc>
        <w:tc>
          <w:tcPr>
            <w:tcW w:type="dxa" w:w="1727"/>
          </w:tcPr>
          <w:p>
            <w:pPr>
              <w:jc w:val="center"/>
            </w:pPr>
            <w:r>
              <w:rPr>
                <w:sz w:val="18"/>
              </w:rPr>
              <w:t>肠道吸收速率</w:t>
            </w:r>
          </w:p>
        </w:tc>
        <w:tc>
          <w:tcPr>
            <w:tcW w:type="dxa" w:w="1727"/>
          </w:tcPr>
          <w:p>
            <w:pPr>
              <w:jc w:val="center"/>
            </w:pPr>
            <w:r>
              <w:rPr>
                <w:sz w:val="18"/>
              </w:rPr>
              <w:t>0.057</w:t>
            </w:r>
          </w:p>
        </w:tc>
        <w:tc>
          <w:tcPr>
            <w:tcW w:type="dxa" w:w="1727"/>
          </w:tcPr>
          <w:p>
            <w:pPr>
              <w:jc w:val="center"/>
            </w:pPr>
            <w:r>
              <w:rPr>
                <w:sz w:val="18"/>
              </w:rPr>
              <w:t>1/min</w:t>
            </w:r>
          </w:p>
        </w:tc>
        <w:tc>
          <w:tcPr>
            <w:tcW w:type="dxa" w:w="1727"/>
          </w:tcPr>
          <w:p>
            <w:pPr>
              <w:jc w:val="center"/>
            </w:pPr>
            <w:r>
              <w:rPr>
                <w:sz w:val="18"/>
              </w:rPr>
              <w:t>文献值</w:t>
            </w:r>
          </w:p>
        </w:tc>
      </w:tr>
    </w:tbl>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Pr>
                <w:sz w:val="18"/>
              </w:rPr>
              <w:t>f</w:t>
            </w:r>
          </w:p>
        </w:tc>
        <w:tc>
          <w:tcPr>
            <w:tcW w:type="dxa" w:w="1727"/>
          </w:tcPr>
          <w:p>
            <w:pPr>
              <w:jc w:val="center"/>
            </w:pPr>
            <w:r>
              <w:rPr>
                <w:sz w:val="18"/>
              </w:rPr>
              <w:t>葡萄糖生物利用度</w:t>
            </w:r>
          </w:p>
        </w:tc>
        <w:tc>
          <w:tcPr>
            <w:tcW w:type="dxa" w:w="1727"/>
          </w:tcPr>
          <w:p>
            <w:pPr>
              <w:jc w:val="center"/>
            </w:pPr>
            <w:r>
              <w:rPr>
                <w:sz w:val="18"/>
              </w:rPr>
              <w:t>0.90</w:t>
            </w:r>
          </w:p>
        </w:tc>
        <w:tc>
          <w:tcPr>
            <w:tcW w:type="dxa" w:w="1727"/>
          </w:tcPr>
          <w:p>
            <w:pPr>
              <w:jc w:val="center"/>
            </w:pPr>
            <w:r>
              <w:rPr>
                <w:sz w:val="18"/>
              </w:rPr>
              <w:t>无量纲</w:t>
            </w:r>
          </w:p>
        </w:tc>
        <w:tc>
          <w:tcPr>
            <w:tcW w:type="dxa" w:w="1727"/>
          </w:tcPr>
          <w:p>
            <w:pPr>
              <w:jc w:val="center"/>
            </w:pPr>
            <w:r>
              <w:rPr>
                <w:sz w:val="18"/>
              </w:rPr>
              <w:t>文献值</w:t>
            </w:r>
          </w:p>
        </w:tc>
      </w:tr>
    </w:tbl>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Pr>
                <w:sz w:val="18"/>
              </w:rPr>
              <w:t>hepaticBase</w:t>
            </w:r>
          </w:p>
        </w:tc>
        <w:tc>
          <w:tcPr>
            <w:tcW w:type="dxa" w:w="1727"/>
          </w:tcPr>
          <w:p>
            <w:pPr>
              <w:jc w:val="center"/>
            </w:pPr>
            <w:r>
              <w:rPr>
                <w:sz w:val="18"/>
              </w:rPr>
              <w:t>基础肝糖输出</w:t>
            </w:r>
          </w:p>
        </w:tc>
        <w:tc>
          <w:tcPr>
            <w:tcW w:type="dxa" w:w="1727"/>
          </w:tcPr>
          <w:p>
            <w:pPr>
              <w:jc w:val="center"/>
            </w:pPr>
            <w:r>
              <w:rPr>
                <w:sz w:val="18"/>
              </w:rPr>
              <w:t>2.4</w:t>
            </w:r>
          </w:p>
        </w:tc>
        <w:tc>
          <w:tcPr>
            <w:tcW w:type="dxa" w:w="1727"/>
          </w:tcPr>
          <w:p>
            <w:pPr>
              <w:jc w:val="center"/>
            </w:pPr>
            <w:r>
              <w:rPr>
                <w:sz w:val="18"/>
              </w:rPr>
              <w:t>mg/kg/min</w:t>
            </w:r>
          </w:p>
        </w:tc>
        <w:tc>
          <w:tcPr>
            <w:tcW w:type="dxa" w:w="1727"/>
          </w:tcPr>
          <w:p>
            <w:pPr>
              <w:jc w:val="center"/>
            </w:pPr>
            <w:r>
              <w:rPr>
                <w:sz w:val="18"/>
              </w:rPr>
              <w:t>isfFactor调制</w:t>
            </w:r>
          </w:p>
        </w:tc>
      </w:tr>
    </w:tbl>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Pr>
                <w:sz w:val="18"/>
              </w:rPr>
              <w:t>kp1</w:t>
            </w:r>
          </w:p>
        </w:tc>
        <w:tc>
          <w:tcPr>
            <w:tcW w:type="dxa" w:w="1727"/>
          </w:tcPr>
          <w:p>
            <w:pPr>
              <w:jc w:val="center"/>
            </w:pPr>
            <w:r>
              <w:rPr>
                <w:sz w:val="18"/>
              </w:rPr>
              <w:t>肝脏胰岛素作用延迟</w:t>
            </w:r>
          </w:p>
        </w:tc>
        <w:tc>
          <w:tcPr>
            <w:tcW w:type="dxa" w:w="1727"/>
          </w:tcPr>
          <w:p>
            <w:pPr>
              <w:jc w:val="center"/>
            </w:pPr>
            <w:r>
              <w:rPr>
                <w:sz w:val="18"/>
              </w:rPr>
              <w:t>0.006</w:t>
            </w:r>
          </w:p>
        </w:tc>
        <w:tc>
          <w:tcPr>
            <w:tcW w:type="dxa" w:w="1727"/>
          </w:tcPr>
          <w:p>
            <w:pPr>
              <w:jc w:val="center"/>
            </w:pPr>
            <w:r>
              <w:rPr>
                <w:sz w:val="18"/>
              </w:rPr>
              <w:t>1/min</w:t>
            </w:r>
          </w:p>
        </w:tc>
        <w:tc>
          <w:tcPr>
            <w:tcW w:type="dxa" w:w="1727"/>
          </w:tcPr>
          <w:p>
            <w:pPr>
              <w:jc w:val="center"/>
            </w:pPr>
            <w:r>
              <w:rPr>
                <w:sz w:val="18"/>
              </w:rPr>
              <w:t>文献值</w:t>
            </w:r>
          </w:p>
        </w:tc>
      </w:tr>
    </w:tbl>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Pr>
                <w:sz w:val="18"/>
              </w:rPr>
              <w:t>kp3</w:t>
            </w:r>
          </w:p>
        </w:tc>
        <w:tc>
          <w:tcPr>
            <w:tcW w:type="dxa" w:w="1727"/>
          </w:tcPr>
          <w:p>
            <w:pPr>
              <w:jc w:val="center"/>
            </w:pPr>
            <w:r>
              <w:rPr>
                <w:sz w:val="18"/>
              </w:rPr>
              <w:t>外周胰岛素作用延迟</w:t>
            </w:r>
          </w:p>
        </w:tc>
        <w:tc>
          <w:tcPr>
            <w:tcW w:type="dxa" w:w="1727"/>
          </w:tcPr>
          <w:p>
            <w:pPr>
              <w:jc w:val="center"/>
            </w:pPr>
            <w:r>
              <w:rPr>
                <w:sz w:val="18"/>
              </w:rPr>
              <w:t>0.038</w:t>
            </w:r>
          </w:p>
        </w:tc>
        <w:tc>
          <w:tcPr>
            <w:tcW w:type="dxa" w:w="1727"/>
          </w:tcPr>
          <w:p>
            <w:pPr>
              <w:jc w:val="center"/>
            </w:pPr>
            <w:r>
              <w:rPr>
                <w:sz w:val="18"/>
              </w:rPr>
              <w:t>1/min</w:t>
            </w:r>
          </w:p>
        </w:tc>
        <w:tc>
          <w:tcPr>
            <w:tcW w:type="dxa" w:w="1727"/>
          </w:tcPr>
          <w:p>
            <w:pPr>
              <w:jc w:val="center"/>
            </w:pPr>
            <w:r>
              <w:rPr>
                <w:sz w:val="18"/>
              </w:rPr>
              <w:t>isfFactor调制</w:t>
            </w:r>
          </w:p>
        </w:tc>
      </w:tr>
    </w:tbl>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Pr>
                <w:sz w:val="18"/>
              </w:rPr>
              <w:t>ke</w:t>
            </w:r>
          </w:p>
        </w:tc>
        <w:tc>
          <w:tcPr>
            <w:tcW w:type="dxa" w:w="1727"/>
          </w:tcPr>
          <w:p>
            <w:pPr>
              <w:jc w:val="center"/>
            </w:pPr>
            <w:r>
              <w:rPr>
                <w:sz w:val="18"/>
              </w:rPr>
              <w:t>胰岛素肾脏清除</w:t>
            </w:r>
          </w:p>
        </w:tc>
        <w:tc>
          <w:tcPr>
            <w:tcW w:type="dxa" w:w="1727"/>
          </w:tcPr>
          <w:p>
            <w:pPr>
              <w:jc w:val="center"/>
            </w:pPr>
            <w:r>
              <w:rPr>
                <w:sz w:val="18"/>
              </w:rPr>
              <w:t>0.140</w:t>
            </w:r>
          </w:p>
        </w:tc>
        <w:tc>
          <w:tcPr>
            <w:tcW w:type="dxa" w:w="1727"/>
          </w:tcPr>
          <w:p>
            <w:pPr>
              <w:jc w:val="center"/>
            </w:pPr>
            <w:r>
              <w:rPr>
                <w:sz w:val="18"/>
              </w:rPr>
              <w:t>1/min</w:t>
            </w:r>
          </w:p>
        </w:tc>
        <w:tc>
          <w:tcPr>
            <w:tcW w:type="dxa" w:w="1727"/>
          </w:tcPr>
          <w:p>
            <w:pPr>
              <w:jc w:val="center"/>
            </w:pPr>
            <w:r>
              <w:rPr>
                <w:sz w:val="18"/>
              </w:rPr>
              <w:t>文献值</w:t>
            </w:r>
          </w:p>
        </w:tc>
      </w:tr>
    </w:tbl>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Pr>
                <w:sz w:val="18"/>
              </w:rPr>
              <w:t>ka1</w:t>
            </w:r>
          </w:p>
        </w:tc>
        <w:tc>
          <w:tcPr>
            <w:tcW w:type="dxa" w:w="1727"/>
          </w:tcPr>
          <w:p>
            <w:pPr>
              <w:jc w:val="center"/>
            </w:pPr>
            <w:r>
              <w:rPr>
                <w:sz w:val="18"/>
              </w:rPr>
              <w:t>皮下→快速吸收</w:t>
            </w:r>
          </w:p>
        </w:tc>
        <w:tc>
          <w:tcPr>
            <w:tcW w:type="dxa" w:w="1727"/>
          </w:tcPr>
          <w:p>
            <w:pPr>
              <w:jc w:val="center"/>
            </w:pPr>
            <w:r>
              <w:rPr>
                <w:sz w:val="18"/>
              </w:rPr>
              <w:t>1/55</w:t>
            </w:r>
          </w:p>
        </w:tc>
        <w:tc>
          <w:tcPr>
            <w:tcW w:type="dxa" w:w="1727"/>
          </w:tcPr>
          <w:p>
            <w:pPr>
              <w:jc w:val="center"/>
            </w:pPr>
            <w:r>
              <w:rPr>
                <w:sz w:val="18"/>
              </w:rPr>
              <w:t>1/min</w:t>
            </w:r>
          </w:p>
        </w:tc>
        <w:tc>
          <w:tcPr>
            <w:tcW w:type="dxa" w:w="1727"/>
          </w:tcPr>
          <w:p>
            <w:pPr>
              <w:jc w:val="center"/>
            </w:pPr>
            <w:r>
              <w:rPr>
                <w:sz w:val="18"/>
              </w:rPr>
              <w:t>胰岛素类型</w:t>
            </w:r>
          </w:p>
        </w:tc>
      </w:tr>
    </w:tbl>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Pr>
                <w:sz w:val="18"/>
              </w:rPr>
              <w:t>ka2</w:t>
            </w:r>
          </w:p>
        </w:tc>
        <w:tc>
          <w:tcPr>
            <w:tcW w:type="dxa" w:w="1727"/>
          </w:tcPr>
          <w:p>
            <w:pPr>
              <w:jc w:val="center"/>
            </w:pPr>
            <w:r>
              <w:rPr>
                <w:sz w:val="18"/>
              </w:rPr>
              <w:t>快速→缓慢吸收</w:t>
            </w:r>
          </w:p>
        </w:tc>
        <w:tc>
          <w:tcPr>
            <w:tcW w:type="dxa" w:w="1727"/>
          </w:tcPr>
          <w:p>
            <w:pPr>
              <w:jc w:val="center"/>
            </w:pPr>
            <w:r>
              <w:rPr>
                <w:sz w:val="18"/>
              </w:rPr>
              <w:t>1/90</w:t>
            </w:r>
          </w:p>
        </w:tc>
        <w:tc>
          <w:tcPr>
            <w:tcW w:type="dxa" w:w="1727"/>
          </w:tcPr>
          <w:p>
            <w:pPr>
              <w:jc w:val="center"/>
            </w:pPr>
            <w:r>
              <w:rPr>
                <w:sz w:val="18"/>
              </w:rPr>
              <w:t>1/min</w:t>
            </w:r>
          </w:p>
        </w:tc>
        <w:tc>
          <w:tcPr>
            <w:tcW w:type="dxa" w:w="1727"/>
          </w:tcPr>
          <w:p>
            <w:pPr>
              <w:jc w:val="center"/>
            </w:pPr>
            <w:r>
              <w:rPr>
                <w:sz w:val="18"/>
              </w:rPr>
              <w:t>胰岛素类型</w:t>
            </w:r>
          </w:p>
        </w:tc>
      </w:tr>
    </w:tbl>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Pr>
                <w:sz w:val="18"/>
              </w:rPr>
              <w:t>sigma</w:t>
            </w:r>
          </w:p>
        </w:tc>
        <w:tc>
          <w:tcPr>
            <w:tcW w:type="dxa" w:w="1727"/>
          </w:tcPr>
          <w:p>
            <w:pPr>
              <w:jc w:val="center"/>
            </w:pPr>
            <w:r>
              <w:rPr>
                <w:sz w:val="18"/>
              </w:rPr>
              <w:t>内源性胰岛素分泌</w:t>
            </w:r>
          </w:p>
        </w:tc>
        <w:tc>
          <w:tcPr>
            <w:tcW w:type="dxa" w:w="1727"/>
          </w:tcPr>
          <w:p>
            <w:pPr>
              <w:jc w:val="center"/>
            </w:pPr>
            <w:r>
              <w:rPr>
                <w:sz w:val="18"/>
              </w:rPr>
              <w:t>3.0</w:t>
            </w:r>
          </w:p>
        </w:tc>
        <w:tc>
          <w:tcPr>
            <w:tcW w:type="dxa" w:w="1727"/>
          </w:tcPr>
          <w:p>
            <w:pPr>
              <w:jc w:val="center"/>
            </w:pPr>
            <w:r>
              <w:rPr>
                <w:sz w:val="18"/>
              </w:rPr>
              <w:t>pmol/L/min per mmol/L</w:t>
            </w:r>
          </w:p>
        </w:tc>
        <w:tc>
          <w:tcPr>
            <w:tcW w:type="dxa" w:w="1727"/>
          </w:tcPr>
          <w:p>
            <w:pPr>
              <w:jc w:val="center"/>
            </w:pPr>
            <w:r>
              <w:rPr>
                <w:sz w:val="18"/>
              </w:rPr>
              <w:t>T2DM临床评估</w:t>
            </w:r>
          </w:p>
        </w:tc>
      </w:tr>
    </w:tbl>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Pr>
                <w:sz w:val="18"/>
              </w:rPr>
              <w:t>renalThreshold</w:t>
            </w:r>
          </w:p>
        </w:tc>
        <w:tc>
          <w:tcPr>
            <w:tcW w:type="dxa" w:w="1727"/>
          </w:tcPr>
          <w:p>
            <w:pPr>
              <w:jc w:val="center"/>
            </w:pPr>
            <w:r>
              <w:rPr>
                <w:sz w:val="18"/>
              </w:rPr>
              <w:t>肾糖排泄阈值</w:t>
            </w:r>
          </w:p>
        </w:tc>
        <w:tc>
          <w:tcPr>
            <w:tcW w:type="dxa" w:w="1727"/>
          </w:tcPr>
          <w:p>
            <w:pPr>
              <w:jc w:val="center"/>
            </w:pPr>
            <w:r>
              <w:rPr>
                <w:sz w:val="18"/>
              </w:rPr>
              <w:t>11.0</w:t>
            </w:r>
          </w:p>
        </w:tc>
        <w:tc>
          <w:tcPr>
            <w:tcW w:type="dxa" w:w="1727"/>
          </w:tcPr>
          <w:p>
            <w:pPr>
              <w:jc w:val="center"/>
            </w:pPr>
            <w:r>
              <w:rPr>
                <w:sz w:val="18"/>
              </w:rPr>
              <w:t>mmol/L</w:t>
            </w:r>
          </w:p>
        </w:tc>
        <w:tc>
          <w:tcPr>
            <w:tcW w:type="dxa" w:w="1727"/>
          </w:tcPr>
          <w:p>
            <w:pPr>
              <w:jc w:val="center"/>
            </w:pPr>
            <w:r>
              <w:rPr>
                <w:sz w:val="18"/>
              </w:rPr>
              <w:t>文献值</w:t>
            </w:r>
          </w:p>
        </w:tc>
      </w:tr>
    </w:tbl>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Pr>
                <w:sz w:val="18"/>
              </w:rPr>
              <w:t>ke_renal</w:t>
            </w:r>
          </w:p>
        </w:tc>
        <w:tc>
          <w:tcPr>
            <w:tcW w:type="dxa" w:w="1727"/>
          </w:tcPr>
          <w:p>
            <w:pPr>
              <w:jc w:val="center"/>
            </w:pPr>
            <w:r>
              <w:rPr>
                <w:sz w:val="18"/>
              </w:rPr>
              <w:t>肾糖排泄速率</w:t>
            </w:r>
          </w:p>
        </w:tc>
        <w:tc>
          <w:tcPr>
            <w:tcW w:type="dxa" w:w="1727"/>
          </w:tcPr>
          <w:p>
            <w:pPr>
              <w:jc w:val="center"/>
            </w:pPr>
            <w:r>
              <w:rPr>
                <w:sz w:val="18"/>
              </w:rPr>
              <w:t>0.005</w:t>
            </w:r>
          </w:p>
        </w:tc>
        <w:tc>
          <w:tcPr>
            <w:tcW w:type="dxa" w:w="1727"/>
          </w:tcPr>
          <w:p>
            <w:pPr>
              <w:jc w:val="center"/>
            </w:pPr>
            <w:r>
              <w:rPr>
                <w:sz w:val="18"/>
              </w:rPr>
              <w:t>1/min</w:t>
            </w:r>
          </w:p>
        </w:tc>
        <w:tc>
          <w:tcPr>
            <w:tcW w:type="dxa" w:w="1727"/>
          </w:tcPr>
          <w:p>
            <w:pPr>
              <w:jc w:val="center"/>
            </w:pPr>
            <w:r>
              <w:rPr>
                <w:sz w:val="18"/>
              </w:rPr>
              <w:t>文献值</w:t>
            </w:r>
          </w:p>
        </w:tc>
      </w:tr>
    </w:tbl>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jc w:val="center"/>
            </w:pPr>
            <w:r>
              <w:rPr>
                <w:sz w:val="18"/>
              </w:rPr>
              <w:t>longInsulinHalfLife</w:t>
            </w:r>
          </w:p>
        </w:tc>
        <w:tc>
          <w:tcPr>
            <w:tcW w:type="dxa" w:w="1727"/>
          </w:tcPr>
          <w:p>
            <w:pPr>
              <w:jc w:val="center"/>
            </w:pPr>
            <w:r>
              <w:rPr>
                <w:sz w:val="18"/>
              </w:rPr>
              <w:t>长效胰岛素半衰期</w:t>
            </w:r>
          </w:p>
        </w:tc>
        <w:tc>
          <w:tcPr>
            <w:tcW w:type="dxa" w:w="1727"/>
          </w:tcPr>
          <w:p>
            <w:pPr>
              <w:jc w:val="center"/>
            </w:pPr>
            <w:r>
              <w:rPr>
                <w:sz w:val="18"/>
              </w:rPr>
              <w:t>720</w:t>
            </w:r>
          </w:p>
        </w:tc>
        <w:tc>
          <w:tcPr>
            <w:tcW w:type="dxa" w:w="1727"/>
          </w:tcPr>
          <w:p>
            <w:pPr>
              <w:jc w:val="center"/>
            </w:pPr>
            <w:r>
              <w:rPr>
                <w:sz w:val="18"/>
              </w:rPr>
              <w:t>min (12h)</w:t>
            </w:r>
          </w:p>
        </w:tc>
        <w:tc>
          <w:tcPr>
            <w:tcW w:type="dxa" w:w="1727"/>
          </w:tcPr>
          <w:p>
            <w:pPr>
              <w:jc w:val="center"/>
            </w:pPr>
            <w:r>
              <w:rPr>
                <w:sz w:val="18"/>
              </w:rPr>
              <w:t>胰岛素类型(甘精12h, 德谷25h)</w:t>
            </w:r>
          </w:p>
        </w:tc>
      </w:tr>
    </w:tbl>
    <w:p>
      <w:r>
        <w:rPr>
          <w:rFonts w:ascii="黑体" w:hAnsi="黑体"/>
          <w:b/>
          <w:sz w:val="24"/>
        </w:rPr>
        <w:t>附录C：数据质量感知修正强度推导</w:t>
      </w:r>
    </w:p>
    <w:p>
      <w:pPr>
        <w:ind w:firstLine="420"/>
      </w:pPr>
      <w:r>
        <w:t>给定：</w:t>
      </w:r>
    </w:p>
    <w:p>
      <w:pPr>
        <w:ind w:firstLine="420"/>
      </w:pPr>
      <w:r>
        <w:t>D：用户数据累积天数</w:t>
      </w:r>
    </w:p>
    <w:p>
      <w:pPr>
        <w:ind w:firstLine="420"/>
      </w:pPr>
      <w:r>
        <w:t>C：数据完整度 (0.3 ≤ C ≤ 1.0)</w:t>
      </w:r>
    </w:p>
    <w:p>
      <w:pPr>
        <w:ind w:firstLine="420"/>
      </w:pPr>
      <w:r>
        <w:t>adaptStrength ∈ [0, 1]</w:t>
      </w:r>
    </w:p>
    <w:p>
      <w:pPr>
        <w:ind w:firstLine="420"/>
      </w:pPr>
      <w:r>
        <w:t>设计目标：</w:t>
      </w:r>
    </w:p>
    <w:p>
      <w:pPr>
        <w:ind w:firstLine="420"/>
      </w:pPr>
      <w:r>
        <w:t>1. 新用户(D=0)：强修正（信统计先验，不信群体模型）</w:t>
      </w:r>
    </w:p>
    <w:p>
      <w:pPr>
        <w:ind w:firstLine="420"/>
      </w:pPr>
      <w:r>
        <w:t>2. 老用户(D→∞)：弱修正（信个性化模型，统计仅作安全兜底）</w:t>
      </w:r>
    </w:p>
    <w:p>
      <w:pPr>
        <w:ind w:firstLine="420"/>
      </w:pPr>
      <w:r>
        <w:t>3. 低质量数据(C→0.3)：较慢衰减（保留更多统计修正）</w:t>
      </w:r>
    </w:p>
    <w:p>
      <w:pPr>
        <w:ind w:firstLine="420"/>
      </w:pPr>
      <w:r>
        <w:t>4. 高质量数据(C→1.0)：较快衰减（更多信任从完整数据中学到的模型）</w:t>
      </w:r>
    </w:p>
    <w:p>
      <w:pPr>
        <w:ind w:firstLine="420"/>
      </w:pPr>
      <w:r>
        <w:t>推导过程：</w:t>
      </w:r>
    </w:p>
    <w:p>
      <w:pPr>
        <w:ind w:firstLine="420"/>
      </w:pPr>
      <w:r>
        <w:t>步骤1：数据天数衰减因子</w:t>
      </w:r>
    </w:p>
    <w:p>
      <w:pPr>
        <w:ind w:firstLine="420"/>
      </w:pPr>
      <w:r>
        <w:t>```</w:t>
      </w:r>
    </w:p>
    <w:p>
      <w:pPr>
        <w:ind w:firstLine="420"/>
      </w:pPr>
      <w:r>
        <w:t>dayFactor = max(1 D/14, 0.15)</w:t>
      </w:r>
    </w:p>
    <w:p>
      <w:pPr>
        <w:ind w:firstLine="420"/>
      </w:pPr>
      <w:r>
        <w:t>```</w:t>
      </w:r>
    </w:p>
    <w:p>
      <w:pPr>
        <w:ind w:firstLine="420"/>
      </w:pPr>
      <w:r>
        <w:t>选择14天作为稳定期阈值（2周CGM数据足以覆盖饮食、工作日/周末和运动模式的基本多样性）。衰减下限0.15确保即使数据天数极大，统计层仍有微量修正能力（安全网）。</w:t>
      </w:r>
    </w:p>
    <w:p>
      <w:pPr>
        <w:ind w:firstLine="420"/>
      </w:pPr>
      <w:r>
        <w:t>步骤2：数据质量因子</w:t>
      </w:r>
    </w:p>
    <w:p>
      <w:pPr>
        <w:ind w:firstLine="420"/>
      </w:pPr>
      <w:r>
        <w:t>```</w:t>
      </w:r>
    </w:p>
    <w:p>
      <w:pPr>
        <w:ind w:firstLine="420"/>
      </w:pPr>
      <w:r>
        <w:t>qualityFactor = 1 C × 0.6</w:t>
      </w:r>
    </w:p>
    <w:p>
      <w:pPr>
        <w:ind w:firstLine="420"/>
      </w:pPr>
      <w:r>
        <w:t>```</w:t>
      </w:r>
    </w:p>
    <w:p>
      <w:pPr>
        <w:ind w:firstLine="420"/>
      </w:pPr>
      <w:r>
        <w:t>C=0.3 → 0.82 (高修正，数据不完整→不确定→谨慎→信稳健统计)</w:t>
      </w:r>
    </w:p>
    <w:p>
      <w:pPr>
        <w:ind w:firstLine="420"/>
      </w:pPr>
      <w:r>
        <w:t>C=1.0 → 0.40 (低修正，数据完整→有把握→减轻统计层依赖→信模型)</w:t>
      </w:r>
    </w:p>
    <w:p>
      <w:pPr>
        <w:ind w:firstLine="420"/>
      </w:pPr>
      <w:r>
        <w:t>步骤3：组合与基值</w:t>
      </w:r>
    </w:p>
    <w:p>
      <w:pPr>
        <w:ind w:firstLine="420"/>
      </w:pPr>
      <w:r>
        <w:t>```</w:t>
      </w:r>
    </w:p>
    <w:p>
      <w:pPr>
        <w:ind w:firstLine="420"/>
      </w:pPr>
      <w:r>
        <w:t>adaptStrength = 0.7 × dayFactor × qualityFactor</w:t>
      </w:r>
    </w:p>
    <w:p>
      <w:pPr>
        <w:ind w:firstLine="420"/>
      </w:pPr>
      <w:r>
        <w:t>```</w:t>
      </w:r>
    </w:p>
    <w:p>
      <w:pPr>
        <w:ind w:firstLine="420"/>
      </w:pPr>
      <w:r>
        <w:t>基值0.7设定最大修正强度（新用户+纯血糖→0.7×1.0×0.82=0.574）。</w:t>
      </w:r>
    </w:p>
    <w:p>
      <w:pPr>
        <w:ind w:firstLine="420"/>
      </w:pPr>
      <w:r>
        <w:t>最终范围：adaptStrength ∈ [0.7×0.15×0.40, 0.7×1.0×0.82] = [0.042, 0.574]。</w:t>
      </w:r>
    </w:p>
    <w:p>
      <w:pPr>
        <w:ind w:firstLine="420"/>
      </w:pPr>
      <w:r>
        <w:t>*糖盾（TangDun）项目组，2026年6月*</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