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F68" w:rsidRDefault="00A8390D" w:rsidP="00A8390D">
      <w:pPr>
        <w:pStyle w:val="NoSpacing"/>
        <w:jc w:val="center"/>
      </w:pPr>
      <w:r>
        <w:t>Capstone Cost Analysis</w:t>
      </w:r>
    </w:p>
    <w:p w:rsidR="00890191" w:rsidRDefault="00890191" w:rsidP="00A8390D">
      <w:pPr>
        <w:pStyle w:val="NoSpacing"/>
        <w:jc w:val="center"/>
      </w:pPr>
    </w:p>
    <w:p w:rsidR="00F93F3F" w:rsidRDefault="00F93F3F" w:rsidP="00F93F3F">
      <w:pPr>
        <w:pStyle w:val="NoSpacing"/>
      </w:pPr>
      <w:r>
        <w:t xml:space="preserve">Amount of data: 80 </w:t>
      </w:r>
      <w:proofErr w:type="spellStart"/>
      <w:r>
        <w:t>mb</w:t>
      </w:r>
      <w:proofErr w:type="spellEnd"/>
      <w:r>
        <w:t xml:space="preserve">/day = </w:t>
      </w:r>
      <w:r w:rsidRPr="00890191">
        <w:rPr>
          <w:b/>
        </w:rPr>
        <w:t xml:space="preserve">2400 </w:t>
      </w:r>
      <w:proofErr w:type="spellStart"/>
      <w:r w:rsidRPr="00890191">
        <w:rPr>
          <w:b/>
        </w:rPr>
        <w:t>mb</w:t>
      </w:r>
      <w:proofErr w:type="spellEnd"/>
      <w:r w:rsidRPr="00890191">
        <w:rPr>
          <w:b/>
        </w:rPr>
        <w:t>/month</w:t>
      </w:r>
      <w:r>
        <w:t xml:space="preserve"> = 28.8 </w:t>
      </w:r>
      <w:proofErr w:type="spellStart"/>
      <w:r>
        <w:t>gb</w:t>
      </w:r>
      <w:proofErr w:type="spellEnd"/>
      <w:r>
        <w:t>/</w:t>
      </w:r>
      <w:proofErr w:type="spellStart"/>
      <w:r>
        <w:t>yr</w:t>
      </w:r>
      <w:proofErr w:type="spellEnd"/>
      <w:r>
        <w:t xml:space="preserve"> = </w:t>
      </w:r>
      <w:r w:rsidRPr="00890191">
        <w:rPr>
          <w:b/>
        </w:rPr>
        <w:t xml:space="preserve">86.4 </w:t>
      </w:r>
      <w:proofErr w:type="spellStart"/>
      <w:r w:rsidRPr="00890191">
        <w:rPr>
          <w:b/>
        </w:rPr>
        <w:t>gb</w:t>
      </w:r>
      <w:proofErr w:type="spellEnd"/>
      <w:r w:rsidRPr="00890191">
        <w:rPr>
          <w:b/>
        </w:rPr>
        <w:t xml:space="preserve">/3 </w:t>
      </w:r>
      <w:proofErr w:type="spellStart"/>
      <w:r w:rsidRPr="00890191">
        <w:rPr>
          <w:b/>
        </w:rPr>
        <w:t>yrs</w:t>
      </w:r>
      <w:proofErr w:type="spellEnd"/>
    </w:p>
    <w:p w:rsidR="00F93F3F" w:rsidRDefault="00F93F3F" w:rsidP="00F93F3F">
      <w:pPr>
        <w:pStyle w:val="NoSpacing"/>
      </w:pPr>
    </w:p>
    <w:p w:rsidR="00F93F3F" w:rsidRPr="008919D8" w:rsidRDefault="00890191" w:rsidP="00F93F3F">
      <w:pPr>
        <w:pStyle w:val="NoSpacing"/>
        <w:rPr>
          <w:u w:val="single"/>
        </w:rPr>
      </w:pPr>
      <w:r w:rsidRPr="008919D8">
        <w:rPr>
          <w:u w:val="single"/>
        </w:rPr>
        <w:t>AWS Pricing Estimates:</w:t>
      </w:r>
    </w:p>
    <w:p w:rsidR="008919D8" w:rsidRDefault="008919D8" w:rsidP="00F93F3F">
      <w:pPr>
        <w:pStyle w:val="NoSpacing"/>
      </w:pPr>
    </w:p>
    <w:tbl>
      <w:tblPr>
        <w:tblStyle w:val="TableGrid"/>
        <w:tblW w:w="0" w:type="auto"/>
        <w:tblLook w:val="04A0" w:firstRow="1" w:lastRow="0" w:firstColumn="1" w:lastColumn="0" w:noHBand="0" w:noVBand="1"/>
      </w:tblPr>
      <w:tblGrid>
        <w:gridCol w:w="1255"/>
        <w:gridCol w:w="2220"/>
        <w:gridCol w:w="3557"/>
        <w:gridCol w:w="832"/>
        <w:gridCol w:w="1486"/>
      </w:tblGrid>
      <w:tr w:rsidR="00890191" w:rsidRPr="00890191" w:rsidTr="00890191">
        <w:trPr>
          <w:trHeight w:val="300"/>
        </w:trPr>
        <w:tc>
          <w:tcPr>
            <w:tcW w:w="1255" w:type="dxa"/>
            <w:noWrap/>
            <w:hideMark/>
          </w:tcPr>
          <w:p w:rsidR="00890191" w:rsidRPr="00890191" w:rsidRDefault="008919D8" w:rsidP="00890191">
            <w:pPr>
              <w:pStyle w:val="NoSpacing"/>
            </w:pPr>
            <w:r w:rsidRPr="008919D8">
              <w:rPr>
                <w:b/>
              </w:rPr>
              <w:t xml:space="preserve">AWS </w:t>
            </w:r>
            <w:proofErr w:type="spellStart"/>
            <w:r w:rsidRPr="008919D8">
              <w:rPr>
                <w:b/>
              </w:rPr>
              <w:t>DynamoDB</w:t>
            </w:r>
            <w:proofErr w:type="spellEnd"/>
          </w:p>
        </w:tc>
        <w:tc>
          <w:tcPr>
            <w:tcW w:w="2220" w:type="dxa"/>
            <w:noWrap/>
            <w:hideMark/>
          </w:tcPr>
          <w:p w:rsidR="00890191" w:rsidRPr="00890191" w:rsidRDefault="00890191" w:rsidP="00890191">
            <w:pPr>
              <w:pStyle w:val="NoSpacing"/>
            </w:pPr>
            <w:r w:rsidRPr="00890191">
              <w:t>Indexed Data Storage (</w:t>
            </w:r>
            <w:proofErr w:type="spellStart"/>
            <w:r w:rsidRPr="00890191">
              <w:t>gb</w:t>
            </w:r>
            <w:proofErr w:type="spellEnd"/>
            <w:r w:rsidRPr="00890191">
              <w:t>/month)</w:t>
            </w:r>
          </w:p>
        </w:tc>
        <w:tc>
          <w:tcPr>
            <w:tcW w:w="3557" w:type="dxa"/>
            <w:noWrap/>
            <w:hideMark/>
          </w:tcPr>
          <w:p w:rsidR="00890191" w:rsidRPr="00890191" w:rsidRDefault="00890191" w:rsidP="00890191">
            <w:pPr>
              <w:pStyle w:val="NoSpacing"/>
            </w:pPr>
            <w:r w:rsidRPr="00890191">
              <w:t>Data Transfer In/Out (</w:t>
            </w:r>
            <w:proofErr w:type="spellStart"/>
            <w:r w:rsidRPr="00890191">
              <w:t>gb</w:t>
            </w:r>
            <w:proofErr w:type="spellEnd"/>
            <w:r w:rsidRPr="00890191">
              <w:t>/month)</w:t>
            </w:r>
          </w:p>
        </w:tc>
        <w:tc>
          <w:tcPr>
            <w:tcW w:w="832" w:type="dxa"/>
            <w:noWrap/>
            <w:hideMark/>
          </w:tcPr>
          <w:p w:rsidR="00890191" w:rsidRPr="00890191" w:rsidRDefault="00890191" w:rsidP="00890191">
            <w:pPr>
              <w:pStyle w:val="NoSpacing"/>
            </w:pPr>
            <w:r w:rsidRPr="00890191">
              <w:t>Free Tier?</w:t>
            </w:r>
          </w:p>
        </w:tc>
        <w:tc>
          <w:tcPr>
            <w:tcW w:w="1486" w:type="dxa"/>
            <w:noWrap/>
            <w:hideMark/>
          </w:tcPr>
          <w:p w:rsidR="00890191" w:rsidRPr="00890191" w:rsidRDefault="00890191" w:rsidP="00890191">
            <w:pPr>
              <w:pStyle w:val="NoSpacing"/>
            </w:pPr>
            <w:r w:rsidRPr="00890191">
              <w:t>Total Cost ($/</w:t>
            </w:r>
            <w:r w:rsidR="008919D8">
              <w:t>year</w:t>
            </w:r>
            <w:r w:rsidRPr="00890191">
              <w:t>)</w:t>
            </w:r>
          </w:p>
        </w:tc>
      </w:tr>
      <w:tr w:rsidR="00890191" w:rsidRPr="00890191" w:rsidTr="00890191">
        <w:trPr>
          <w:trHeight w:val="300"/>
        </w:trPr>
        <w:tc>
          <w:tcPr>
            <w:tcW w:w="1255" w:type="dxa"/>
            <w:noWrap/>
            <w:hideMark/>
          </w:tcPr>
          <w:p w:rsidR="00890191" w:rsidRPr="008919D8" w:rsidRDefault="008919D8" w:rsidP="00890191">
            <w:pPr>
              <w:pStyle w:val="NoSpacing"/>
            </w:pPr>
            <w:r>
              <w:t>1st year</w:t>
            </w:r>
          </w:p>
        </w:tc>
        <w:tc>
          <w:tcPr>
            <w:tcW w:w="2220" w:type="dxa"/>
            <w:noWrap/>
            <w:hideMark/>
          </w:tcPr>
          <w:p w:rsidR="00890191" w:rsidRPr="00890191" w:rsidRDefault="00890191" w:rsidP="00890191">
            <w:pPr>
              <w:pStyle w:val="NoSpacing"/>
            </w:pPr>
            <w:r w:rsidRPr="00890191">
              <w:t>2.4</w:t>
            </w:r>
          </w:p>
        </w:tc>
        <w:tc>
          <w:tcPr>
            <w:tcW w:w="3557" w:type="dxa"/>
            <w:noWrap/>
            <w:hideMark/>
          </w:tcPr>
          <w:p w:rsidR="00890191" w:rsidRPr="00890191" w:rsidRDefault="00890191" w:rsidP="00890191">
            <w:pPr>
              <w:pStyle w:val="NoSpacing"/>
            </w:pPr>
            <w:r w:rsidRPr="00890191">
              <w:t>2.4/1</w:t>
            </w:r>
          </w:p>
        </w:tc>
        <w:tc>
          <w:tcPr>
            <w:tcW w:w="832" w:type="dxa"/>
            <w:noWrap/>
            <w:hideMark/>
          </w:tcPr>
          <w:p w:rsidR="00890191" w:rsidRPr="00890191" w:rsidRDefault="00890191" w:rsidP="00890191">
            <w:pPr>
              <w:pStyle w:val="NoSpacing"/>
            </w:pPr>
            <w:r w:rsidRPr="00890191">
              <w:t>yes</w:t>
            </w:r>
          </w:p>
        </w:tc>
        <w:tc>
          <w:tcPr>
            <w:tcW w:w="1486" w:type="dxa"/>
            <w:noWrap/>
            <w:hideMark/>
          </w:tcPr>
          <w:p w:rsidR="00890191" w:rsidRPr="008919D8" w:rsidRDefault="00890191" w:rsidP="00890191">
            <w:pPr>
              <w:pStyle w:val="NoSpacing"/>
            </w:pPr>
            <w:r w:rsidRPr="008919D8">
              <w:t>0</w:t>
            </w:r>
          </w:p>
        </w:tc>
      </w:tr>
      <w:tr w:rsidR="008919D8" w:rsidRPr="00890191" w:rsidTr="00890191">
        <w:trPr>
          <w:trHeight w:val="300"/>
        </w:trPr>
        <w:tc>
          <w:tcPr>
            <w:tcW w:w="1255" w:type="dxa"/>
            <w:noWrap/>
          </w:tcPr>
          <w:p w:rsidR="008919D8" w:rsidRPr="008919D8" w:rsidRDefault="008919D8" w:rsidP="008919D8">
            <w:pPr>
              <w:pStyle w:val="NoSpacing"/>
            </w:pPr>
            <w:r>
              <w:t>2nd</w:t>
            </w:r>
            <w:r>
              <w:t xml:space="preserve"> year</w:t>
            </w:r>
          </w:p>
        </w:tc>
        <w:tc>
          <w:tcPr>
            <w:tcW w:w="2220" w:type="dxa"/>
            <w:noWrap/>
          </w:tcPr>
          <w:p w:rsidR="008919D8" w:rsidRPr="00890191" w:rsidRDefault="008919D8" w:rsidP="008919D8">
            <w:pPr>
              <w:pStyle w:val="NoSpacing"/>
            </w:pPr>
            <w:r w:rsidRPr="00890191">
              <w:t>2.4</w:t>
            </w:r>
          </w:p>
        </w:tc>
        <w:tc>
          <w:tcPr>
            <w:tcW w:w="3557" w:type="dxa"/>
            <w:noWrap/>
          </w:tcPr>
          <w:p w:rsidR="008919D8" w:rsidRPr="00890191" w:rsidRDefault="008919D8" w:rsidP="008919D8">
            <w:pPr>
              <w:pStyle w:val="NoSpacing"/>
            </w:pPr>
            <w:r w:rsidRPr="00890191">
              <w:t>2.4/1</w:t>
            </w:r>
          </w:p>
        </w:tc>
        <w:tc>
          <w:tcPr>
            <w:tcW w:w="832" w:type="dxa"/>
            <w:noWrap/>
          </w:tcPr>
          <w:p w:rsidR="008919D8" w:rsidRPr="00890191" w:rsidRDefault="008919D8" w:rsidP="008919D8">
            <w:pPr>
              <w:pStyle w:val="NoSpacing"/>
            </w:pPr>
            <w:r w:rsidRPr="00890191">
              <w:t>yes</w:t>
            </w:r>
          </w:p>
        </w:tc>
        <w:tc>
          <w:tcPr>
            <w:tcW w:w="1486" w:type="dxa"/>
            <w:noWrap/>
          </w:tcPr>
          <w:p w:rsidR="008919D8" w:rsidRPr="008919D8" w:rsidRDefault="008919D8" w:rsidP="008919D8">
            <w:pPr>
              <w:pStyle w:val="NoSpacing"/>
            </w:pPr>
            <w:r w:rsidRPr="008919D8">
              <w:t>0</w:t>
            </w:r>
          </w:p>
        </w:tc>
      </w:tr>
      <w:tr w:rsidR="008919D8" w:rsidRPr="00890191" w:rsidTr="00890191">
        <w:trPr>
          <w:trHeight w:val="300"/>
        </w:trPr>
        <w:tc>
          <w:tcPr>
            <w:tcW w:w="1255" w:type="dxa"/>
            <w:noWrap/>
          </w:tcPr>
          <w:p w:rsidR="008919D8" w:rsidRPr="008919D8" w:rsidRDefault="008919D8" w:rsidP="008919D8">
            <w:pPr>
              <w:pStyle w:val="NoSpacing"/>
            </w:pPr>
            <w:r>
              <w:t>3rd</w:t>
            </w:r>
            <w:r>
              <w:t xml:space="preserve"> year</w:t>
            </w:r>
          </w:p>
        </w:tc>
        <w:tc>
          <w:tcPr>
            <w:tcW w:w="2220" w:type="dxa"/>
            <w:noWrap/>
          </w:tcPr>
          <w:p w:rsidR="008919D8" w:rsidRPr="00890191" w:rsidRDefault="008919D8" w:rsidP="008919D8">
            <w:pPr>
              <w:pStyle w:val="NoSpacing"/>
            </w:pPr>
            <w:r w:rsidRPr="00890191">
              <w:t>2.4</w:t>
            </w:r>
          </w:p>
        </w:tc>
        <w:tc>
          <w:tcPr>
            <w:tcW w:w="3557" w:type="dxa"/>
            <w:noWrap/>
          </w:tcPr>
          <w:p w:rsidR="008919D8" w:rsidRPr="00890191" w:rsidRDefault="008919D8" w:rsidP="008919D8">
            <w:pPr>
              <w:pStyle w:val="NoSpacing"/>
            </w:pPr>
            <w:r w:rsidRPr="00890191">
              <w:t>2.4/1</w:t>
            </w:r>
          </w:p>
        </w:tc>
        <w:tc>
          <w:tcPr>
            <w:tcW w:w="832" w:type="dxa"/>
            <w:noWrap/>
          </w:tcPr>
          <w:p w:rsidR="008919D8" w:rsidRPr="00890191" w:rsidRDefault="008919D8" w:rsidP="008919D8">
            <w:pPr>
              <w:pStyle w:val="NoSpacing"/>
            </w:pPr>
            <w:r w:rsidRPr="00890191">
              <w:t>yes</w:t>
            </w:r>
          </w:p>
        </w:tc>
        <w:tc>
          <w:tcPr>
            <w:tcW w:w="1486" w:type="dxa"/>
            <w:noWrap/>
          </w:tcPr>
          <w:p w:rsidR="008919D8" w:rsidRPr="008919D8" w:rsidRDefault="008919D8" w:rsidP="008919D8">
            <w:pPr>
              <w:pStyle w:val="NoSpacing"/>
            </w:pPr>
            <w:r w:rsidRPr="008919D8">
              <w:t>0</w:t>
            </w:r>
          </w:p>
        </w:tc>
      </w:tr>
      <w:tr w:rsidR="008919D8" w:rsidRPr="00890191" w:rsidTr="00890191">
        <w:trPr>
          <w:trHeight w:val="300"/>
        </w:trPr>
        <w:tc>
          <w:tcPr>
            <w:tcW w:w="1255" w:type="dxa"/>
            <w:noWrap/>
          </w:tcPr>
          <w:p w:rsidR="008919D8" w:rsidRDefault="008919D8" w:rsidP="00890191">
            <w:pPr>
              <w:pStyle w:val="NoSpacing"/>
            </w:pPr>
          </w:p>
        </w:tc>
        <w:tc>
          <w:tcPr>
            <w:tcW w:w="2220" w:type="dxa"/>
            <w:noWrap/>
          </w:tcPr>
          <w:p w:rsidR="008919D8" w:rsidRPr="00890191" w:rsidRDefault="008919D8" w:rsidP="00890191">
            <w:pPr>
              <w:pStyle w:val="NoSpacing"/>
            </w:pPr>
          </w:p>
        </w:tc>
        <w:tc>
          <w:tcPr>
            <w:tcW w:w="3557" w:type="dxa"/>
            <w:noWrap/>
          </w:tcPr>
          <w:p w:rsidR="008919D8" w:rsidRPr="00890191" w:rsidRDefault="008919D8" w:rsidP="00890191">
            <w:pPr>
              <w:pStyle w:val="NoSpacing"/>
            </w:pPr>
          </w:p>
        </w:tc>
        <w:tc>
          <w:tcPr>
            <w:tcW w:w="832" w:type="dxa"/>
            <w:noWrap/>
          </w:tcPr>
          <w:p w:rsidR="008919D8" w:rsidRPr="00890191" w:rsidRDefault="008919D8" w:rsidP="00890191">
            <w:pPr>
              <w:pStyle w:val="NoSpacing"/>
            </w:pPr>
          </w:p>
        </w:tc>
        <w:tc>
          <w:tcPr>
            <w:tcW w:w="1486" w:type="dxa"/>
            <w:noWrap/>
          </w:tcPr>
          <w:p w:rsidR="008919D8" w:rsidRPr="00890191" w:rsidRDefault="008919D8" w:rsidP="00890191">
            <w:pPr>
              <w:pStyle w:val="NoSpacing"/>
              <w:rPr>
                <w:b/>
              </w:rPr>
            </w:pPr>
            <w:r>
              <w:rPr>
                <w:b/>
              </w:rPr>
              <w:t>0</w:t>
            </w:r>
          </w:p>
        </w:tc>
      </w:tr>
    </w:tbl>
    <w:p w:rsidR="00804ED3" w:rsidRDefault="00804ED3" w:rsidP="00A8390D">
      <w:pPr>
        <w:pStyle w:val="NoSpacing"/>
      </w:pPr>
    </w:p>
    <w:p w:rsidR="008919D8" w:rsidRDefault="00E17690" w:rsidP="00A8390D">
      <w:pPr>
        <w:pStyle w:val="NoSpacing"/>
      </w:pPr>
      <w:proofErr w:type="spellStart"/>
      <w:r>
        <w:t>DynamoDB</w:t>
      </w:r>
      <w:proofErr w:type="spellEnd"/>
      <w:r>
        <w:t xml:space="preserve"> free tier constraints (per month): 25 </w:t>
      </w:r>
      <w:proofErr w:type="spellStart"/>
      <w:r>
        <w:t>gb</w:t>
      </w:r>
      <w:proofErr w:type="spellEnd"/>
      <w:r>
        <w:t xml:space="preserve"> free storage, up to 200 million read/write requests, 2.5 million read requests from streams</w:t>
      </w:r>
    </w:p>
    <w:p w:rsidR="008919D8" w:rsidRDefault="008919D8" w:rsidP="00A8390D">
      <w:pPr>
        <w:pStyle w:val="NoSpacing"/>
      </w:pPr>
      <w:proofErr w:type="spellStart"/>
      <w:r>
        <w:t>DynamoDB</w:t>
      </w:r>
      <w:proofErr w:type="spellEnd"/>
      <w:r>
        <w:t xml:space="preserve"> is non-expiring on the free tier, meaning AWS customers can continue to use the services (under the limit) without charge.</w:t>
      </w:r>
    </w:p>
    <w:p w:rsidR="008015F2" w:rsidRDefault="008015F2" w:rsidP="00A8390D">
      <w:pPr>
        <w:pStyle w:val="NoSpacing"/>
      </w:pPr>
      <w:hyperlink r:id="rId4" w:history="1">
        <w:r w:rsidRPr="001628A1">
          <w:rPr>
            <w:rStyle w:val="Hyperlink"/>
          </w:rPr>
          <w:t>https://aws.amazon.com/dynamodb/pricing/</w:t>
        </w:r>
      </w:hyperlink>
    </w:p>
    <w:p w:rsidR="00890191" w:rsidRDefault="00890191" w:rsidP="00A8390D">
      <w:pPr>
        <w:pStyle w:val="NoSpacing"/>
      </w:pPr>
    </w:p>
    <w:tbl>
      <w:tblPr>
        <w:tblStyle w:val="TableGrid"/>
        <w:tblW w:w="0" w:type="auto"/>
        <w:tblLook w:val="04A0" w:firstRow="1" w:lastRow="0" w:firstColumn="1" w:lastColumn="0" w:noHBand="0" w:noVBand="1"/>
      </w:tblPr>
      <w:tblGrid>
        <w:gridCol w:w="1172"/>
        <w:gridCol w:w="2303"/>
        <w:gridCol w:w="3557"/>
        <w:gridCol w:w="832"/>
        <w:gridCol w:w="1486"/>
      </w:tblGrid>
      <w:tr w:rsidR="00890191" w:rsidRPr="00890191" w:rsidTr="00890191">
        <w:trPr>
          <w:trHeight w:val="300"/>
        </w:trPr>
        <w:tc>
          <w:tcPr>
            <w:tcW w:w="1620" w:type="dxa"/>
            <w:noWrap/>
            <w:hideMark/>
          </w:tcPr>
          <w:p w:rsidR="00890191" w:rsidRPr="008919D8" w:rsidRDefault="00890191" w:rsidP="00890191">
            <w:pPr>
              <w:pStyle w:val="NoSpacing"/>
              <w:rPr>
                <w:b/>
              </w:rPr>
            </w:pPr>
            <w:r w:rsidRPr="008919D8">
              <w:rPr>
                <w:b/>
              </w:rPr>
              <w:t>AWS S3</w:t>
            </w:r>
          </w:p>
        </w:tc>
        <w:tc>
          <w:tcPr>
            <w:tcW w:w="3280" w:type="dxa"/>
            <w:noWrap/>
            <w:hideMark/>
          </w:tcPr>
          <w:p w:rsidR="00890191" w:rsidRPr="00890191" w:rsidRDefault="00890191" w:rsidP="00890191">
            <w:pPr>
              <w:pStyle w:val="NoSpacing"/>
            </w:pPr>
            <w:r w:rsidRPr="00890191">
              <w:t>Storage Pricing (</w:t>
            </w:r>
            <w:proofErr w:type="spellStart"/>
            <w:r w:rsidRPr="00890191">
              <w:t>gb</w:t>
            </w:r>
            <w:proofErr w:type="spellEnd"/>
            <w:r w:rsidRPr="00890191">
              <w:t>/month)</w:t>
            </w:r>
          </w:p>
        </w:tc>
        <w:tc>
          <w:tcPr>
            <w:tcW w:w="5120" w:type="dxa"/>
            <w:noWrap/>
            <w:hideMark/>
          </w:tcPr>
          <w:p w:rsidR="00890191" w:rsidRPr="00890191" w:rsidRDefault="00890191" w:rsidP="00890191">
            <w:pPr>
              <w:pStyle w:val="NoSpacing"/>
            </w:pPr>
            <w:r w:rsidRPr="00890191">
              <w:t xml:space="preserve">Requests(get/put)/Data Transfer (Get #, Put #, Out </w:t>
            </w:r>
            <w:proofErr w:type="spellStart"/>
            <w:r w:rsidRPr="00890191">
              <w:t>gb</w:t>
            </w:r>
            <w:proofErr w:type="spellEnd"/>
            <w:r w:rsidRPr="00890191">
              <w:t>)</w:t>
            </w:r>
          </w:p>
        </w:tc>
        <w:tc>
          <w:tcPr>
            <w:tcW w:w="1120" w:type="dxa"/>
            <w:noWrap/>
            <w:hideMark/>
          </w:tcPr>
          <w:p w:rsidR="00890191" w:rsidRPr="00890191" w:rsidRDefault="00890191" w:rsidP="00890191">
            <w:pPr>
              <w:pStyle w:val="NoSpacing"/>
            </w:pPr>
            <w:r w:rsidRPr="00890191">
              <w:t>Free Tier?</w:t>
            </w:r>
          </w:p>
        </w:tc>
        <w:tc>
          <w:tcPr>
            <w:tcW w:w="2080" w:type="dxa"/>
            <w:noWrap/>
            <w:hideMark/>
          </w:tcPr>
          <w:p w:rsidR="00890191" w:rsidRPr="00890191" w:rsidRDefault="00890191" w:rsidP="00890191">
            <w:pPr>
              <w:pStyle w:val="NoSpacing"/>
            </w:pPr>
            <w:r w:rsidRPr="00890191">
              <w:t>Total Cost ($/year)</w:t>
            </w:r>
          </w:p>
        </w:tc>
      </w:tr>
      <w:tr w:rsidR="00890191" w:rsidRPr="00890191" w:rsidTr="00890191">
        <w:trPr>
          <w:trHeight w:val="300"/>
        </w:trPr>
        <w:tc>
          <w:tcPr>
            <w:tcW w:w="1620" w:type="dxa"/>
            <w:noWrap/>
            <w:hideMark/>
          </w:tcPr>
          <w:p w:rsidR="00890191" w:rsidRPr="00890191" w:rsidRDefault="00890191" w:rsidP="00890191">
            <w:pPr>
              <w:pStyle w:val="NoSpacing"/>
            </w:pPr>
            <w:r w:rsidRPr="00890191">
              <w:t>1st year</w:t>
            </w:r>
          </w:p>
        </w:tc>
        <w:tc>
          <w:tcPr>
            <w:tcW w:w="3280" w:type="dxa"/>
            <w:noWrap/>
            <w:hideMark/>
          </w:tcPr>
          <w:p w:rsidR="00890191" w:rsidRPr="00890191" w:rsidRDefault="00890191" w:rsidP="00890191">
            <w:pPr>
              <w:pStyle w:val="NoSpacing"/>
            </w:pPr>
            <w:r w:rsidRPr="00890191">
              <w:t>2.4</w:t>
            </w:r>
          </w:p>
        </w:tc>
        <w:tc>
          <w:tcPr>
            <w:tcW w:w="5120" w:type="dxa"/>
            <w:noWrap/>
            <w:hideMark/>
          </w:tcPr>
          <w:p w:rsidR="00890191" w:rsidRPr="00890191" w:rsidRDefault="00890191" w:rsidP="00890191">
            <w:pPr>
              <w:pStyle w:val="NoSpacing"/>
            </w:pPr>
            <w:r>
              <w:t>30,6</w:t>
            </w:r>
            <w:r w:rsidRPr="00890191">
              <w:t>0,1</w:t>
            </w:r>
          </w:p>
        </w:tc>
        <w:tc>
          <w:tcPr>
            <w:tcW w:w="1120" w:type="dxa"/>
            <w:noWrap/>
            <w:hideMark/>
          </w:tcPr>
          <w:p w:rsidR="00890191" w:rsidRPr="00890191" w:rsidRDefault="00890191" w:rsidP="00890191">
            <w:pPr>
              <w:pStyle w:val="NoSpacing"/>
            </w:pPr>
            <w:r w:rsidRPr="00890191">
              <w:t>yes</w:t>
            </w:r>
          </w:p>
        </w:tc>
        <w:tc>
          <w:tcPr>
            <w:tcW w:w="2080" w:type="dxa"/>
            <w:noWrap/>
            <w:hideMark/>
          </w:tcPr>
          <w:p w:rsidR="00890191" w:rsidRPr="00890191" w:rsidRDefault="00890191" w:rsidP="00890191">
            <w:pPr>
              <w:pStyle w:val="NoSpacing"/>
            </w:pPr>
            <w:r w:rsidRPr="00890191">
              <w:t>0</w:t>
            </w:r>
          </w:p>
        </w:tc>
      </w:tr>
      <w:tr w:rsidR="00890191" w:rsidRPr="00890191" w:rsidTr="00890191">
        <w:trPr>
          <w:trHeight w:val="300"/>
        </w:trPr>
        <w:tc>
          <w:tcPr>
            <w:tcW w:w="1620" w:type="dxa"/>
            <w:noWrap/>
            <w:hideMark/>
          </w:tcPr>
          <w:p w:rsidR="00890191" w:rsidRPr="00890191" w:rsidRDefault="00890191" w:rsidP="00890191">
            <w:pPr>
              <w:pStyle w:val="NoSpacing"/>
            </w:pPr>
            <w:r w:rsidRPr="00890191">
              <w:t>2nd year</w:t>
            </w:r>
          </w:p>
        </w:tc>
        <w:tc>
          <w:tcPr>
            <w:tcW w:w="3280" w:type="dxa"/>
            <w:noWrap/>
            <w:hideMark/>
          </w:tcPr>
          <w:p w:rsidR="00890191" w:rsidRPr="00890191" w:rsidRDefault="00890191" w:rsidP="00890191">
            <w:pPr>
              <w:pStyle w:val="NoSpacing"/>
            </w:pPr>
            <w:r w:rsidRPr="00890191">
              <w:t>2.4($.023)</w:t>
            </w:r>
          </w:p>
        </w:tc>
        <w:tc>
          <w:tcPr>
            <w:tcW w:w="5120" w:type="dxa"/>
            <w:noWrap/>
            <w:hideMark/>
          </w:tcPr>
          <w:p w:rsidR="00890191" w:rsidRPr="00890191" w:rsidRDefault="00890191" w:rsidP="00890191">
            <w:pPr>
              <w:pStyle w:val="NoSpacing"/>
            </w:pPr>
            <w:r>
              <w:t>30($.004), 6</w:t>
            </w:r>
            <w:r w:rsidRPr="00890191">
              <w:t>0($.005), 1($0)</w:t>
            </w:r>
          </w:p>
        </w:tc>
        <w:tc>
          <w:tcPr>
            <w:tcW w:w="1120" w:type="dxa"/>
            <w:noWrap/>
            <w:hideMark/>
          </w:tcPr>
          <w:p w:rsidR="00890191" w:rsidRPr="00890191" w:rsidRDefault="00890191" w:rsidP="00890191">
            <w:pPr>
              <w:pStyle w:val="NoSpacing"/>
            </w:pPr>
            <w:r w:rsidRPr="00890191">
              <w:t>no</w:t>
            </w:r>
          </w:p>
        </w:tc>
        <w:tc>
          <w:tcPr>
            <w:tcW w:w="2080" w:type="dxa"/>
            <w:noWrap/>
            <w:hideMark/>
          </w:tcPr>
          <w:p w:rsidR="00890191" w:rsidRPr="00890191" w:rsidRDefault="00890191" w:rsidP="00890191">
            <w:pPr>
              <w:pStyle w:val="NoSpacing"/>
            </w:pPr>
            <w:r w:rsidRPr="00890191">
              <w:t>0.032</w:t>
            </w:r>
          </w:p>
        </w:tc>
      </w:tr>
      <w:tr w:rsidR="00890191" w:rsidRPr="00890191" w:rsidTr="00890191">
        <w:trPr>
          <w:trHeight w:val="300"/>
        </w:trPr>
        <w:tc>
          <w:tcPr>
            <w:tcW w:w="1620" w:type="dxa"/>
            <w:noWrap/>
            <w:hideMark/>
          </w:tcPr>
          <w:p w:rsidR="00890191" w:rsidRPr="00890191" w:rsidRDefault="00890191" w:rsidP="00890191">
            <w:pPr>
              <w:pStyle w:val="NoSpacing"/>
            </w:pPr>
            <w:r w:rsidRPr="00890191">
              <w:t>3rd year</w:t>
            </w:r>
          </w:p>
        </w:tc>
        <w:tc>
          <w:tcPr>
            <w:tcW w:w="3280" w:type="dxa"/>
            <w:noWrap/>
            <w:hideMark/>
          </w:tcPr>
          <w:p w:rsidR="00890191" w:rsidRPr="00890191" w:rsidRDefault="00890191" w:rsidP="00890191">
            <w:pPr>
              <w:pStyle w:val="NoSpacing"/>
            </w:pPr>
            <w:r w:rsidRPr="00890191">
              <w:t>2.4($.023)</w:t>
            </w:r>
          </w:p>
        </w:tc>
        <w:tc>
          <w:tcPr>
            <w:tcW w:w="5120" w:type="dxa"/>
            <w:noWrap/>
            <w:hideMark/>
          </w:tcPr>
          <w:p w:rsidR="00890191" w:rsidRPr="00890191" w:rsidRDefault="00890191" w:rsidP="00890191">
            <w:pPr>
              <w:pStyle w:val="NoSpacing"/>
            </w:pPr>
            <w:r>
              <w:t>30($.004), 6</w:t>
            </w:r>
            <w:r w:rsidRPr="00890191">
              <w:t>0($.005), 1($0)</w:t>
            </w:r>
          </w:p>
        </w:tc>
        <w:tc>
          <w:tcPr>
            <w:tcW w:w="1120" w:type="dxa"/>
            <w:noWrap/>
            <w:hideMark/>
          </w:tcPr>
          <w:p w:rsidR="00890191" w:rsidRPr="00890191" w:rsidRDefault="00890191" w:rsidP="00890191">
            <w:pPr>
              <w:pStyle w:val="NoSpacing"/>
            </w:pPr>
            <w:r w:rsidRPr="00890191">
              <w:t>no</w:t>
            </w:r>
          </w:p>
        </w:tc>
        <w:tc>
          <w:tcPr>
            <w:tcW w:w="2080" w:type="dxa"/>
            <w:noWrap/>
            <w:hideMark/>
          </w:tcPr>
          <w:p w:rsidR="00890191" w:rsidRPr="00890191" w:rsidRDefault="00890191" w:rsidP="00890191">
            <w:pPr>
              <w:pStyle w:val="NoSpacing"/>
            </w:pPr>
            <w:r w:rsidRPr="00890191">
              <w:t>0.032</w:t>
            </w:r>
          </w:p>
        </w:tc>
      </w:tr>
      <w:tr w:rsidR="00890191" w:rsidRPr="00890191" w:rsidTr="00890191">
        <w:trPr>
          <w:trHeight w:val="300"/>
        </w:trPr>
        <w:tc>
          <w:tcPr>
            <w:tcW w:w="1620" w:type="dxa"/>
            <w:noWrap/>
            <w:hideMark/>
          </w:tcPr>
          <w:p w:rsidR="00890191" w:rsidRPr="00890191" w:rsidRDefault="00890191" w:rsidP="00890191">
            <w:pPr>
              <w:pStyle w:val="NoSpacing"/>
            </w:pPr>
          </w:p>
        </w:tc>
        <w:tc>
          <w:tcPr>
            <w:tcW w:w="3280" w:type="dxa"/>
            <w:noWrap/>
            <w:hideMark/>
          </w:tcPr>
          <w:p w:rsidR="00890191" w:rsidRPr="00890191" w:rsidRDefault="00890191" w:rsidP="00890191">
            <w:pPr>
              <w:pStyle w:val="NoSpacing"/>
            </w:pPr>
          </w:p>
        </w:tc>
        <w:tc>
          <w:tcPr>
            <w:tcW w:w="5120" w:type="dxa"/>
            <w:noWrap/>
            <w:hideMark/>
          </w:tcPr>
          <w:p w:rsidR="00890191" w:rsidRPr="00890191" w:rsidRDefault="00890191" w:rsidP="00890191">
            <w:pPr>
              <w:pStyle w:val="NoSpacing"/>
            </w:pPr>
          </w:p>
        </w:tc>
        <w:tc>
          <w:tcPr>
            <w:tcW w:w="1120" w:type="dxa"/>
            <w:noWrap/>
            <w:hideMark/>
          </w:tcPr>
          <w:p w:rsidR="00890191" w:rsidRPr="00890191" w:rsidRDefault="00890191" w:rsidP="00890191">
            <w:pPr>
              <w:pStyle w:val="NoSpacing"/>
            </w:pPr>
          </w:p>
        </w:tc>
        <w:tc>
          <w:tcPr>
            <w:tcW w:w="2080" w:type="dxa"/>
            <w:noWrap/>
            <w:hideMark/>
          </w:tcPr>
          <w:p w:rsidR="00890191" w:rsidRPr="00890191" w:rsidRDefault="00890191" w:rsidP="00890191">
            <w:pPr>
              <w:pStyle w:val="NoSpacing"/>
              <w:rPr>
                <w:b/>
              </w:rPr>
            </w:pPr>
            <w:r w:rsidRPr="00890191">
              <w:rPr>
                <w:b/>
              </w:rPr>
              <w:t>0.064</w:t>
            </w:r>
          </w:p>
        </w:tc>
      </w:tr>
    </w:tbl>
    <w:p w:rsidR="00890191" w:rsidRDefault="00890191" w:rsidP="00A8390D">
      <w:pPr>
        <w:pStyle w:val="NoSpacing"/>
      </w:pPr>
    </w:p>
    <w:p w:rsidR="00890191" w:rsidRDefault="00890191" w:rsidP="00A8390D">
      <w:pPr>
        <w:pStyle w:val="NoSpacing"/>
      </w:pPr>
      <w:r>
        <w:t>S3 free tier constraints (first year, usage each month): 5gb free storage, 20000 get requests, 2000 put requests, 15gb data transfer out</w:t>
      </w:r>
    </w:p>
    <w:p w:rsidR="00890191" w:rsidRDefault="00890191" w:rsidP="00A8390D">
      <w:pPr>
        <w:pStyle w:val="NoSpacing"/>
      </w:pPr>
      <w:r>
        <w:t xml:space="preserve">This cost estimates that get requests will be from S3 to spark (EMR) and the put requests will be from the python script to </w:t>
      </w:r>
      <w:proofErr w:type="spellStart"/>
      <w:r>
        <w:t>DynamoDB</w:t>
      </w:r>
      <w:proofErr w:type="spellEnd"/>
      <w:r>
        <w:t xml:space="preserve"> + the initial files sent to S3. </w:t>
      </w:r>
      <w:r w:rsidR="008015F2">
        <w:t xml:space="preserve">However, </w:t>
      </w:r>
      <w:r>
        <w:t>I’m not sure if each request counts for more than one file. PUT is $0.005/1000 requests, GET is $0.004/10000 requests.</w:t>
      </w:r>
    </w:p>
    <w:p w:rsidR="008015F2" w:rsidRDefault="008015F2" w:rsidP="00A8390D">
      <w:pPr>
        <w:pStyle w:val="NoSpacing"/>
      </w:pPr>
      <w:hyperlink r:id="rId5" w:history="1">
        <w:r w:rsidRPr="001628A1">
          <w:rPr>
            <w:rStyle w:val="Hyperlink"/>
          </w:rPr>
          <w:t>https://aws.amazon.com/s3/pricing/</w:t>
        </w:r>
      </w:hyperlink>
    </w:p>
    <w:p w:rsidR="00890191" w:rsidRDefault="00890191" w:rsidP="00A8390D">
      <w:pPr>
        <w:pStyle w:val="NoSpacing"/>
      </w:pPr>
    </w:p>
    <w:tbl>
      <w:tblPr>
        <w:tblStyle w:val="TableGrid"/>
        <w:tblW w:w="0" w:type="auto"/>
        <w:tblLook w:val="04A0" w:firstRow="1" w:lastRow="0" w:firstColumn="1" w:lastColumn="0" w:noHBand="0" w:noVBand="1"/>
      </w:tblPr>
      <w:tblGrid>
        <w:gridCol w:w="2425"/>
        <w:gridCol w:w="1800"/>
        <w:gridCol w:w="1710"/>
        <w:gridCol w:w="1260"/>
        <w:gridCol w:w="2155"/>
      </w:tblGrid>
      <w:tr w:rsidR="008919D8" w:rsidRPr="008919D8" w:rsidTr="008919D8">
        <w:trPr>
          <w:trHeight w:val="300"/>
        </w:trPr>
        <w:tc>
          <w:tcPr>
            <w:tcW w:w="2425" w:type="dxa"/>
            <w:noWrap/>
            <w:hideMark/>
          </w:tcPr>
          <w:p w:rsidR="008919D8" w:rsidRPr="008919D8" w:rsidRDefault="008919D8" w:rsidP="008919D8">
            <w:pPr>
              <w:pStyle w:val="NoSpacing"/>
              <w:rPr>
                <w:b/>
              </w:rPr>
            </w:pPr>
            <w:r w:rsidRPr="008919D8">
              <w:rPr>
                <w:b/>
              </w:rPr>
              <w:t>AWS EMR</w:t>
            </w:r>
            <w:r w:rsidRPr="008919D8">
              <w:rPr>
                <w:b/>
              </w:rPr>
              <w:t xml:space="preserve"> (m</w:t>
            </w:r>
            <w:proofErr w:type="gramStart"/>
            <w:r w:rsidRPr="008919D8">
              <w:rPr>
                <w:b/>
              </w:rPr>
              <w:t>4.large</w:t>
            </w:r>
            <w:proofErr w:type="gramEnd"/>
            <w:r w:rsidRPr="008919D8">
              <w:rPr>
                <w:b/>
              </w:rPr>
              <w:t>)</w:t>
            </w:r>
          </w:p>
        </w:tc>
        <w:tc>
          <w:tcPr>
            <w:tcW w:w="1800" w:type="dxa"/>
            <w:noWrap/>
            <w:hideMark/>
          </w:tcPr>
          <w:p w:rsidR="008919D8" w:rsidRPr="008919D8" w:rsidRDefault="008919D8" w:rsidP="008919D8">
            <w:pPr>
              <w:pStyle w:val="NoSpacing"/>
            </w:pPr>
            <w:r w:rsidRPr="008919D8">
              <w:t>EC2 Price ($/</w:t>
            </w:r>
            <w:proofErr w:type="spellStart"/>
            <w:r w:rsidRPr="008919D8">
              <w:t>hr</w:t>
            </w:r>
            <w:proofErr w:type="spellEnd"/>
            <w:r w:rsidRPr="008919D8">
              <w:t>)</w:t>
            </w:r>
          </w:p>
        </w:tc>
        <w:tc>
          <w:tcPr>
            <w:tcW w:w="1710" w:type="dxa"/>
            <w:noWrap/>
            <w:hideMark/>
          </w:tcPr>
          <w:p w:rsidR="008919D8" w:rsidRPr="008919D8" w:rsidRDefault="008919D8" w:rsidP="008919D8">
            <w:pPr>
              <w:pStyle w:val="NoSpacing"/>
            </w:pPr>
            <w:r w:rsidRPr="008919D8">
              <w:t>EMR Price ($/</w:t>
            </w:r>
            <w:proofErr w:type="spellStart"/>
            <w:r w:rsidRPr="008919D8">
              <w:t>hr</w:t>
            </w:r>
            <w:proofErr w:type="spellEnd"/>
            <w:r w:rsidRPr="008919D8">
              <w:t>)</w:t>
            </w:r>
          </w:p>
        </w:tc>
        <w:tc>
          <w:tcPr>
            <w:tcW w:w="1260" w:type="dxa"/>
            <w:noWrap/>
            <w:hideMark/>
          </w:tcPr>
          <w:p w:rsidR="008919D8" w:rsidRPr="008919D8" w:rsidRDefault="008919D8" w:rsidP="008919D8">
            <w:pPr>
              <w:pStyle w:val="NoSpacing"/>
            </w:pPr>
            <w:proofErr w:type="spellStart"/>
            <w:r w:rsidRPr="008919D8">
              <w:t>Hrs</w:t>
            </w:r>
            <w:proofErr w:type="spellEnd"/>
            <w:r w:rsidRPr="008919D8">
              <w:t>/Month</w:t>
            </w:r>
          </w:p>
        </w:tc>
        <w:tc>
          <w:tcPr>
            <w:tcW w:w="2155" w:type="dxa"/>
            <w:noWrap/>
            <w:hideMark/>
          </w:tcPr>
          <w:p w:rsidR="008919D8" w:rsidRPr="008919D8" w:rsidRDefault="008919D8" w:rsidP="008919D8">
            <w:pPr>
              <w:pStyle w:val="NoSpacing"/>
            </w:pPr>
            <w:r w:rsidRPr="008919D8">
              <w:t>Total Cost ($/3 years)</w:t>
            </w:r>
          </w:p>
        </w:tc>
      </w:tr>
      <w:tr w:rsidR="008919D8" w:rsidRPr="008919D8" w:rsidTr="008919D8">
        <w:trPr>
          <w:trHeight w:val="300"/>
        </w:trPr>
        <w:tc>
          <w:tcPr>
            <w:tcW w:w="2425" w:type="dxa"/>
            <w:noWrap/>
            <w:hideMark/>
          </w:tcPr>
          <w:p w:rsidR="008919D8" w:rsidRPr="008919D8" w:rsidRDefault="008919D8" w:rsidP="008919D8">
            <w:pPr>
              <w:pStyle w:val="NoSpacing"/>
            </w:pPr>
            <w:r>
              <w:t>1st year</w:t>
            </w:r>
          </w:p>
        </w:tc>
        <w:tc>
          <w:tcPr>
            <w:tcW w:w="1800" w:type="dxa"/>
            <w:noWrap/>
            <w:hideMark/>
          </w:tcPr>
          <w:p w:rsidR="008919D8" w:rsidRPr="008919D8" w:rsidRDefault="008919D8" w:rsidP="008919D8">
            <w:pPr>
              <w:pStyle w:val="NoSpacing"/>
            </w:pPr>
            <w:r w:rsidRPr="008919D8">
              <w:t>0.12</w:t>
            </w:r>
          </w:p>
        </w:tc>
        <w:tc>
          <w:tcPr>
            <w:tcW w:w="1710" w:type="dxa"/>
            <w:noWrap/>
            <w:hideMark/>
          </w:tcPr>
          <w:p w:rsidR="008919D8" w:rsidRPr="008919D8" w:rsidRDefault="008919D8" w:rsidP="008919D8">
            <w:pPr>
              <w:pStyle w:val="NoSpacing"/>
            </w:pPr>
            <w:r w:rsidRPr="008919D8">
              <w:t>0.03</w:t>
            </w:r>
          </w:p>
        </w:tc>
        <w:tc>
          <w:tcPr>
            <w:tcW w:w="1260" w:type="dxa"/>
            <w:noWrap/>
            <w:hideMark/>
          </w:tcPr>
          <w:p w:rsidR="008919D8" w:rsidRPr="008919D8" w:rsidRDefault="008919D8" w:rsidP="008919D8">
            <w:pPr>
              <w:pStyle w:val="NoSpacing"/>
            </w:pPr>
            <w:r w:rsidRPr="008919D8">
              <w:t>30</w:t>
            </w:r>
          </w:p>
        </w:tc>
        <w:tc>
          <w:tcPr>
            <w:tcW w:w="2155" w:type="dxa"/>
            <w:noWrap/>
            <w:hideMark/>
          </w:tcPr>
          <w:p w:rsidR="008919D8" w:rsidRPr="008919D8" w:rsidRDefault="008919D8" w:rsidP="008919D8">
            <w:pPr>
              <w:pStyle w:val="NoSpacing"/>
            </w:pPr>
            <w:r>
              <w:t>54</w:t>
            </w:r>
          </w:p>
        </w:tc>
      </w:tr>
      <w:tr w:rsidR="008919D8" w:rsidRPr="008919D8" w:rsidTr="008919D8">
        <w:trPr>
          <w:trHeight w:val="300"/>
        </w:trPr>
        <w:tc>
          <w:tcPr>
            <w:tcW w:w="2425" w:type="dxa"/>
            <w:noWrap/>
          </w:tcPr>
          <w:p w:rsidR="008919D8" w:rsidRPr="008919D8" w:rsidRDefault="008919D8" w:rsidP="008919D8">
            <w:pPr>
              <w:pStyle w:val="NoSpacing"/>
            </w:pPr>
            <w:r>
              <w:t>2nd</w:t>
            </w:r>
            <w:r>
              <w:t xml:space="preserve"> year</w:t>
            </w:r>
          </w:p>
        </w:tc>
        <w:tc>
          <w:tcPr>
            <w:tcW w:w="1800" w:type="dxa"/>
            <w:noWrap/>
          </w:tcPr>
          <w:p w:rsidR="008919D8" w:rsidRPr="008919D8" w:rsidRDefault="008919D8" w:rsidP="008919D8">
            <w:pPr>
              <w:pStyle w:val="NoSpacing"/>
            </w:pPr>
            <w:r w:rsidRPr="008919D8">
              <w:t>0.12</w:t>
            </w:r>
          </w:p>
        </w:tc>
        <w:tc>
          <w:tcPr>
            <w:tcW w:w="1710" w:type="dxa"/>
            <w:noWrap/>
          </w:tcPr>
          <w:p w:rsidR="008919D8" w:rsidRPr="008919D8" w:rsidRDefault="008919D8" w:rsidP="008919D8">
            <w:pPr>
              <w:pStyle w:val="NoSpacing"/>
            </w:pPr>
            <w:r w:rsidRPr="008919D8">
              <w:t>0.03</w:t>
            </w:r>
          </w:p>
        </w:tc>
        <w:tc>
          <w:tcPr>
            <w:tcW w:w="1260" w:type="dxa"/>
            <w:noWrap/>
          </w:tcPr>
          <w:p w:rsidR="008919D8" w:rsidRPr="008919D8" w:rsidRDefault="008919D8" w:rsidP="008919D8">
            <w:pPr>
              <w:pStyle w:val="NoSpacing"/>
            </w:pPr>
            <w:r w:rsidRPr="008919D8">
              <w:t>30</w:t>
            </w:r>
          </w:p>
        </w:tc>
        <w:tc>
          <w:tcPr>
            <w:tcW w:w="2155" w:type="dxa"/>
            <w:noWrap/>
          </w:tcPr>
          <w:p w:rsidR="008919D8" w:rsidRPr="008919D8" w:rsidRDefault="008919D8" w:rsidP="008919D8">
            <w:pPr>
              <w:pStyle w:val="NoSpacing"/>
            </w:pPr>
            <w:r>
              <w:t>54</w:t>
            </w:r>
          </w:p>
        </w:tc>
      </w:tr>
      <w:tr w:rsidR="008919D8" w:rsidRPr="008919D8" w:rsidTr="008919D8">
        <w:trPr>
          <w:trHeight w:val="300"/>
        </w:trPr>
        <w:tc>
          <w:tcPr>
            <w:tcW w:w="2425" w:type="dxa"/>
            <w:noWrap/>
          </w:tcPr>
          <w:p w:rsidR="008919D8" w:rsidRPr="008919D8" w:rsidRDefault="008919D8" w:rsidP="008919D8">
            <w:pPr>
              <w:pStyle w:val="NoSpacing"/>
            </w:pPr>
            <w:r>
              <w:t>3rd</w:t>
            </w:r>
            <w:r>
              <w:t xml:space="preserve"> year</w:t>
            </w:r>
          </w:p>
        </w:tc>
        <w:tc>
          <w:tcPr>
            <w:tcW w:w="1800" w:type="dxa"/>
            <w:noWrap/>
          </w:tcPr>
          <w:p w:rsidR="008919D8" w:rsidRPr="008919D8" w:rsidRDefault="008919D8" w:rsidP="008919D8">
            <w:pPr>
              <w:pStyle w:val="NoSpacing"/>
            </w:pPr>
            <w:r w:rsidRPr="008919D8">
              <w:t>0.12</w:t>
            </w:r>
          </w:p>
        </w:tc>
        <w:tc>
          <w:tcPr>
            <w:tcW w:w="1710" w:type="dxa"/>
            <w:noWrap/>
          </w:tcPr>
          <w:p w:rsidR="008919D8" w:rsidRPr="008919D8" w:rsidRDefault="008919D8" w:rsidP="008919D8">
            <w:pPr>
              <w:pStyle w:val="NoSpacing"/>
            </w:pPr>
            <w:r w:rsidRPr="008919D8">
              <w:t>0.03</w:t>
            </w:r>
          </w:p>
        </w:tc>
        <w:tc>
          <w:tcPr>
            <w:tcW w:w="1260" w:type="dxa"/>
            <w:noWrap/>
          </w:tcPr>
          <w:p w:rsidR="008919D8" w:rsidRPr="008919D8" w:rsidRDefault="008919D8" w:rsidP="008919D8">
            <w:pPr>
              <w:pStyle w:val="NoSpacing"/>
            </w:pPr>
            <w:r w:rsidRPr="008919D8">
              <w:t>30</w:t>
            </w:r>
          </w:p>
        </w:tc>
        <w:tc>
          <w:tcPr>
            <w:tcW w:w="2155" w:type="dxa"/>
            <w:noWrap/>
          </w:tcPr>
          <w:p w:rsidR="008919D8" w:rsidRPr="008919D8" w:rsidRDefault="008919D8" w:rsidP="008919D8">
            <w:pPr>
              <w:pStyle w:val="NoSpacing"/>
            </w:pPr>
            <w:r>
              <w:t>54</w:t>
            </w:r>
          </w:p>
        </w:tc>
      </w:tr>
      <w:tr w:rsidR="008919D8" w:rsidRPr="008919D8" w:rsidTr="008919D8">
        <w:trPr>
          <w:trHeight w:val="300"/>
        </w:trPr>
        <w:tc>
          <w:tcPr>
            <w:tcW w:w="2425" w:type="dxa"/>
            <w:noWrap/>
          </w:tcPr>
          <w:p w:rsidR="008919D8" w:rsidRDefault="008919D8" w:rsidP="008919D8">
            <w:pPr>
              <w:pStyle w:val="NoSpacing"/>
            </w:pPr>
          </w:p>
        </w:tc>
        <w:tc>
          <w:tcPr>
            <w:tcW w:w="1800" w:type="dxa"/>
            <w:noWrap/>
          </w:tcPr>
          <w:p w:rsidR="008919D8" w:rsidRPr="008919D8" w:rsidRDefault="008919D8" w:rsidP="008919D8">
            <w:pPr>
              <w:pStyle w:val="NoSpacing"/>
            </w:pPr>
          </w:p>
        </w:tc>
        <w:tc>
          <w:tcPr>
            <w:tcW w:w="1710" w:type="dxa"/>
            <w:noWrap/>
          </w:tcPr>
          <w:p w:rsidR="008919D8" w:rsidRPr="008919D8" w:rsidRDefault="008919D8" w:rsidP="008919D8">
            <w:pPr>
              <w:pStyle w:val="NoSpacing"/>
            </w:pPr>
          </w:p>
        </w:tc>
        <w:tc>
          <w:tcPr>
            <w:tcW w:w="1260" w:type="dxa"/>
            <w:noWrap/>
          </w:tcPr>
          <w:p w:rsidR="008919D8" w:rsidRPr="008919D8" w:rsidRDefault="008919D8" w:rsidP="008919D8">
            <w:pPr>
              <w:pStyle w:val="NoSpacing"/>
            </w:pPr>
          </w:p>
        </w:tc>
        <w:tc>
          <w:tcPr>
            <w:tcW w:w="2155" w:type="dxa"/>
            <w:noWrap/>
          </w:tcPr>
          <w:p w:rsidR="008919D8" w:rsidRPr="008919D8" w:rsidRDefault="008919D8" w:rsidP="008919D8">
            <w:pPr>
              <w:pStyle w:val="NoSpacing"/>
              <w:rPr>
                <w:b/>
              </w:rPr>
            </w:pPr>
            <w:r w:rsidRPr="008919D8">
              <w:rPr>
                <w:b/>
              </w:rPr>
              <w:t>162</w:t>
            </w:r>
          </w:p>
        </w:tc>
      </w:tr>
    </w:tbl>
    <w:p w:rsidR="008919D8" w:rsidRDefault="008919D8" w:rsidP="00A8390D">
      <w:pPr>
        <w:pStyle w:val="NoSpacing"/>
      </w:pPr>
    </w:p>
    <w:p w:rsidR="008919D8" w:rsidRDefault="008919D8" w:rsidP="00A8390D">
      <w:pPr>
        <w:pStyle w:val="NoSpacing"/>
      </w:pPr>
      <w:r>
        <w:t xml:space="preserve">EMR runs on top of an EC2 cluster, so the price is the underlying EC2+EMR cost. Each day we need a cluster to load the data into the database, and to standardize the data with spark. This cost estimates that we can use the smallest cluster offered for a single hour a day, which should be plenty. </w:t>
      </w:r>
    </w:p>
    <w:p w:rsidR="008919D8" w:rsidRDefault="008015F2" w:rsidP="00A8390D">
      <w:pPr>
        <w:pStyle w:val="NoSpacing"/>
      </w:pPr>
      <w:hyperlink r:id="rId6" w:history="1">
        <w:r w:rsidRPr="001628A1">
          <w:rPr>
            <w:rStyle w:val="Hyperlink"/>
          </w:rPr>
          <w:t>https://aws.amazon.com/emr/pricing/</w:t>
        </w:r>
      </w:hyperlink>
    </w:p>
    <w:p w:rsidR="008015F2" w:rsidRDefault="008015F2" w:rsidP="00A8390D">
      <w:pPr>
        <w:pStyle w:val="NoSpacing"/>
      </w:pPr>
    </w:p>
    <w:p w:rsidR="008919D8" w:rsidRDefault="008919D8" w:rsidP="00A8390D">
      <w:pPr>
        <w:pStyle w:val="NoSpacing"/>
        <w:rPr>
          <w:b/>
        </w:rPr>
      </w:pPr>
      <w:r>
        <w:rPr>
          <w:b/>
        </w:rPr>
        <w:t>Total AWS usage costs for 3 years: $162.06</w:t>
      </w:r>
    </w:p>
    <w:p w:rsidR="008919D8" w:rsidRDefault="008919D8">
      <w:r>
        <w:br w:type="page"/>
      </w:r>
    </w:p>
    <w:p w:rsidR="008919D8" w:rsidRDefault="008919D8" w:rsidP="00A8390D">
      <w:pPr>
        <w:pStyle w:val="NoSpacing"/>
        <w:rPr>
          <w:u w:val="single"/>
        </w:rPr>
      </w:pPr>
      <w:r>
        <w:rPr>
          <w:u w:val="single"/>
        </w:rPr>
        <w:lastRenderedPageBreak/>
        <w:t>OSU VMWare Hosting Pricing Estimates:</w:t>
      </w:r>
    </w:p>
    <w:p w:rsidR="004372F0" w:rsidRPr="008919D8" w:rsidRDefault="004372F0" w:rsidP="00A8390D">
      <w:pPr>
        <w:pStyle w:val="NoSpacing"/>
      </w:pPr>
    </w:p>
    <w:tbl>
      <w:tblPr>
        <w:tblStyle w:val="TableGrid"/>
        <w:tblW w:w="0" w:type="auto"/>
        <w:tblLook w:val="04A0" w:firstRow="1" w:lastRow="0" w:firstColumn="1" w:lastColumn="0" w:noHBand="0" w:noVBand="1"/>
      </w:tblPr>
      <w:tblGrid>
        <w:gridCol w:w="1520"/>
        <w:gridCol w:w="3061"/>
        <w:gridCol w:w="4769"/>
      </w:tblGrid>
      <w:tr w:rsidR="004372F0" w:rsidRPr="004372F0" w:rsidTr="004372F0">
        <w:trPr>
          <w:trHeight w:val="300"/>
        </w:trPr>
        <w:tc>
          <w:tcPr>
            <w:tcW w:w="1620" w:type="dxa"/>
            <w:noWrap/>
            <w:hideMark/>
          </w:tcPr>
          <w:p w:rsidR="004372F0" w:rsidRPr="004372F0" w:rsidRDefault="004372F0" w:rsidP="004372F0">
            <w:pPr>
              <w:pStyle w:val="NoSpacing"/>
              <w:rPr>
                <w:b/>
              </w:rPr>
            </w:pPr>
            <w:r w:rsidRPr="004372F0">
              <w:rPr>
                <w:b/>
              </w:rPr>
              <w:t>VMWare Host</w:t>
            </w:r>
          </w:p>
        </w:tc>
        <w:tc>
          <w:tcPr>
            <w:tcW w:w="3280" w:type="dxa"/>
            <w:noWrap/>
            <w:hideMark/>
          </w:tcPr>
          <w:p w:rsidR="004372F0" w:rsidRPr="004372F0" w:rsidRDefault="004372F0" w:rsidP="004372F0">
            <w:pPr>
              <w:pStyle w:val="NoSpacing"/>
            </w:pPr>
            <w:r w:rsidRPr="004372F0">
              <w:t>Storage Usage (per year)</w:t>
            </w:r>
          </w:p>
        </w:tc>
        <w:tc>
          <w:tcPr>
            <w:tcW w:w="5120" w:type="dxa"/>
            <w:noWrap/>
            <w:hideMark/>
          </w:tcPr>
          <w:p w:rsidR="004372F0" w:rsidRPr="004372F0" w:rsidRDefault="004372F0" w:rsidP="004372F0">
            <w:pPr>
              <w:pStyle w:val="NoSpacing"/>
            </w:pPr>
            <w:r w:rsidRPr="004372F0">
              <w:t>Total Cost ($/year)</w:t>
            </w:r>
          </w:p>
        </w:tc>
      </w:tr>
      <w:tr w:rsidR="004372F0" w:rsidRPr="004372F0" w:rsidTr="004372F0">
        <w:trPr>
          <w:trHeight w:val="300"/>
        </w:trPr>
        <w:tc>
          <w:tcPr>
            <w:tcW w:w="1620" w:type="dxa"/>
            <w:noWrap/>
            <w:hideMark/>
          </w:tcPr>
          <w:p w:rsidR="004372F0" w:rsidRPr="004372F0" w:rsidRDefault="004372F0" w:rsidP="004372F0">
            <w:pPr>
              <w:pStyle w:val="NoSpacing"/>
            </w:pPr>
            <w:r w:rsidRPr="004372F0">
              <w:t>1st year</w:t>
            </w:r>
          </w:p>
        </w:tc>
        <w:tc>
          <w:tcPr>
            <w:tcW w:w="3280" w:type="dxa"/>
            <w:noWrap/>
            <w:hideMark/>
          </w:tcPr>
          <w:p w:rsidR="004372F0" w:rsidRPr="004372F0" w:rsidRDefault="004372F0" w:rsidP="004372F0">
            <w:pPr>
              <w:pStyle w:val="NoSpacing"/>
            </w:pPr>
            <w:r w:rsidRPr="004372F0">
              <w:t>28.8</w:t>
            </w:r>
          </w:p>
        </w:tc>
        <w:tc>
          <w:tcPr>
            <w:tcW w:w="5120" w:type="dxa"/>
            <w:noWrap/>
            <w:hideMark/>
          </w:tcPr>
          <w:p w:rsidR="004372F0" w:rsidRPr="004372F0" w:rsidRDefault="004372F0" w:rsidP="004372F0">
            <w:pPr>
              <w:pStyle w:val="NoSpacing"/>
            </w:pPr>
            <w:r w:rsidRPr="004372F0">
              <w:t>60*12 = $720</w:t>
            </w:r>
          </w:p>
        </w:tc>
      </w:tr>
      <w:tr w:rsidR="004372F0" w:rsidRPr="004372F0" w:rsidTr="004372F0">
        <w:trPr>
          <w:trHeight w:val="300"/>
        </w:trPr>
        <w:tc>
          <w:tcPr>
            <w:tcW w:w="1620" w:type="dxa"/>
            <w:noWrap/>
            <w:hideMark/>
          </w:tcPr>
          <w:p w:rsidR="004372F0" w:rsidRPr="004372F0" w:rsidRDefault="004372F0" w:rsidP="004372F0">
            <w:pPr>
              <w:pStyle w:val="NoSpacing"/>
            </w:pPr>
            <w:r w:rsidRPr="004372F0">
              <w:t>2nd year</w:t>
            </w:r>
          </w:p>
        </w:tc>
        <w:tc>
          <w:tcPr>
            <w:tcW w:w="3280" w:type="dxa"/>
            <w:noWrap/>
            <w:hideMark/>
          </w:tcPr>
          <w:p w:rsidR="004372F0" w:rsidRPr="004372F0" w:rsidRDefault="004372F0" w:rsidP="004372F0">
            <w:pPr>
              <w:pStyle w:val="NoSpacing"/>
            </w:pPr>
            <w:r w:rsidRPr="004372F0">
              <w:t>28.8</w:t>
            </w:r>
          </w:p>
        </w:tc>
        <w:tc>
          <w:tcPr>
            <w:tcW w:w="5120" w:type="dxa"/>
            <w:noWrap/>
            <w:hideMark/>
          </w:tcPr>
          <w:p w:rsidR="004372F0" w:rsidRPr="004372F0" w:rsidRDefault="004372F0" w:rsidP="004372F0">
            <w:pPr>
              <w:pStyle w:val="NoSpacing"/>
            </w:pPr>
            <w:r w:rsidRPr="004372F0">
              <w:t>(60*4) + (90*8) = 240 + 720 = $960</w:t>
            </w:r>
          </w:p>
        </w:tc>
      </w:tr>
      <w:tr w:rsidR="004372F0" w:rsidRPr="004372F0" w:rsidTr="004372F0">
        <w:trPr>
          <w:trHeight w:val="300"/>
        </w:trPr>
        <w:tc>
          <w:tcPr>
            <w:tcW w:w="1620" w:type="dxa"/>
            <w:noWrap/>
            <w:hideMark/>
          </w:tcPr>
          <w:p w:rsidR="004372F0" w:rsidRPr="004372F0" w:rsidRDefault="004372F0" w:rsidP="004372F0">
            <w:pPr>
              <w:pStyle w:val="NoSpacing"/>
            </w:pPr>
            <w:r w:rsidRPr="004372F0">
              <w:t>3rd year</w:t>
            </w:r>
          </w:p>
        </w:tc>
        <w:tc>
          <w:tcPr>
            <w:tcW w:w="3280" w:type="dxa"/>
            <w:noWrap/>
            <w:hideMark/>
          </w:tcPr>
          <w:p w:rsidR="004372F0" w:rsidRPr="004372F0" w:rsidRDefault="004372F0" w:rsidP="004372F0">
            <w:pPr>
              <w:pStyle w:val="NoSpacing"/>
            </w:pPr>
            <w:r w:rsidRPr="004372F0">
              <w:t>28.8</w:t>
            </w:r>
          </w:p>
        </w:tc>
        <w:tc>
          <w:tcPr>
            <w:tcW w:w="5120" w:type="dxa"/>
            <w:noWrap/>
            <w:hideMark/>
          </w:tcPr>
          <w:p w:rsidR="004372F0" w:rsidRPr="004372F0" w:rsidRDefault="004372F0" w:rsidP="004372F0">
            <w:pPr>
              <w:pStyle w:val="NoSpacing"/>
            </w:pPr>
            <w:r w:rsidRPr="004372F0">
              <w:t>(90*9) + (125*3) = 810 + 375 = $1185</w:t>
            </w:r>
          </w:p>
        </w:tc>
      </w:tr>
      <w:tr w:rsidR="004372F0" w:rsidRPr="004372F0" w:rsidTr="004372F0">
        <w:trPr>
          <w:trHeight w:val="300"/>
        </w:trPr>
        <w:tc>
          <w:tcPr>
            <w:tcW w:w="1620" w:type="dxa"/>
            <w:noWrap/>
            <w:hideMark/>
          </w:tcPr>
          <w:p w:rsidR="004372F0" w:rsidRPr="004372F0" w:rsidRDefault="004372F0" w:rsidP="004372F0">
            <w:pPr>
              <w:pStyle w:val="NoSpacing"/>
            </w:pPr>
          </w:p>
        </w:tc>
        <w:tc>
          <w:tcPr>
            <w:tcW w:w="3280" w:type="dxa"/>
            <w:noWrap/>
            <w:hideMark/>
          </w:tcPr>
          <w:p w:rsidR="004372F0" w:rsidRPr="004372F0" w:rsidRDefault="004372F0" w:rsidP="004372F0">
            <w:pPr>
              <w:pStyle w:val="NoSpacing"/>
            </w:pPr>
          </w:p>
        </w:tc>
        <w:tc>
          <w:tcPr>
            <w:tcW w:w="5120" w:type="dxa"/>
            <w:noWrap/>
            <w:hideMark/>
          </w:tcPr>
          <w:p w:rsidR="004372F0" w:rsidRPr="004372F0" w:rsidRDefault="004372F0" w:rsidP="004372F0">
            <w:pPr>
              <w:pStyle w:val="NoSpacing"/>
              <w:rPr>
                <w:b/>
                <w:bCs/>
              </w:rPr>
            </w:pPr>
            <w:r w:rsidRPr="004372F0">
              <w:rPr>
                <w:b/>
                <w:bCs/>
              </w:rPr>
              <w:t>2865</w:t>
            </w:r>
          </w:p>
        </w:tc>
      </w:tr>
    </w:tbl>
    <w:p w:rsidR="008919D8" w:rsidRDefault="008919D8" w:rsidP="00A8390D">
      <w:pPr>
        <w:pStyle w:val="NoSpacing"/>
      </w:pPr>
    </w:p>
    <w:p w:rsidR="004372F0" w:rsidRDefault="004372F0" w:rsidP="00A8390D">
      <w:pPr>
        <w:pStyle w:val="NoSpacing"/>
      </w:pPr>
      <w:r>
        <w:t xml:space="preserve">This cost estimates that we start with the lowest level VM and move up as we pass the storage tiers that they allow. Since we get 2.4 </w:t>
      </w:r>
      <w:proofErr w:type="spellStart"/>
      <w:r>
        <w:t>gb</w:t>
      </w:r>
      <w:proofErr w:type="spellEnd"/>
      <w:r>
        <w:t xml:space="preserve">/month, </w:t>
      </w:r>
      <w:r w:rsidR="008015F2">
        <w:t>we reach 28.8gb/year. That means that we can stay within the first tier VM (up to 40gb) for the first year. We pass the 40gb limit in the second year, and pass the 80gb limit of the second tier in the third year.</w:t>
      </w:r>
      <w:bookmarkStart w:id="0" w:name="_GoBack"/>
      <w:bookmarkEnd w:id="0"/>
    </w:p>
    <w:p w:rsidR="008015F2" w:rsidRDefault="008015F2" w:rsidP="00A8390D">
      <w:pPr>
        <w:pStyle w:val="NoSpacing"/>
      </w:pPr>
      <w:hyperlink r:id="rId7" w:history="1">
        <w:r w:rsidRPr="001628A1">
          <w:rPr>
            <w:rStyle w:val="Hyperlink"/>
          </w:rPr>
          <w:t>http://is.oregonstate.edu/service/vmware-hosting</w:t>
        </w:r>
      </w:hyperlink>
    </w:p>
    <w:p w:rsidR="008015F2" w:rsidRDefault="008015F2" w:rsidP="00A8390D">
      <w:pPr>
        <w:pStyle w:val="NoSpacing"/>
      </w:pPr>
    </w:p>
    <w:p w:rsidR="008015F2" w:rsidRPr="008015F2" w:rsidRDefault="008015F2" w:rsidP="00A8390D">
      <w:pPr>
        <w:pStyle w:val="NoSpacing"/>
        <w:rPr>
          <w:b/>
        </w:rPr>
      </w:pPr>
      <w:r w:rsidRPr="008015F2">
        <w:rPr>
          <w:b/>
        </w:rPr>
        <w:t>Total VMWare host costs for 3 years: $2865</w:t>
      </w:r>
    </w:p>
    <w:sectPr w:rsidR="008015F2" w:rsidRPr="0080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0D"/>
    <w:rsid w:val="004372F0"/>
    <w:rsid w:val="00460F68"/>
    <w:rsid w:val="008015F2"/>
    <w:rsid w:val="00804ED3"/>
    <w:rsid w:val="00890191"/>
    <w:rsid w:val="008919D8"/>
    <w:rsid w:val="00A8390D"/>
    <w:rsid w:val="00E17690"/>
    <w:rsid w:val="00F9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CD9D"/>
  <w15:chartTrackingRefBased/>
  <w15:docId w15:val="{49584DA8-EF98-42A7-B678-BB5A5670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90D"/>
    <w:pPr>
      <w:spacing w:after="0" w:line="240" w:lineRule="auto"/>
    </w:pPr>
  </w:style>
  <w:style w:type="table" w:styleId="TableGrid">
    <w:name w:val="Table Grid"/>
    <w:basedOn w:val="TableNormal"/>
    <w:uiPriority w:val="39"/>
    <w:rsid w:val="00A83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5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314072">
      <w:bodyDiv w:val="1"/>
      <w:marLeft w:val="0"/>
      <w:marRight w:val="0"/>
      <w:marTop w:val="0"/>
      <w:marBottom w:val="0"/>
      <w:divBdr>
        <w:top w:val="none" w:sz="0" w:space="0" w:color="auto"/>
        <w:left w:val="none" w:sz="0" w:space="0" w:color="auto"/>
        <w:bottom w:val="none" w:sz="0" w:space="0" w:color="auto"/>
        <w:right w:val="none" w:sz="0" w:space="0" w:color="auto"/>
      </w:divBdr>
    </w:div>
    <w:div w:id="833379301">
      <w:bodyDiv w:val="1"/>
      <w:marLeft w:val="0"/>
      <w:marRight w:val="0"/>
      <w:marTop w:val="0"/>
      <w:marBottom w:val="0"/>
      <w:divBdr>
        <w:top w:val="none" w:sz="0" w:space="0" w:color="auto"/>
        <w:left w:val="none" w:sz="0" w:space="0" w:color="auto"/>
        <w:bottom w:val="none" w:sz="0" w:space="0" w:color="auto"/>
        <w:right w:val="none" w:sz="0" w:space="0" w:color="auto"/>
      </w:divBdr>
    </w:div>
    <w:div w:id="991637401">
      <w:bodyDiv w:val="1"/>
      <w:marLeft w:val="0"/>
      <w:marRight w:val="0"/>
      <w:marTop w:val="0"/>
      <w:marBottom w:val="0"/>
      <w:divBdr>
        <w:top w:val="none" w:sz="0" w:space="0" w:color="auto"/>
        <w:left w:val="none" w:sz="0" w:space="0" w:color="auto"/>
        <w:bottom w:val="none" w:sz="0" w:space="0" w:color="auto"/>
        <w:right w:val="none" w:sz="0" w:space="0" w:color="auto"/>
      </w:divBdr>
    </w:div>
    <w:div w:id="1391230912">
      <w:bodyDiv w:val="1"/>
      <w:marLeft w:val="0"/>
      <w:marRight w:val="0"/>
      <w:marTop w:val="0"/>
      <w:marBottom w:val="0"/>
      <w:divBdr>
        <w:top w:val="none" w:sz="0" w:space="0" w:color="auto"/>
        <w:left w:val="none" w:sz="0" w:space="0" w:color="auto"/>
        <w:bottom w:val="none" w:sz="0" w:space="0" w:color="auto"/>
        <w:right w:val="none" w:sz="0" w:space="0" w:color="auto"/>
      </w:divBdr>
    </w:div>
    <w:div w:id="1552884242">
      <w:bodyDiv w:val="1"/>
      <w:marLeft w:val="0"/>
      <w:marRight w:val="0"/>
      <w:marTop w:val="0"/>
      <w:marBottom w:val="0"/>
      <w:divBdr>
        <w:top w:val="none" w:sz="0" w:space="0" w:color="auto"/>
        <w:left w:val="none" w:sz="0" w:space="0" w:color="auto"/>
        <w:bottom w:val="none" w:sz="0" w:space="0" w:color="auto"/>
        <w:right w:val="none" w:sz="0" w:space="0" w:color="auto"/>
      </w:divBdr>
    </w:div>
    <w:div w:id="208001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s.oregonstate.edu/service/vmware-hos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emr/pricing/" TargetMode="External"/><Relationship Id="rId5" Type="http://schemas.openxmlformats.org/officeDocument/2006/relationships/hyperlink" Target="https://aws.amazon.com/s3/pricing/" TargetMode="External"/><Relationship Id="rId4" Type="http://schemas.openxmlformats.org/officeDocument/2006/relationships/hyperlink" Target="https://aws.amazon.com/dynamodb/pric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Isaac T</dc:creator>
  <cp:keywords/>
  <dc:description/>
  <cp:lastModifiedBy>Chan, Isaac T</cp:lastModifiedBy>
  <cp:revision>1</cp:revision>
  <dcterms:created xsi:type="dcterms:W3CDTF">2017-05-23T20:48:00Z</dcterms:created>
  <dcterms:modified xsi:type="dcterms:W3CDTF">2017-05-24T05:55:00Z</dcterms:modified>
</cp:coreProperties>
</file>