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</w:pPr>
      <w:r>
        <w:rPr>
          <w:rFonts w:ascii="Calibri" w:hAnsi="Calibri" w:eastAsia="Microsoft YaHei"/>
          <w:b/>
          <w:color w:val="2E74B5"/>
          <w:sz w:val="20"/>
        </w:rPr>
        <w:t>STRATEGY DOCTOR · TEAM DELIVERY GUIDE</w:t>
      </w:r>
    </w:p>
    <w:p>
      <w:pPr>
        <w:spacing w:before="0" w:after="100"/>
      </w:pPr>
      <w:r>
        <w:rPr>
          <w:rFonts w:ascii="Calibri" w:hAnsi="Calibri" w:eastAsia="Microsoft YaHei"/>
          <w:b/>
          <w:color w:val="0B2545"/>
          <w:sz w:val="48"/>
        </w:rPr>
        <w:t>团队协同分工与后续开发清单</w:t>
      </w:r>
    </w:p>
    <w:p>
      <w:pPr>
        <w:spacing w:before="0" w:after="280"/>
      </w:pPr>
      <w:r>
        <w:rPr>
          <w:rFonts w:ascii="Calibri" w:hAnsi="Calibri" w:eastAsia="Microsoft YaHei"/>
          <w:color w:val="5F6B76"/>
          <w:sz w:val="26"/>
        </w:rPr>
        <w:t>面向 RSI + Bollinger 均值回归第二策略及后续 Trading Infra 完善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2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9"/>
              </w:rPr>
              <w:t>项目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2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9"/>
              </w:rPr>
              <w:t>内容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适用分支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codex/complete-hackathon-submission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推荐团队规模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4 人（文末提供 3 人 / 5 人调整）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当前基线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五维离线 MVP、Bitget 公共数据增强、116 tests passed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协同目标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多人并行、不共享工作目录、不同时修改核心契约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文档日期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2026-06-13（Asia/Shanghai）</w:t>
            </w:r>
          </w:p>
        </w:tc>
      </w:tr>
    </w:tbl>
    <w:p>
      <w:pPr>
        <w:spacing w:before="0"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80" w:type="dxa"/>
      </w:tblPr>
      <w:tblGrid>
        <w:gridCol w:w="9360"/>
      </w:tblGrid>
      <w:tr>
        <w:tc>
          <w:tcPr>
            <w:tcW w:type="dxa" w:w="9360"/>
            <w:tcMar>
              <w:top w:w="150" w:type="dxa"/>
              <w:start w:w="180" w:type="dxa"/>
              <w:bottom w:w="150" w:type="dxa"/>
              <w:end w:w="180" w:type="dxa"/>
            </w:tcMar>
            <w:vAlign w:val="center"/>
            <w:shd w:fill="E8EEF5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0B2545"/>
                <w:sz w:val="22"/>
              </w:rPr>
              <w:t>核心结论：</w:t>
            </w:r>
            <w:r>
              <w:rPr>
                <w:rFonts w:ascii="Calibri" w:hAnsi="Calibri" w:eastAsia="Microsoft YaHei"/>
                <w:color w:val="000000"/>
                <w:sz w:val="22"/>
              </w:rPr>
              <w:t>先由 1 名接口负责人冻结 StrategyAdapter、策略联合类型和公共风险参数；随后算法、执行/处方、测试/材料在独立分支和独立 worktree 中并行。任何人都不应直接在同一个工作目录或共享核心文件上同时开发。</w:t>
            </w:r>
          </w:p>
        </w:tc>
      </w:tr>
    </w:tbl>
    <w:p>
      <w:pPr>
        <w:spacing w:after="40"/>
      </w:pPr>
    </w:p>
    <w:p>
      <w:pPr>
        <w:pStyle w:val="Heading1"/>
      </w:pPr>
      <w:r>
        <w:t>1. 当前状态与本阶段目标</w:t>
      </w:r>
    </w:p>
    <w:p>
      <w:pPr/>
      <w:r>
        <w:rPr>
          <w:rFonts w:ascii="Calibri" w:hAnsi="Calibri" w:eastAsia="Microsoft YaHei"/>
          <w:color w:val="000000"/>
          <w:sz w:val="22"/>
        </w:rPr>
        <w:t>当前黑客松提交版基础框架已完成，但它仍是“单策略、简化执行模型”的 MVP。五维场景、最坏候选搜索、评分、处方、held-out 验证、CLI、Bitget 公共 K 线和测试体系已经可用；真正未完成的是通用多策略边界、真实交易成本和更专业的组合/验证能力。</w:t>
      </w:r>
    </w:p>
    <w:p>
      <w:pPr/>
      <w:r>
        <w:rPr>
          <w:rFonts w:ascii="Calibri" w:hAnsi="Calibri" w:eastAsia="Microsoft YaHei"/>
          <w:b/>
          <w:color w:val="000000"/>
          <w:sz w:val="22"/>
        </w:rPr>
        <w:t>本阶段唯一核心目标：</w:t>
      </w:r>
      <w:r>
        <w:rPr>
          <w:rFonts w:ascii="Calibri" w:hAnsi="Calibri" w:eastAsia="Microsoft YaHei"/>
          <w:color w:val="000000"/>
          <w:sz w:val="22"/>
        </w:rPr>
      </w:r>
    </w:p>
    <w:p>
      <w:pPr>
        <w:pStyle w:val="TeamBullet"/>
        <w:numPr>
          <w:ilvl w:val="0"/>
          <w:numId w:val="91"/>
        </w:numPr>
        <w:spacing w:after="80" w:line="300" w:lineRule="auto"/>
        <w:ind w:left="540" w:hanging="271"/>
      </w:pPr>
      <w:r>
        <w:rPr>
          <w:rFonts w:ascii="Calibri" w:hAnsi="Calibri" w:eastAsia="Microsoft YaHei"/>
          <w:color w:val="000000"/>
          <w:sz w:val="22"/>
        </w:rPr>
        <w:t>在不破坏现有 ma-cross 结果的前提下，建立 StrategyAdapter 注册表，接入 RSI + Bollinger Bands 均值回归策略，并让两种策略都能完成五维红队、处方和 held-out 验证。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80" w:type="dxa"/>
      </w:tblPr>
      <w:tblGrid>
        <w:gridCol w:w="9360"/>
      </w:tblGrid>
      <w:tr>
        <w:tc>
          <w:tcPr>
            <w:tcW w:type="dxa" w:w="9360"/>
            <w:tcMar>
              <w:top w:w="150" w:type="dxa"/>
              <w:start w:w="180" w:type="dxa"/>
              <w:bottom w:w="150" w:type="dxa"/>
              <w:end w:w="180" w:type="dxa"/>
            </w:tcMar>
            <w:vAlign w:val="center"/>
            <w:shd w:fill="FFF8E8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7A5A00"/>
                <w:sz w:val="22"/>
              </w:rPr>
              <w:t>题目契合度：</w:t>
            </w:r>
            <w:r>
              <w:rPr>
                <w:rFonts w:ascii="Calibri" w:hAnsi="Calibri" w:eastAsia="Microsoft YaHei"/>
                <w:color w:val="000000"/>
                <w:sz w:val="22"/>
              </w:rPr>
              <w:t>项目参加 Trading Infra 赛道，重点应是“统一、可复现、可审计的策略诊断基础设施”。策略数量用于证明基础设施通用性，不应把项目变成单纯的 alpha 策略展示。</w:t>
            </w:r>
          </w:p>
        </w:tc>
      </w:tr>
    </w:tbl>
    <w:p>
      <w:pPr>
        <w:spacing w:after="40"/>
      </w:pPr>
    </w:p>
    <w:p>
      <w:pPr>
        <w:pStyle w:val="Heading1"/>
      </w:pPr>
      <w:r>
        <w:t>2. 不冲突协作的基本原则</w:t>
      </w:r>
    </w:p>
    <w:p>
      <w:pPr>
        <w:pStyle w:val="TeamBullet"/>
        <w:numPr>
          <w:ilvl w:val="0"/>
          <w:numId w:val="91"/>
        </w:numPr>
        <w:spacing w:after="80" w:line="300" w:lineRule="auto"/>
        <w:ind w:left="540" w:hanging="271"/>
      </w:pPr>
      <w:r>
        <w:rPr>
          <w:rFonts w:ascii="Calibri" w:hAnsi="Calibri" w:eastAsia="Microsoft YaHei"/>
          <w:color w:val="000000"/>
          <w:sz w:val="22"/>
        </w:rPr>
        <w:t>每位成员使用独立分支和独立 Git worktree/clone；禁止多人共享同一个本地工作目录。</w:t>
      </w:r>
    </w:p>
    <w:p>
      <w:pPr>
        <w:pStyle w:val="TeamBullet"/>
        <w:numPr>
          <w:ilvl w:val="0"/>
          <w:numId w:val="91"/>
        </w:numPr>
        <w:spacing w:after="80" w:line="300" w:lineRule="auto"/>
        <w:ind w:left="540" w:hanging="271"/>
      </w:pPr>
      <w:r>
        <w:rPr>
          <w:rFonts w:ascii="Calibri" w:hAnsi="Calibri" w:eastAsia="Microsoft YaHei"/>
          <w:color w:val="000000"/>
          <w:sz w:val="22"/>
        </w:rPr>
        <w:t>src/contracts.ts、src/strategy/parse.ts、src/cli.ts、package.json 由接口负责人独占修改。</w:t>
      </w:r>
    </w:p>
    <w:p>
      <w:pPr>
        <w:pStyle w:val="TeamBullet"/>
        <w:numPr>
          <w:ilvl w:val="0"/>
          <w:numId w:val="91"/>
        </w:numPr>
        <w:spacing w:after="80" w:line="300" w:lineRule="auto"/>
        <w:ind w:left="540" w:hanging="271"/>
      </w:pPr>
      <w:r>
        <w:rPr>
          <w:rFonts w:ascii="Calibri" w:hAnsi="Calibri" w:eastAsia="Microsoft YaHei"/>
          <w:color w:val="000000"/>
          <w:sz w:val="22"/>
        </w:rPr>
        <w:t>先合并契约与注册表，再并行写 adapter、风险执行、测试和文档；不要边写接口边让所有人追着改。</w:t>
      </w:r>
    </w:p>
    <w:p>
      <w:pPr>
        <w:pStyle w:val="TeamBullet"/>
        <w:numPr>
          <w:ilvl w:val="0"/>
          <w:numId w:val="91"/>
        </w:numPr>
        <w:spacing w:after="80" w:line="300" w:lineRule="auto"/>
        <w:ind w:left="540" w:hanging="271"/>
      </w:pPr>
      <w:r>
        <w:rPr>
          <w:rFonts w:ascii="Calibri" w:hAnsi="Calibri" w:eastAsia="Microsoft YaHei"/>
          <w:color w:val="000000"/>
          <w:sz w:val="22"/>
        </w:rPr>
        <w:t>一个文件只能有一个明确 owner。需要跨模块修改时，先在 PR/群聊中申请并说明原因。</w:t>
      </w:r>
    </w:p>
    <w:p>
      <w:pPr>
        <w:pStyle w:val="TeamBullet"/>
        <w:numPr>
          <w:ilvl w:val="0"/>
          <w:numId w:val="91"/>
        </w:numPr>
        <w:spacing w:after="80" w:line="300" w:lineRule="auto"/>
        <w:ind w:left="540" w:hanging="271"/>
      </w:pPr>
      <w:r>
        <w:rPr>
          <w:rFonts w:ascii="Calibri" w:hAnsi="Calibri" w:eastAsia="Microsoft YaHei"/>
          <w:color w:val="000000"/>
          <w:sz w:val="22"/>
        </w:rPr>
        <w:t>功能分支只提交本任务文件，不做顺手重构、全仓格式化或依赖升级。</w:t>
      </w:r>
    </w:p>
    <w:p>
      <w:pPr>
        <w:pStyle w:val="TeamBullet"/>
        <w:numPr>
          <w:ilvl w:val="0"/>
          <w:numId w:val="91"/>
        </w:numPr>
        <w:spacing w:after="80" w:line="300" w:lineRule="auto"/>
        <w:ind w:left="540" w:hanging="271"/>
      </w:pPr>
      <w:r>
        <w:rPr>
          <w:rFonts w:ascii="Calibri" w:hAnsi="Calibri" w:eastAsia="Microsoft YaHei"/>
          <w:color w:val="000000"/>
          <w:sz w:val="22"/>
        </w:rPr>
        <w:t>任何共享接口变化都必须有类型、示例 JSON、迁移说明和契约测试。</w:t>
      </w:r>
    </w:p>
    <w:p>
      <w:pPr>
        <w:pStyle w:val="TeamBullet"/>
        <w:numPr>
          <w:ilvl w:val="0"/>
          <w:numId w:val="91"/>
        </w:numPr>
        <w:spacing w:after="80" w:line="300" w:lineRule="auto"/>
        <w:ind w:left="540" w:hanging="271"/>
      </w:pPr>
      <w:r>
        <w:rPr>
          <w:rFonts w:ascii="Calibri" w:hAnsi="Calibri" w:eastAsia="Microsoft YaHei"/>
          <w:color w:val="000000"/>
          <w:sz w:val="22"/>
        </w:rPr>
        <w:t>合并由 1 名集成人统一执行；其他成员只提交 PR，不直接改集成分支。</w:t>
      </w:r>
    </w:p>
    <w:p>
      <w:pPr>
        <w:pStyle w:val="Heading1"/>
      </w:pPr>
      <w:r>
        <w:t>3. 推荐 4 人分工</w:t>
      </w:r>
    </w:p>
    <w:p>
      <w:pPr/>
      <w:r>
        <w:rPr>
          <w:rFonts w:ascii="Calibri" w:hAnsi="Calibri" w:eastAsia="Microsoft YaHei"/>
          <w:color w:val="000000"/>
          <w:sz w:val="22"/>
        </w:rPr>
        <w:t>以下分工按文件所有权划分，而不是按“前端/后端”等宽泛角色划分。这样能最大限度减少 merge conflict，并让每个 PR 都有独立验收条件。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250"/>
        <w:gridCol w:w="2350"/>
        <w:gridCol w:w="2050"/>
        <w:gridCol w:w="1800"/>
        <w:gridCol w:w="1910"/>
      </w:tblGrid>
      <w:tr>
        <w:trPr>
          <w:tblHeader w:val="true"/>
        </w:trP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2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5"/>
              </w:rPr>
              <w:t>角色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2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5"/>
              </w:rPr>
              <w:t>主要职责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2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5"/>
              </w:rPr>
              <w:t>独占文件/目录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2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5"/>
              </w:rPr>
              <w:t>明确不做</w:t>
            </w:r>
          </w:p>
        </w:tc>
        <w:tc>
          <w:tcPr>
            <w:tcW w:type="dxa" w:w="1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2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5"/>
              </w:rPr>
              <w:t>交付物</w:t>
            </w:r>
          </w:p>
        </w:tc>
      </w:tr>
      <w:t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A</w:t>
              <w:br/>
              <w:t>架构/集成负责人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冻结 Strategy 联合类型、StrategyAdapter、注册表；迁移 ma-cross；维护 parser/CLI；最终集成。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src/contracts.ts</w:t>
              <w:br/>
              <w:t>src/strategy/parse.ts</w:t>
              <w:br/>
              <w:t>src/strategy/registry.ts</w:t>
              <w:br/>
              <w:t>src/cli.ts</w:t>
              <w:br/>
              <w:t>package.json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不得同时实现 RSI 算法或大改处方搜索。</w:t>
            </w:r>
          </w:p>
        </w:tc>
        <w:tc>
          <w:tcPr>
            <w:tcW w:type="dxa" w:w="1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契约 PR、MA 迁移 PR、最终集成报告</w:t>
            </w:r>
          </w:p>
        </w:tc>
      </w:tr>
      <w:t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B</w:t>
              <w:br/>
              <w:t>策略算法负责人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实现 RSI、Bollinger Bands、均值回归信号和策略专属参数校验/测试。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src/strategy/indicators.ts</w:t>
              <w:br/>
              <w:t>src/strategy/adapters/rsi-bollinger.ts</w:t>
              <w:br/>
              <w:t>tests/strategy/*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不改 contracts、CLI、公共执行引擎和处方入口。</w:t>
            </w:r>
          </w:p>
        </w:tc>
        <w:tc>
          <w:tcPr>
            <w:tcW w:type="dxa" w:w="1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指标单测、adapter 单测、示例策略 JSON</w:t>
            </w:r>
          </w:p>
        </w:tc>
      </w:tr>
      <w:t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C</w:t>
              <w:br/>
              <w:t>执行/风险负责人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抽取公共持仓、止损、清算和 equity 计算；让处方 mutation 支持策略专属参数。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src/backtest/*</w:t>
              <w:br/>
              <w:t>src/prescribe/*</w:t>
              <w:br/>
              <w:t>tests/backtest/*</w:t>
              <w:br/>
              <w:t>tests/prescribe/*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不改策略 JSON 结构；需要字段时向 A 提接口请求。</w:t>
            </w:r>
          </w:p>
        </w:tc>
        <w:tc>
          <w:tcPr>
            <w:tcW w:type="dxa" w:w="1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通用执行引擎、风险回归测试、处方适配</w:t>
            </w:r>
          </w:p>
        </w:tc>
      </w:tr>
      <w:t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D</w:t>
              <w:br/>
              <w:t>QA/演示负责人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双策略集成测试、CLI 回归、报告字段、示例产物、文档与三分钟演示更新。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tests/integration/*</w:t>
              <w:br/>
              <w:t>tests/cli.test.ts</w:t>
              <w:br/>
              <w:t>examples/*</w:t>
              <w:br/>
              <w:t>docs/*</w:t>
              <w:br/>
              <w:t>README.md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不在测试中复制生产逻辑，不直接修核心实现。</w:t>
            </w:r>
          </w:p>
        </w:tc>
        <w:tc>
          <w:tcPr>
            <w:tcW w:type="dxa" w:w="1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5"/>
              </w:rPr>
              <w:t>验收矩阵、双策略 demo、更新后的提交材料</w:t>
            </w:r>
          </w:p>
        </w:tc>
      </w:tr>
    </w:tbl>
    <w:p>
      <w:pPr>
        <w:spacing w:before="0" w:after="40"/>
      </w:pPr>
    </w:p>
    <w:p>
      <w:pPr>
        <w:pStyle w:val="Heading1"/>
      </w:pPr>
      <w:r>
        <w:t>4. 必须先冻结的公共接口</w:t>
      </w:r>
    </w:p>
    <w:p>
      <w:pPr/>
      <w:r>
        <w:rPr>
          <w:rFonts w:ascii="Calibri" w:hAnsi="Calibri" w:eastAsia="Microsoft YaHei"/>
          <w:color w:val="000000"/>
          <w:sz w:val="22"/>
        </w:rPr>
        <w:t>A 负责人应先提交一个只定义边界、尽量不改变行为的契约 PR。该 PR 合并前，其他成员可以准备测试样例，但不要开始依赖未确定的字段。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900"/>
        <w:gridCol w:w="3900"/>
        <w:gridCol w:w="3560"/>
      </w:tblGrid>
      <w:tr>
        <w:trPr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2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接口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2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冻结内容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2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验收条件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Strategy 联合类型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ma-cross | rsi-bollinger-mean-reversion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两类参数可被 TypeScript 正确收窄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公共风险参数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leverage、stopLossPct、positionPct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两种策略共用同一风险执行规则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StrategyAdapter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validateParams、signal/decision、mutate、describe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核心流程不出现 archetype switch 散落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Adapter registry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按 archetype 注册和查找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未知 archetype 在回测前失败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Prescription changes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能表示不同策略参数的结构化改动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JSON/Markdown 都能输出原值与新值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Backward compatibility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原 trend-follower.json 输出保持稳定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既有 117 测试不回退</w:t>
            </w:r>
          </w:p>
        </w:tc>
      </w:tr>
    </w:tbl>
    <w:p>
      <w:pPr>
        <w:spacing w:before="0" w:after="40"/>
      </w:pPr>
    </w:p>
    <w:p>
      <w:pPr>
        <w:pStyle w:val="Heading1"/>
      </w:pPr>
      <w:r>
        <w:t>5. 开发阶段与合并顺序</w:t>
      </w:r>
    </w:p>
    <w:p>
      <w:pPr>
        <w:pStyle w:val="TeamNumber"/>
        <w:numPr>
          <w:ilvl w:val="0"/>
          <w:numId w:val="92"/>
        </w:numPr>
        <w:spacing w:after="80" w:line="300" w:lineRule="auto"/>
        <w:ind w:left="540" w:hanging="271"/>
      </w:pPr>
      <w:r>
        <w:rPr>
          <w:rFonts w:ascii="Calibri" w:hAnsi="Calibri" w:eastAsia="Microsoft YaHei"/>
          <w:color w:val="000000"/>
          <w:sz w:val="22"/>
        </w:rPr>
        <w:t>阶段 0 - 建立集成分支：从 codex/complete-hackathon-submission 创建 feat/multi-strategy-integration，只允许 A 合并。</w:t>
      </w:r>
    </w:p>
    <w:p>
      <w:pPr>
        <w:pStyle w:val="TeamNumber"/>
        <w:numPr>
          <w:ilvl w:val="0"/>
          <w:numId w:val="92"/>
        </w:numPr>
        <w:spacing w:after="80" w:line="300" w:lineRule="auto"/>
        <w:ind w:left="540" w:hanging="271"/>
      </w:pPr>
      <w:r>
        <w:rPr>
          <w:rFonts w:ascii="Calibri" w:hAnsi="Calibri" w:eastAsia="Microsoft YaHei"/>
          <w:color w:val="000000"/>
          <w:sz w:val="22"/>
        </w:rPr>
        <w:t>阶段 1 - 契约冻结：A 完成 StrategyAdapter、联合类型、公共参数和 registry 骨架；运行现有 verify，确保行为未变。</w:t>
      </w:r>
    </w:p>
    <w:p>
      <w:pPr>
        <w:pStyle w:val="TeamNumber"/>
        <w:numPr>
          <w:ilvl w:val="0"/>
          <w:numId w:val="92"/>
        </w:numPr>
        <w:spacing w:after="80" w:line="300" w:lineRule="auto"/>
        <w:ind w:left="540" w:hanging="271"/>
      </w:pPr>
      <w:r>
        <w:rPr>
          <w:rFonts w:ascii="Calibri" w:hAnsi="Calibri" w:eastAsia="Microsoft YaHei"/>
          <w:color w:val="000000"/>
          <w:sz w:val="22"/>
        </w:rPr>
        <w:t>阶段 2 - 并行开发：A 迁移 ma-cross；B 实现 RSI/Bollinger；C 抽取执行/风险/处方；D 准备契约测试、fixture 和验收矩阵。</w:t>
      </w:r>
    </w:p>
    <w:p>
      <w:pPr>
        <w:pStyle w:val="TeamNumber"/>
        <w:numPr>
          <w:ilvl w:val="0"/>
          <w:numId w:val="92"/>
        </w:numPr>
        <w:spacing w:after="80" w:line="300" w:lineRule="auto"/>
        <w:ind w:left="540" w:hanging="271"/>
      </w:pPr>
      <w:r>
        <w:rPr>
          <w:rFonts w:ascii="Calibri" w:hAnsi="Calibri" w:eastAsia="Microsoft YaHei"/>
          <w:color w:val="000000"/>
          <w:sz w:val="22"/>
        </w:rPr>
        <w:t>阶段 3 - 顺序集成：契约 → MA 迁移 → 公共执行/处方 → RSI adapter → 集成测试/文档。</w:t>
      </w:r>
    </w:p>
    <w:p>
      <w:pPr>
        <w:pStyle w:val="TeamNumber"/>
        <w:numPr>
          <w:ilvl w:val="0"/>
          <w:numId w:val="92"/>
        </w:numPr>
        <w:spacing w:after="80" w:line="300" w:lineRule="auto"/>
        <w:ind w:left="540" w:hanging="271"/>
      </w:pPr>
      <w:r>
        <w:rPr>
          <w:rFonts w:ascii="Calibri" w:hAnsi="Calibri" w:eastAsia="Microsoft YaHei"/>
          <w:color w:val="000000"/>
          <w:sz w:val="22"/>
        </w:rPr>
        <w:t>阶段 4 - 双策略验收：分别运行两份策略 JSON，检查五维 evaluations、处方和 held-out，并对比诊断差异。</w:t>
      </w:r>
    </w:p>
    <w:p>
      <w:pPr>
        <w:pStyle w:val="TeamNumber"/>
        <w:numPr>
          <w:ilvl w:val="0"/>
          <w:numId w:val="92"/>
        </w:numPr>
        <w:spacing w:after="80" w:line="300" w:lineRule="auto"/>
        <w:ind w:left="540" w:hanging="271"/>
      </w:pPr>
      <w:r>
        <w:rPr>
          <w:rFonts w:ascii="Calibri" w:hAnsi="Calibri" w:eastAsia="Microsoft YaHei"/>
          <w:color w:val="000000"/>
          <w:sz w:val="22"/>
        </w:rPr>
        <w:t>阶段 5 - 冻结发布：只修阻塞性问题；不再增加第三策略、Web UI 或真实交易功能。</w:t>
      </w:r>
    </w:p>
    <w:p>
      <w:pPr>
        <w:pStyle w:val="Heading1"/>
      </w:pPr>
      <w:r>
        <w:t>6. Git worktree 操作模板（Windows PowerShell）</w:t>
      </w:r>
    </w:p>
    <w:p>
      <w:pPr/>
      <w:r>
        <w:rPr>
          <w:rFonts w:ascii="Calibri" w:hAnsi="Calibri" w:eastAsia="Microsoft YaHei"/>
          <w:color w:val="000000"/>
          <w:sz w:val="22"/>
        </w:rPr>
        <w:t>每位成员应在不同目录工作。以下命令由各成员从自己的主仓库目录执行；分支名可按负责人调整。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before="0" w:after="20"/>
            </w:pPr>
            <w:r/>
            <w:r>
              <w:rPr>
                <w:rFonts w:ascii="Consolas" w:hAnsi="Consolas" w:eastAsia="Microsoft YaHei"/>
                <w:color w:val="0B2545"/>
                <w:sz w:val="17"/>
              </w:rPr>
              <w:t># A：集成/契约</w:t>
            </w:r>
          </w:p>
          <w:p>
            <w:pPr>
              <w:spacing w:before="0" w:after="20"/>
            </w:pPr>
            <w:r>
              <w:rPr>
                <w:rFonts w:ascii="Consolas" w:hAnsi="Consolas" w:eastAsia="Microsoft YaHei"/>
                <w:color w:val="0B2545"/>
                <w:sz w:val="17"/>
              </w:rPr>
              <w:t>git worktree add ..\strategy-doctor-integration -b feat/multi-strategy-integration codex/complete-hackathon-submission</w:t>
            </w:r>
          </w:p>
          <w:p>
            <w:pPr>
              <w:spacing w:before="0" w:after="20"/>
            </w:pPr>
            <w:r>
              <w:rPr>
                <w:rFonts w:ascii="Consolas" w:hAnsi="Consolas" w:eastAsia="Microsoft YaHei"/>
                <w:color w:val="0B2545"/>
                <w:sz w:val="17"/>
              </w:rPr>
              <w:t>git worktree add ..\strategy-doctor-contract -b feat/strategy-adapter-contract feat/multi-strategy-integration</w:t>
            </w:r>
          </w:p>
          <w:p>
            <w:pPr>
              <w:spacing w:before="0" w:after="20"/>
            </w:pPr>
            <w:r>
              <w:rPr>
                <w:rFonts w:ascii="Consolas" w:hAnsi="Consolas" w:eastAsia="Microsoft YaHei"/>
                <w:color w:val="0B2545"/>
                <w:sz w:val="17"/>
              </w:rPr>
              <w:t xml:space="preserve"> </w:t>
            </w:r>
          </w:p>
          <w:p>
            <w:pPr>
              <w:spacing w:before="0" w:after="20"/>
            </w:pPr>
            <w:r>
              <w:rPr>
                <w:rFonts w:ascii="Consolas" w:hAnsi="Consolas" w:eastAsia="Microsoft YaHei"/>
                <w:color w:val="0B2545"/>
                <w:sz w:val="17"/>
              </w:rPr>
              <w:t># B：RSI + Bollinger</w:t>
            </w:r>
          </w:p>
          <w:p>
            <w:pPr>
              <w:spacing w:before="0" w:after="20"/>
            </w:pPr>
            <w:r>
              <w:rPr>
                <w:rFonts w:ascii="Consolas" w:hAnsi="Consolas" w:eastAsia="Microsoft YaHei"/>
                <w:color w:val="0B2545"/>
                <w:sz w:val="17"/>
              </w:rPr>
              <w:t>git worktree add ..\strategy-doctor-rsi -b feat/rsi-bollinger-adapter feat/multi-strategy-integration</w:t>
            </w:r>
          </w:p>
          <w:p>
            <w:pPr>
              <w:spacing w:before="0" w:after="20"/>
            </w:pPr>
            <w:r>
              <w:rPr>
                <w:rFonts w:ascii="Consolas" w:hAnsi="Consolas" w:eastAsia="Microsoft YaHei"/>
                <w:color w:val="0B2545"/>
                <w:sz w:val="17"/>
              </w:rPr>
              <w:t xml:space="preserve"> </w:t>
            </w:r>
          </w:p>
          <w:p>
            <w:pPr>
              <w:spacing w:before="0" w:after="20"/>
            </w:pPr>
            <w:r>
              <w:rPr>
                <w:rFonts w:ascii="Consolas" w:hAnsi="Consolas" w:eastAsia="Microsoft YaHei"/>
                <w:color w:val="0B2545"/>
                <w:sz w:val="17"/>
              </w:rPr>
              <w:t># C：执行与处方</w:t>
            </w:r>
          </w:p>
          <w:p>
            <w:pPr>
              <w:spacing w:before="0" w:after="20"/>
            </w:pPr>
            <w:r>
              <w:rPr>
                <w:rFonts w:ascii="Consolas" w:hAnsi="Consolas" w:eastAsia="Microsoft YaHei"/>
                <w:color w:val="0B2545"/>
                <w:sz w:val="17"/>
              </w:rPr>
              <w:t>git worktree add ..\strategy-doctor-risk -b feat/generic-risk-engine feat/multi-strategy-integration</w:t>
            </w:r>
          </w:p>
          <w:p>
            <w:pPr>
              <w:spacing w:before="0" w:after="20"/>
            </w:pPr>
            <w:r>
              <w:rPr>
                <w:rFonts w:ascii="Consolas" w:hAnsi="Consolas" w:eastAsia="Microsoft YaHei"/>
                <w:color w:val="0B2545"/>
                <w:sz w:val="17"/>
              </w:rPr>
              <w:t xml:space="preserve"> </w:t>
            </w:r>
          </w:p>
          <w:p>
            <w:pPr>
              <w:spacing w:before="0" w:after="20"/>
            </w:pPr>
            <w:r>
              <w:rPr>
                <w:rFonts w:ascii="Consolas" w:hAnsi="Consolas" w:eastAsia="Microsoft YaHei"/>
                <w:color w:val="0B2545"/>
                <w:sz w:val="17"/>
              </w:rPr>
              <w:t># D：QA 与演示</w:t>
            </w:r>
          </w:p>
          <w:p>
            <w:pPr>
              <w:spacing w:before="0" w:after="20"/>
            </w:pPr>
            <w:r>
              <w:rPr>
                <w:rFonts w:ascii="Consolas" w:hAnsi="Consolas" w:eastAsia="Microsoft YaHei"/>
                <w:color w:val="0B2545"/>
                <w:sz w:val="17"/>
              </w:rPr>
              <w:t>git worktree add ..\strategy-doctor-qa -b test/multi-strategy-acceptance feat/multi-strategy-integration</w:t>
            </w:r>
          </w:p>
          <w:p>
            <w:pPr>
              <w:spacing w:before="0" w:after="20"/>
            </w:pPr>
            <w:r>
              <w:rPr>
                <w:rFonts w:ascii="Consolas" w:hAnsi="Consolas" w:eastAsia="Microsoft YaHei"/>
                <w:color w:val="0B2545"/>
                <w:sz w:val="17"/>
              </w:rPr>
              <w:t xml:space="preserve"> </w:t>
            </w:r>
          </w:p>
          <w:p>
            <w:pPr>
              <w:spacing w:before="0" w:after="20"/>
            </w:pPr>
            <w:r>
              <w:rPr>
                <w:rFonts w:ascii="Consolas" w:hAnsi="Consolas" w:eastAsia="Microsoft YaHei"/>
                <w:color w:val="0B2545"/>
                <w:sz w:val="17"/>
              </w:rPr>
              <w:t># 进入各自目录后</w:t>
            </w:r>
          </w:p>
          <w:p>
            <w:pPr>
              <w:spacing w:before="0" w:after="20"/>
            </w:pPr>
            <w:r>
              <w:rPr>
                <w:rFonts w:ascii="Consolas" w:hAnsi="Consolas" w:eastAsia="Microsoft YaHei"/>
                <w:color w:val="0B2545"/>
                <w:sz w:val="17"/>
              </w:rPr>
              <w:t>npm.cmd ci</w:t>
            </w:r>
          </w:p>
          <w:p>
            <w:pPr>
              <w:spacing w:before="0" w:after="20"/>
            </w:pPr>
            <w:r>
              <w:rPr>
                <w:rFonts w:ascii="Consolas" w:hAnsi="Consolas" w:eastAsia="Microsoft YaHei"/>
                <w:color w:val="0B2545"/>
                <w:sz w:val="17"/>
              </w:rPr>
              <w:t>npm.cmd test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80" w:type="dxa"/>
      </w:tblPr>
      <w:tblGrid>
        <w:gridCol w:w="9360"/>
      </w:tblGrid>
      <w:tr>
        <w:tc>
          <w:tcPr>
            <w:tcW w:type="dxa" w:w="9360"/>
            <w:tcMar>
              <w:top w:w="150" w:type="dxa"/>
              <w:start w:w="180" w:type="dxa"/>
              <w:bottom w:w="150" w:type="dxa"/>
              <w:end w:w="180" w:type="dxa"/>
            </w:tcMar>
            <w:vAlign w:val="center"/>
            <w:shd w:fill="FDECEC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9B1C1C"/>
                <w:sz w:val="22"/>
              </w:rPr>
              <w:t>禁止事项：</w:t>
            </w:r>
            <w:r>
              <w:rPr>
                <w:rFonts w:ascii="Calibri" w:hAnsi="Calibri" w:eastAsia="Microsoft YaHei"/>
                <w:color w:val="000000"/>
                <w:sz w:val="22"/>
              </w:rPr>
              <w:t>不要把同一个分支同时 checkout 到多个目录；不要在共享集成分支上 force-push；不要用 git reset --hard 或 checkout -- 清除他人改动；不要把 node_modules 提交进仓库。</w:t>
            </w:r>
          </w:p>
        </w:tc>
      </w:tr>
    </w:tbl>
    <w:p>
      <w:pPr>
        <w:spacing w:after="40"/>
      </w:pPr>
    </w:p>
    <w:p>
      <w:pPr>
        <w:pStyle w:val="Heading1"/>
      </w:pPr>
      <w:r>
        <w:t>7. 每个 PR 的协作规则</w:t>
      </w:r>
    </w:p>
    <w:p>
      <w:pPr>
        <w:pStyle w:val="TeamBullet"/>
        <w:numPr>
          <w:ilvl w:val="0"/>
          <w:numId w:val="91"/>
        </w:numPr>
        <w:spacing w:after="80" w:line="300" w:lineRule="auto"/>
        <w:ind w:left="540" w:hanging="271"/>
      </w:pPr>
      <w:r>
        <w:rPr>
          <w:rFonts w:ascii="Calibri" w:hAnsi="Calibri" w:eastAsia="Microsoft YaHei"/>
          <w:color w:val="000000"/>
          <w:sz w:val="22"/>
        </w:rPr>
        <w:t>PR 标题使用 feat:/test:/docs:/refactor: 前缀，并只描述一个模块目标。</w:t>
      </w:r>
    </w:p>
    <w:p>
      <w:pPr>
        <w:pStyle w:val="TeamBullet"/>
        <w:numPr>
          <w:ilvl w:val="0"/>
          <w:numId w:val="91"/>
        </w:numPr>
        <w:spacing w:after="80" w:line="300" w:lineRule="auto"/>
        <w:ind w:left="540" w:hanging="271"/>
      </w:pPr>
      <w:r>
        <w:rPr>
          <w:rFonts w:ascii="Calibri" w:hAnsi="Calibri" w:eastAsia="Microsoft YaHei"/>
          <w:color w:val="000000"/>
          <w:sz w:val="22"/>
        </w:rPr>
        <w:t>说明 changed files、接口变化、运行命令、测试数量和已知限制。</w:t>
      </w:r>
    </w:p>
    <w:p>
      <w:pPr>
        <w:pStyle w:val="TeamBullet"/>
        <w:numPr>
          <w:ilvl w:val="0"/>
          <w:numId w:val="91"/>
        </w:numPr>
        <w:spacing w:after="80" w:line="300" w:lineRule="auto"/>
        <w:ind w:left="540" w:hanging="271"/>
      </w:pPr>
      <w:r>
        <w:rPr>
          <w:rFonts w:ascii="Calibri" w:hAnsi="Calibri" w:eastAsia="Microsoft YaHei"/>
          <w:color w:val="000000"/>
          <w:sz w:val="22"/>
        </w:rPr>
        <w:t>如果修改共享契约，必须 @ 所有模块 owner；普通模块 PR 至少由 A 和相邻模块 owner 审查。</w:t>
      </w:r>
    </w:p>
    <w:p>
      <w:pPr>
        <w:pStyle w:val="TeamBullet"/>
        <w:numPr>
          <w:ilvl w:val="0"/>
          <w:numId w:val="91"/>
        </w:numPr>
        <w:spacing w:after="80" w:line="300" w:lineRule="auto"/>
        <w:ind w:left="540" w:hanging="271"/>
      </w:pPr>
      <w:r>
        <w:rPr>
          <w:rFonts w:ascii="Calibri" w:hAnsi="Calibri" w:eastAsia="Microsoft YaHei"/>
          <w:color w:val="000000"/>
          <w:sz w:val="22"/>
        </w:rPr>
        <w:t>PR 合并前先同步集成分支；只允许在自己的个人分支上 rebase，禁止重写共享分支历史。</w:t>
      </w:r>
    </w:p>
    <w:p>
      <w:pPr>
        <w:pStyle w:val="TeamBullet"/>
        <w:numPr>
          <w:ilvl w:val="0"/>
          <w:numId w:val="91"/>
        </w:numPr>
        <w:spacing w:after="80" w:line="300" w:lineRule="auto"/>
        <w:ind w:left="540" w:hanging="271"/>
      </w:pPr>
      <w:r>
        <w:rPr>
          <w:rFonts w:ascii="Calibri" w:hAnsi="Calibri" w:eastAsia="Microsoft YaHei"/>
          <w:color w:val="000000"/>
          <w:sz w:val="22"/>
        </w:rPr>
        <w:t>合并策略优先 squash 或小型完整 commits；不要把调试日志、临时 fixture 或生成缓存带入。</w:t>
      </w:r>
    </w:p>
    <w:p>
      <w:pPr>
        <w:pStyle w:val="TeamBullet"/>
        <w:numPr>
          <w:ilvl w:val="0"/>
          <w:numId w:val="91"/>
        </w:numPr>
        <w:spacing w:after="80" w:line="300" w:lineRule="auto"/>
        <w:ind w:left="540" w:hanging="271"/>
      </w:pPr>
      <w:r>
        <w:rPr>
          <w:rFonts w:ascii="Calibri" w:hAnsi="Calibri" w:eastAsia="Microsoft YaHei"/>
          <w:color w:val="000000"/>
          <w:sz w:val="22"/>
        </w:rPr>
        <w:t>冲突由“文件 owner + 集成人”共同解决，不能由不熟悉模块的人直接选择 ours/theirs。</w:t>
      </w:r>
    </w:p>
    <w:p>
      <w:pPr>
        <w:pStyle w:val="Heading1"/>
      </w:pPr>
      <w:r>
        <w:t>8. 模块级 Definition of Done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2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模块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2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完成标准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契约/注册表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旧策略解析不变；未知 archetype 明确报错；类型检查通过；无散落 switch。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MA adapter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seed 42 基线结果保持一致；原有 MA 测试全部通过。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RSI/Bollinger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指标有边界测试；做多/做空/平仓信号可复现；非法参数被拒绝。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执行/风险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两种策略共用仓位、止损、清算、equity；价格异常仍被拒绝。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处方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死亡原因只修改相关参数；策略专属参数 mutation 不越界；零死亡零改动。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集成/CLI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同一 CLI 可运行两份 JSON；五维 evaluation 完整；Markdown/JSON 都正确。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文档/演示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README 命令与实际一致；明确支持范围；双策略 3 分钟脚本可执行。</w:t>
            </w:r>
          </w:p>
        </w:tc>
      </w:tr>
    </w:tbl>
    <w:p>
      <w:pPr>
        <w:spacing w:before="0" w:after="40"/>
      </w:pPr>
    </w:p>
    <w:p>
      <w:pPr>
        <w:pStyle w:val="Heading1"/>
      </w:pPr>
      <w:r>
        <w:t>9. 后续功能完整度总清单</w:t>
      </w:r>
    </w:p>
    <w:p>
      <w:pPr/>
      <w:r>
        <w:rPr>
          <w:rFonts w:ascii="Calibri" w:hAnsi="Calibri" w:eastAsia="Microsoft YaHei"/>
          <w:color w:val="000000"/>
          <w:sz w:val="22"/>
        </w:rPr>
        <w:t>下面将工作分为 P0-P4。P0 是本轮必须完成；P1 是现有 MVP 的真实性补强；P2 是更先进的策略与验证；P3 是 Trading Infra 产品化；P4 当前明确不做。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620"/>
        <w:gridCol w:w="1700"/>
        <w:gridCol w:w="900"/>
        <w:gridCol w:w="3330"/>
        <w:gridCol w:w="1100"/>
        <w:gridCol w:w="1710"/>
      </w:tblGrid>
      <w:tr>
        <w:trPr>
          <w:tblHeader w:val="true"/>
        </w:trPr>
        <w:tc>
          <w:tcPr>
            <w:tcW w:type="dxa" w:w="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2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4"/>
              </w:rPr>
              <w:t>级别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2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4"/>
              </w:rPr>
              <w:t>功能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2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4"/>
              </w:rPr>
              <w:t>状态</w:t>
            </w:r>
          </w:p>
        </w:tc>
        <w:tc>
          <w:tcPr>
            <w:tcW w:type="dxa" w:w="33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2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4"/>
              </w:rPr>
              <w:t>当前缺口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2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4"/>
              </w:rPr>
              <w:t>建议 owner</w:t>
            </w:r>
          </w:p>
        </w:tc>
        <w:tc>
          <w:tcPr>
            <w:tcW w:type="dxa" w:w="1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2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4"/>
              </w:rPr>
              <w:t>时机</w:t>
            </w:r>
          </w:p>
        </w:tc>
      </w:tr>
      <w:tr>
        <w:tc>
          <w:tcPr>
            <w:tcW w:type="dxa" w:w="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P0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多策略契约/registry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未实现</w:t>
            </w:r>
          </w:p>
        </w:tc>
        <w:tc>
          <w:tcPr>
            <w:tcW w:type="dxa" w:w="33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只能运行 ma-cross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A</w:t>
            </w:r>
          </w:p>
        </w:tc>
        <w:tc>
          <w:tcPr>
            <w:tcW w:type="dxa" w:w="1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本轮</w:t>
            </w:r>
          </w:p>
        </w:tc>
      </w:tr>
      <w:tr>
        <w:tc>
          <w:tcPr>
            <w:tcW w:type="dxa" w:w="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P0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MA Cross adapter 迁移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未实现</w:t>
            </w:r>
          </w:p>
        </w:tc>
        <w:tc>
          <w:tcPr>
            <w:tcW w:type="dxa" w:w="33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逻辑直接写在 mock backtester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A</w:t>
            </w:r>
          </w:p>
        </w:tc>
        <w:tc>
          <w:tcPr>
            <w:tcW w:type="dxa" w:w="1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本轮</w:t>
            </w:r>
          </w:p>
        </w:tc>
      </w:tr>
      <w:tr>
        <w:tc>
          <w:tcPr>
            <w:tcW w:type="dxa" w:w="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P0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RSI + Bollinger 策略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未实现</w:t>
            </w:r>
          </w:p>
        </w:tc>
        <w:tc>
          <w:tcPr>
            <w:tcW w:type="dxa" w:w="33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缺指标、信号、参数和测试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B</w:t>
            </w:r>
          </w:p>
        </w:tc>
        <w:tc>
          <w:tcPr>
            <w:tcW w:type="dxa" w:w="1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本轮</w:t>
            </w:r>
          </w:p>
        </w:tc>
      </w:tr>
      <w:tr>
        <w:tc>
          <w:tcPr>
            <w:tcW w:type="dxa" w:w="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P0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通用风险执行引擎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部分实现</w:t>
            </w:r>
          </w:p>
        </w:tc>
        <w:tc>
          <w:tcPr>
            <w:tcW w:type="dxa" w:w="33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持仓/止损/清算与 MA 信号耦合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C</w:t>
            </w:r>
          </w:p>
        </w:tc>
        <w:tc>
          <w:tcPr>
            <w:tcW w:type="dxa" w:w="1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本轮</w:t>
            </w:r>
          </w:p>
        </w:tc>
      </w:tr>
      <w:tr>
        <w:tc>
          <w:tcPr>
            <w:tcW w:type="dxa" w:w="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P0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策略专属处方 mutation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部分实现</w:t>
            </w:r>
          </w:p>
        </w:tc>
        <w:tc>
          <w:tcPr>
            <w:tcW w:type="dxa" w:w="33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只认识 fastMA/slowMA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C</w:t>
            </w:r>
          </w:p>
        </w:tc>
        <w:tc>
          <w:tcPr>
            <w:tcW w:type="dxa" w:w="1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本轮</w:t>
            </w:r>
          </w:p>
        </w:tc>
      </w:tr>
      <w:tr>
        <w:tc>
          <w:tcPr>
            <w:tcW w:type="dxa" w:w="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P0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双策略 CLI 与集成验收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未实现</w:t>
            </w:r>
          </w:p>
        </w:tc>
        <w:tc>
          <w:tcPr>
            <w:tcW w:type="dxa" w:w="33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只有一份策略样例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D</w:t>
            </w:r>
          </w:p>
        </w:tc>
        <w:tc>
          <w:tcPr>
            <w:tcW w:type="dxa" w:w="1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本轮</w:t>
            </w:r>
          </w:p>
        </w:tc>
      </w:tr>
      <w:tr>
        <w:tc>
          <w:tcPr>
            <w:tcW w:type="dxa" w:w="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P1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手续费/滑点/funding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未实现</w:t>
            </w:r>
          </w:p>
        </w:tc>
        <w:tc>
          <w:tcPr>
            <w:tcW w:type="dxa" w:w="33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收益结果偏理想化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C</w:t>
            </w:r>
          </w:p>
        </w:tc>
        <w:tc>
          <w:tcPr>
            <w:tcW w:type="dxa" w:w="1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下一里程碑</w:t>
            </w:r>
          </w:p>
        </w:tc>
      </w:tr>
      <w:tr>
        <w:tc>
          <w:tcPr>
            <w:tcW w:type="dxa" w:w="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P1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订单与成交模型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最简版</w:t>
            </w:r>
          </w:p>
        </w:tc>
        <w:tc>
          <w:tcPr>
            <w:tcW w:type="dxa" w:w="33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只有 close price、无 bid/ask/延迟/部分成交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C</w:t>
            </w:r>
          </w:p>
        </w:tc>
        <w:tc>
          <w:tcPr>
            <w:tcW w:type="dxa" w:w="1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下一里程碑</w:t>
            </w:r>
          </w:p>
        </w:tc>
      </w:tr>
      <w:tr>
        <w:tc>
          <w:tcPr>
            <w:tcW w:type="dxa" w:w="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P1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Bitget 清算规则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最简版</w:t>
            </w:r>
          </w:p>
        </w:tc>
        <w:tc>
          <w:tcPr>
            <w:tcW w:type="dxa" w:w="33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使用简化清算线，无维持保证金阶梯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C</w:t>
            </w:r>
          </w:p>
        </w:tc>
        <w:tc>
          <w:tcPr>
            <w:tcW w:type="dxa" w:w="1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下一里程碑</w:t>
            </w:r>
          </w:p>
        </w:tc>
      </w:tr>
      <w:tr>
        <w:tc>
          <w:tcPr>
            <w:tcW w:type="dxa" w:w="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P1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真实 OHLC shock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最简版</w:t>
            </w:r>
          </w:p>
        </w:tc>
        <w:tc>
          <w:tcPr>
            <w:tcW w:type="dxa" w:w="33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确定性比例叠加，不含微观结构冲击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C/D</w:t>
            </w:r>
          </w:p>
        </w:tc>
        <w:tc>
          <w:tcPr>
            <w:tcW w:type="dxa" w:w="1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下一里程碑</w:t>
            </w:r>
          </w:p>
        </w:tc>
      </w:tr>
      <w:tr>
        <w:tc>
          <w:tcPr>
            <w:tcW w:type="dxa" w:w="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P1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评分指标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最简版</w:t>
            </w:r>
          </w:p>
        </w:tc>
        <w:tc>
          <w:tcPr>
            <w:tcW w:type="dxa" w:w="33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缺 Sharpe、Sortino、Calmar、turnover、tail loss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D</w:t>
            </w:r>
          </w:p>
        </w:tc>
        <w:tc>
          <w:tcPr>
            <w:tcW w:type="dxa" w:w="1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下一里程碑</w:t>
            </w:r>
          </w:p>
        </w:tc>
      </w:tr>
      <w:tr>
        <w:tc>
          <w:tcPr>
            <w:tcW w:type="dxa" w:w="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P1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候选搜索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最简版</w:t>
            </w:r>
          </w:p>
        </w:tc>
        <w:tc>
          <w:tcPr>
            <w:tcW w:type="dxa" w:w="33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固定范围随机扰动，非 Bayesian/进化优化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A/C</w:t>
            </w:r>
          </w:p>
        </w:tc>
        <w:tc>
          <w:tcPr>
            <w:tcW w:type="dxa" w:w="1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下一里程碑</w:t>
            </w:r>
          </w:p>
        </w:tc>
      </w:tr>
      <w:tr>
        <w:tc>
          <w:tcPr>
            <w:tcW w:type="dxa" w:w="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P1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快照刷新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部分实现</w:t>
            </w:r>
          </w:p>
        </w:tc>
        <w:tc>
          <w:tcPr>
            <w:tcW w:type="dxa" w:w="33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需手动执行，无 freshness policy/缓存版本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D</w:t>
            </w:r>
          </w:p>
        </w:tc>
        <w:tc>
          <w:tcPr>
            <w:tcW w:type="dxa" w:w="1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下一里程碑</w:t>
            </w:r>
          </w:p>
        </w:tc>
      </w:tr>
      <w:tr>
        <w:tc>
          <w:tcPr>
            <w:tcW w:type="dxa" w:w="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P1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LLM 能力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最简版</w:t>
            </w:r>
          </w:p>
        </w:tc>
        <w:tc>
          <w:tcPr>
            <w:tcW w:type="dxa" w:w="33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仅叙事，不参与风险判定；这是刻意安全边界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A/D</w:t>
            </w:r>
          </w:p>
        </w:tc>
        <w:tc>
          <w:tcPr>
            <w:tcW w:type="dxa" w:w="1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保持可选</w:t>
            </w:r>
          </w:p>
        </w:tc>
      </w:tr>
      <w:tr>
        <w:tc>
          <w:tcPr>
            <w:tcW w:type="dxa" w:w="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P2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ATR 动态仓位/止损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未实现</w:t>
            </w:r>
          </w:p>
        </w:tc>
        <w:tc>
          <w:tcPr>
            <w:tcW w:type="dxa" w:w="33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缺波动率自适应风险控制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B/C</w:t>
            </w:r>
          </w:p>
        </w:tc>
        <w:tc>
          <w:tcPr>
            <w:tcW w:type="dxa" w:w="1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后续</w:t>
            </w:r>
          </w:p>
        </w:tc>
      </w:tr>
      <w:tr>
        <w:tc>
          <w:tcPr>
            <w:tcW w:type="dxa" w:w="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P2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Regime filter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未实现</w:t>
            </w:r>
          </w:p>
        </w:tc>
        <w:tc>
          <w:tcPr>
            <w:tcW w:type="dxa" w:w="33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策略不识别趋势/震荡/高波动状态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B</w:t>
            </w:r>
          </w:p>
        </w:tc>
        <w:tc>
          <w:tcPr>
            <w:tcW w:type="dxa" w:w="1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后续</w:t>
            </w:r>
          </w:p>
        </w:tc>
      </w:tr>
      <w:tr>
        <w:tc>
          <w:tcPr>
            <w:tcW w:type="dxa" w:w="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P2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Breakout + volatility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未实现</w:t>
            </w:r>
          </w:p>
        </w:tc>
        <w:tc>
          <w:tcPr>
            <w:tcW w:type="dxa" w:w="33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缺第二种趋势策略对照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B</w:t>
            </w:r>
          </w:p>
        </w:tc>
        <w:tc>
          <w:tcPr>
            <w:tcW w:type="dxa" w:w="1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后续</w:t>
            </w:r>
          </w:p>
        </w:tc>
      </w:tr>
      <w:tr>
        <w:tc>
          <w:tcPr>
            <w:tcW w:type="dxa" w:w="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P2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Funding-rate carry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未实现</w:t>
            </w:r>
          </w:p>
        </w:tc>
        <w:tc>
          <w:tcPr>
            <w:tcW w:type="dxa" w:w="33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需 funding、现货/永续和组合回测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B/C</w:t>
            </w:r>
          </w:p>
        </w:tc>
        <w:tc>
          <w:tcPr>
            <w:tcW w:type="dxa" w:w="1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后续重点</w:t>
            </w:r>
          </w:p>
        </w:tc>
      </w:tr>
      <w:tr>
        <w:tc>
          <w:tcPr>
            <w:tcW w:type="dxa" w:w="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P2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市场中性/配对策略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未实现</w:t>
            </w:r>
          </w:p>
        </w:tc>
        <w:tc>
          <w:tcPr>
            <w:tcW w:type="dxa" w:w="33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需多资产、对冲比率和相关性风险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B/C</w:t>
            </w:r>
          </w:p>
        </w:tc>
        <w:tc>
          <w:tcPr>
            <w:tcW w:type="dxa" w:w="1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后续</w:t>
            </w:r>
          </w:p>
        </w:tc>
      </w:tr>
      <w:tr>
        <w:tc>
          <w:tcPr>
            <w:tcW w:type="dxa" w:w="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P2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Walk-forward/过拟合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未实现</w:t>
            </w:r>
          </w:p>
        </w:tc>
        <w:tc>
          <w:tcPr>
            <w:tcW w:type="dxa" w:w="33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当前 held-out 是场景 seed 隔离，不是时间滚动验证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D</w:t>
            </w:r>
          </w:p>
        </w:tc>
        <w:tc>
          <w:tcPr>
            <w:tcW w:type="dxa" w:w="1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后续</w:t>
            </w:r>
          </w:p>
        </w:tc>
      </w:tr>
      <w:tr>
        <w:tc>
          <w:tcPr>
            <w:tcW w:type="dxa" w:w="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P2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Monte Carlo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未实现</w:t>
            </w:r>
          </w:p>
        </w:tc>
        <w:tc>
          <w:tcPr>
            <w:tcW w:type="dxa" w:w="33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缺交易顺序、滑点和参数稳定性扰动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D</w:t>
            </w:r>
          </w:p>
        </w:tc>
        <w:tc>
          <w:tcPr>
            <w:tcW w:type="dxa" w:w="1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后续</w:t>
            </w:r>
          </w:p>
        </w:tc>
      </w:tr>
      <w:tr>
        <w:tc>
          <w:tcPr>
            <w:tcW w:type="dxa" w:w="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P3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Adapter SDK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未实现</w:t>
            </w:r>
          </w:p>
        </w:tc>
        <w:tc>
          <w:tcPr>
            <w:tcW w:type="dxa" w:w="33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外部策略接入仍需读源码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A/D</w:t>
            </w:r>
          </w:p>
        </w:tc>
        <w:tc>
          <w:tcPr>
            <w:tcW w:type="dxa" w:w="1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产品化</w:t>
            </w:r>
          </w:p>
        </w:tc>
      </w:tr>
      <w:tr>
        <w:tc>
          <w:tcPr>
            <w:tcW w:type="dxa" w:w="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P3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版本与审计证据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部分实现</w:t>
            </w:r>
          </w:p>
        </w:tc>
        <w:tc>
          <w:tcPr>
            <w:tcW w:type="dxa" w:w="33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有 seed/快照时间，缺策略/场景/数据 schema version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A/D</w:t>
            </w:r>
          </w:p>
        </w:tc>
        <w:tc>
          <w:tcPr>
            <w:tcW w:type="dxa" w:w="1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产品化</w:t>
            </w:r>
          </w:p>
        </w:tc>
      </w:tr>
      <w:tr>
        <w:tc>
          <w:tcPr>
            <w:tcW w:type="dxa" w:w="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P3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多资产组合风险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未实现</w:t>
            </w:r>
          </w:p>
        </w:tc>
        <w:tc>
          <w:tcPr>
            <w:tcW w:type="dxa" w:w="33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缺集中度、相关性和组合资本分配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C</w:t>
            </w:r>
          </w:p>
        </w:tc>
        <w:tc>
          <w:tcPr>
            <w:tcW w:type="dxa" w:w="1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产品化</w:t>
            </w:r>
          </w:p>
        </w:tc>
      </w:tr>
      <w:tr>
        <w:tc>
          <w:tcPr>
            <w:tcW w:type="dxa" w:w="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P3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自动化离线报告包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部分实现</w:t>
            </w:r>
          </w:p>
        </w:tc>
        <w:tc>
          <w:tcPr>
            <w:tcW w:type="dxa" w:w="33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有 JSON/Markdown，缺单命令归档与 manifest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D</w:t>
            </w:r>
          </w:p>
        </w:tc>
        <w:tc>
          <w:tcPr>
            <w:tcW w:type="dxa" w:w="1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产品化</w:t>
            </w:r>
          </w:p>
        </w:tc>
      </w:tr>
      <w:tr>
        <w:tc>
          <w:tcPr>
            <w:tcW w:type="dxa" w:w="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P4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自然语言任意策略执行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不做</w:t>
            </w:r>
          </w:p>
        </w:tc>
        <w:tc>
          <w:tcPr>
            <w:tcW w:type="dxa" w:w="33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语义和安全边界不可验证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-</w:t>
            </w:r>
          </w:p>
        </w:tc>
        <w:tc>
          <w:tcPr>
            <w:tcW w:type="dxa" w:w="1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暂缓</w:t>
            </w:r>
          </w:p>
        </w:tc>
      </w:tr>
      <w:tr>
        <w:tc>
          <w:tcPr>
            <w:tcW w:type="dxa" w:w="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P4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真实账户/自动下单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不做</w:t>
            </w:r>
          </w:p>
        </w:tc>
        <w:tc>
          <w:tcPr>
            <w:tcW w:type="dxa" w:w="33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超出黑客松安全边界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-</w:t>
            </w:r>
          </w:p>
        </w:tc>
        <w:tc>
          <w:tcPr>
            <w:tcW w:type="dxa" w:w="1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暂缓</w:t>
            </w:r>
          </w:p>
        </w:tc>
      </w:tr>
      <w:tr>
        <w:tc>
          <w:tcPr>
            <w:tcW w:type="dxa" w:w="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P4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高频订单簿策略/Web UI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不做</w:t>
            </w:r>
          </w:p>
        </w:tc>
        <w:tc>
          <w:tcPr>
            <w:tcW w:type="dxa" w:w="33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成本高且偏离当前核心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-</w:t>
            </w:r>
          </w:p>
        </w:tc>
        <w:tc>
          <w:tcPr>
            <w:tcW w:type="dxa" w:w="1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4"/>
              </w:rPr>
              <w:t>暂缓</w:t>
            </w:r>
          </w:p>
        </w:tc>
      </w:tr>
    </w:tbl>
    <w:p>
      <w:pPr>
        <w:spacing w:before="0" w:after="40"/>
      </w:pPr>
    </w:p>
    <w:p>
      <w:pPr>
        <w:pStyle w:val="Heading1"/>
      </w:pPr>
      <w:r>
        <w:t>10. 后续策略路线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700"/>
        <w:gridCol w:w="2700"/>
        <w:gridCol w:w="3600"/>
        <w:gridCol w:w="2360"/>
      </w:tblGrid>
      <w:tr>
        <w:trPr>
          <w:tblHeader w:val="true"/>
        </w:trP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2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顺序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2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策略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2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主要价值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2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前置条件</w:t>
            </w:r>
          </w:p>
        </w:tc>
      </w:tr>
      <w:t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1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RSI + Bollinger 均值回归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证明多策略与震荡场景诊断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本轮</w:t>
            </w:r>
          </w:p>
        </w:tc>
      </w:tr>
      <w:t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2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ATR + Regime Filter 趋势策略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接近专业风控，验证动态仓位与市场状态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完成 P1 成本模型后</w:t>
            </w:r>
          </w:p>
        </w:tc>
      </w:tr>
      <w:t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3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Breakout + Volatility Filter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验证趋势突破、假突破和波动过滤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后续</w:t>
            </w:r>
          </w:p>
        </w:tc>
      </w:tr>
      <w:t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4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Funding-rate Carry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最契合 Bitget 衍生品与 Trading Infra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需要 funding/组合回测</w:t>
            </w:r>
          </w:p>
        </w:tc>
      </w:tr>
      <w:t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5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Market-neutral Pair / Basis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验证多资产、对冲、相关性和资本分配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产品化阶段</w:t>
            </w:r>
          </w:p>
        </w:tc>
      </w:tr>
    </w:tbl>
    <w:p>
      <w:pPr>
        <w:spacing w:before="0" w:after="40"/>
      </w:pPr>
    </w:p>
    <w:p>
      <w:pPr>
        <w:pStyle w:val="Heading1"/>
      </w:pPr>
      <w:r>
        <w:t>11. 3 人或 5 人团队如何调整</w:t>
      </w:r>
    </w:p>
    <w:p>
      <w:pPr>
        <w:pStyle w:val="Heading2"/>
      </w:pPr>
      <w:r>
        <w:t>3 人版本</w:t>
      </w:r>
    </w:p>
    <w:p>
      <w:pPr>
        <w:pStyle w:val="TeamBullet"/>
        <w:numPr>
          <w:ilvl w:val="0"/>
          <w:numId w:val="91"/>
        </w:numPr>
        <w:spacing w:after="80" w:line="300" w:lineRule="auto"/>
        <w:ind w:left="540" w:hanging="271"/>
      </w:pPr>
      <w:r>
        <w:rPr>
          <w:rFonts w:ascii="Calibri" w:hAnsi="Calibri" w:eastAsia="Microsoft YaHei"/>
          <w:color w:val="000000"/>
          <w:sz w:val="22"/>
        </w:rPr>
        <w:t>A：接口、registry、MA 迁移、最终集成。</w:t>
      </w:r>
    </w:p>
    <w:p>
      <w:pPr>
        <w:pStyle w:val="TeamBullet"/>
        <w:numPr>
          <w:ilvl w:val="0"/>
          <w:numId w:val="91"/>
        </w:numPr>
        <w:spacing w:after="80" w:line="300" w:lineRule="auto"/>
        <w:ind w:left="540" w:hanging="271"/>
      </w:pPr>
      <w:r>
        <w:rPr>
          <w:rFonts w:ascii="Calibri" w:hAnsi="Calibri" w:eastAsia="Microsoft YaHei"/>
          <w:color w:val="000000"/>
          <w:sz w:val="22"/>
        </w:rPr>
        <w:t>B：RSI/Bollinger 算法、指标和策略测试。</w:t>
      </w:r>
    </w:p>
    <w:p>
      <w:pPr>
        <w:pStyle w:val="TeamBullet"/>
        <w:numPr>
          <w:ilvl w:val="0"/>
          <w:numId w:val="91"/>
        </w:numPr>
        <w:spacing w:after="80" w:line="300" w:lineRule="auto"/>
        <w:ind w:left="540" w:hanging="271"/>
      </w:pPr>
      <w:r>
        <w:rPr>
          <w:rFonts w:ascii="Calibri" w:hAnsi="Calibri" w:eastAsia="Microsoft YaHei"/>
          <w:color w:val="000000"/>
          <w:sz w:val="22"/>
        </w:rPr>
        <w:t>C：公共执行/处方，同时承担集成测试与文档；报告更新放到核心代码合并后。</w:t>
      </w:r>
    </w:p>
    <w:p>
      <w:pPr>
        <w:pStyle w:val="Heading2"/>
      </w:pPr>
      <w:r>
        <w:t>5 人版本</w:t>
      </w:r>
    </w:p>
    <w:p>
      <w:pPr>
        <w:pStyle w:val="TeamBullet"/>
        <w:numPr>
          <w:ilvl w:val="0"/>
          <w:numId w:val="91"/>
        </w:numPr>
        <w:spacing w:after="80" w:line="300" w:lineRule="auto"/>
        <w:ind w:left="540" w:hanging="271"/>
      </w:pPr>
      <w:r>
        <w:rPr>
          <w:rFonts w:ascii="Calibri" w:hAnsi="Calibri" w:eastAsia="Microsoft YaHei"/>
          <w:color w:val="000000"/>
          <w:sz w:val="22"/>
        </w:rPr>
        <w:t>A/B/C 保持不变。</w:t>
      </w:r>
    </w:p>
    <w:p>
      <w:pPr>
        <w:pStyle w:val="TeamBullet"/>
        <w:numPr>
          <w:ilvl w:val="0"/>
          <w:numId w:val="91"/>
        </w:numPr>
        <w:spacing w:after="80" w:line="300" w:lineRule="auto"/>
        <w:ind w:left="540" w:hanging="271"/>
      </w:pPr>
      <w:r>
        <w:rPr>
          <w:rFonts w:ascii="Calibri" w:hAnsi="Calibri" w:eastAsia="Microsoft YaHei"/>
          <w:color w:val="000000"/>
          <w:sz w:val="22"/>
        </w:rPr>
        <w:t>D：只负责自动化测试、coverage、CLI/JSON/Markdown 验收。</w:t>
      </w:r>
    </w:p>
    <w:p>
      <w:pPr>
        <w:pStyle w:val="TeamBullet"/>
        <w:numPr>
          <w:ilvl w:val="0"/>
          <w:numId w:val="91"/>
        </w:numPr>
        <w:spacing w:after="80" w:line="300" w:lineRule="auto"/>
        <w:ind w:left="540" w:hanging="271"/>
      </w:pPr>
      <w:r>
        <w:rPr>
          <w:rFonts w:ascii="Calibri" w:hAnsi="Calibri" w:eastAsia="Microsoft YaHei"/>
          <w:color w:val="000000"/>
          <w:sz w:val="22"/>
        </w:rPr>
        <w:t>E：负责示例数据、README、DEMO、SUBMISSION 和视频脚本，不修改生产代码。</w:t>
      </w:r>
    </w:p>
    <w:p>
      <w:pPr>
        <w:pStyle w:val="Heading1"/>
      </w:pPr>
      <w:r>
        <w:t>12. 建议的一周任务板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000"/>
        <w:gridCol w:w="1400"/>
        <w:gridCol w:w="3900"/>
        <w:gridCol w:w="3060"/>
      </w:tblGrid>
      <w:tr>
        <w:trPr>
          <w:tblHeader w:val="true"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2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时间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2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负责人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2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动作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2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出口标准</w:t>
            </w:r>
          </w:p>
        </w:tc>
      </w:t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Day 1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A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冻结接口、registry 和迁移说明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契约测试 + typecheck</w:t>
            </w:r>
          </w:p>
        </w:tc>
      </w:t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Day 2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A/B/C/D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各 worktree 并行开发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各自模块测试</w:t>
            </w:r>
          </w:p>
        </w:tc>
      </w:t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Day 3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A/B/C/D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完成第一轮 PR；相邻 owner 交叉 review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无共享文件冲突</w:t>
            </w:r>
          </w:p>
        </w:tc>
      </w:t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Day 4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A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按既定顺序合并到 integration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npm.cmd run verify</w:t>
            </w:r>
          </w:p>
        </w:tc>
      </w:t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Day 5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D + 全员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双策略 demo、缺陷修复、文档冻结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两份 JSON + 五维 held-out</w:t>
            </w:r>
          </w:p>
        </w:tc>
      </w:t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Buffer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A + 对应 owner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只修阻塞问题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git diff --check + clean status</w:t>
            </w:r>
          </w:p>
        </w:tc>
      </w:tr>
    </w:tbl>
    <w:p>
      <w:pPr>
        <w:spacing w:before="0" w:after="40"/>
      </w:pPr>
    </w:p>
    <w:p>
      <w:pPr>
        <w:pStyle w:val="Heading1"/>
      </w:pPr>
      <w:r>
        <w:t>13. 每日同步与交接模板</w:t>
      </w:r>
    </w:p>
    <w:p>
      <w:pPr/>
      <w:r>
        <w:rPr>
          <w:rFonts w:ascii="Calibri" w:hAnsi="Calibri" w:eastAsia="Microsoft YaHei"/>
          <w:color w:val="000000"/>
          <w:sz w:val="22"/>
        </w:rPr>
        <w:t>每日同步控制在 10 分钟，每位成员只回答以下四项：</w:t>
      </w:r>
    </w:p>
    <w:p>
      <w:pPr>
        <w:pStyle w:val="TeamNumber"/>
        <w:numPr>
          <w:ilvl w:val="0"/>
          <w:numId w:val="92"/>
        </w:numPr>
        <w:spacing w:after="80" w:line="300" w:lineRule="auto"/>
        <w:ind w:left="540" w:hanging="271"/>
      </w:pPr>
      <w:r>
        <w:rPr>
          <w:rFonts w:ascii="Calibri" w:hAnsi="Calibri" w:eastAsia="Microsoft YaHei"/>
          <w:color w:val="000000"/>
          <w:sz w:val="22"/>
        </w:rPr>
        <w:t>昨天完成了什么，可用哪条命令验证？</w:t>
      </w:r>
    </w:p>
    <w:p>
      <w:pPr>
        <w:pStyle w:val="TeamNumber"/>
        <w:numPr>
          <w:ilvl w:val="0"/>
          <w:numId w:val="92"/>
        </w:numPr>
        <w:spacing w:after="80" w:line="300" w:lineRule="auto"/>
        <w:ind w:left="540" w:hanging="271"/>
      </w:pPr>
      <w:r>
        <w:rPr>
          <w:rFonts w:ascii="Calibri" w:hAnsi="Calibri" w:eastAsia="Microsoft YaHei"/>
          <w:color w:val="000000"/>
          <w:sz w:val="22"/>
        </w:rPr>
        <w:t>今天只修改哪些文件？</w:t>
      </w:r>
    </w:p>
    <w:p>
      <w:pPr>
        <w:pStyle w:val="TeamNumber"/>
        <w:numPr>
          <w:ilvl w:val="0"/>
          <w:numId w:val="92"/>
        </w:numPr>
        <w:spacing w:after="80" w:line="300" w:lineRule="auto"/>
        <w:ind w:left="540" w:hanging="271"/>
      </w:pPr>
      <w:r>
        <w:rPr>
          <w:rFonts w:ascii="Calibri" w:hAnsi="Calibri" w:eastAsia="Microsoft YaHei"/>
          <w:color w:val="000000"/>
          <w:sz w:val="22"/>
        </w:rPr>
        <w:t>是否需要变更共享接口？</w:t>
      </w:r>
    </w:p>
    <w:p>
      <w:pPr>
        <w:pStyle w:val="TeamNumber"/>
        <w:numPr>
          <w:ilvl w:val="0"/>
          <w:numId w:val="92"/>
        </w:numPr>
        <w:spacing w:after="80" w:line="300" w:lineRule="auto"/>
        <w:ind w:left="540" w:hanging="271"/>
      </w:pPr>
      <w:r>
        <w:rPr>
          <w:rFonts w:ascii="Calibri" w:hAnsi="Calibri" w:eastAsia="Microsoft YaHei"/>
          <w:color w:val="000000"/>
          <w:sz w:val="22"/>
        </w:rPr>
        <w:t>当前阻塞和需要谁做决定？</w:t>
      </w:r>
    </w:p>
    <w:p>
      <w:pPr/>
      <w:r>
        <w:rPr>
          <w:rFonts w:ascii="Calibri" w:hAnsi="Calibri" w:eastAsia="Microsoft YaHei"/>
          <w:b/>
          <w:color w:val="000000"/>
          <w:sz w:val="22"/>
        </w:rPr>
        <w:t>PR/交接描述模板：</w:t>
      </w:r>
      <w:r>
        <w:rPr>
          <w:rFonts w:ascii="Calibri" w:hAnsi="Calibri" w:eastAsia="Microsoft YaHei"/>
          <w:color w:val="000000"/>
          <w:sz w:val="22"/>
        </w:rPr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60"/>
            </w:pPr>
            <w:r/>
            <w:r>
              <w:rPr>
                <w:rFonts w:ascii="Calibri" w:hAnsi="Calibri" w:eastAsia="Microsoft YaHei"/>
                <w:b/>
                <w:color w:val="0B2545"/>
                <w:sz w:val="20"/>
              </w:rPr>
              <w:t>目标：</w:t>
            </w:r>
          </w:p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修改文件：</w:t>
            </w:r>
          </w:p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未修改/不在范围：</w:t>
            </w:r>
          </w:p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公共接口变化：无 / 具体说明</w:t>
            </w:r>
          </w:p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验证命令与结果：</w:t>
            </w:r>
          </w:p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需要集成人注意的合并顺序：</w:t>
            </w:r>
          </w:p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已知限制：</w:t>
            </w:r>
          </w:p>
        </w:tc>
      </w:tr>
    </w:tbl>
    <w:p>
      <w:pPr>
        <w:pStyle w:val="Heading1"/>
      </w:pPr>
      <w:r>
        <w:t>14. 最终验收命令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after="40"/>
            </w:pPr>
            <w:r/>
            <w:r>
              <w:rPr>
                <w:rFonts w:ascii="Consolas" w:hAnsi="Consolas" w:eastAsia="Microsoft YaHei"/>
                <w:color w:val="0B2545"/>
                <w:sz w:val="18"/>
              </w:rPr>
              <w:t>npm.cmd ci</w:t>
            </w:r>
          </w:p>
          <w:p>
            <w:pPr>
              <w:spacing w:after="40"/>
            </w:pPr>
            <w:r>
              <w:rPr>
                <w:rFonts w:ascii="Consolas" w:hAnsi="Consolas" w:eastAsia="Microsoft YaHei"/>
                <w:color w:val="0B2545"/>
                <w:sz w:val="18"/>
              </w:rPr>
              <w:t>npm.cmd run verify</w:t>
            </w:r>
          </w:p>
          <w:p>
            <w:pPr>
              <w:spacing w:after="40"/>
            </w:pPr>
            <w:r>
              <w:rPr>
                <w:rFonts w:ascii="Consolas" w:hAnsi="Consolas" w:eastAsia="Microsoft YaHei"/>
                <w:color w:val="0B2545"/>
                <w:sz w:val="18"/>
              </w:rPr>
              <w:t>node src/cli.ts examples/trend-follower.json --seed 42 --candidates 6</w:t>
            </w:r>
          </w:p>
          <w:p>
            <w:pPr>
              <w:spacing w:after="40"/>
            </w:pPr>
            <w:r>
              <w:rPr>
                <w:rFonts w:ascii="Consolas" w:hAnsi="Consolas" w:eastAsia="Microsoft YaHei"/>
                <w:color w:val="0B2545"/>
                <w:sz w:val="18"/>
              </w:rPr>
              <w:t>node src/cli.ts examples/rsi-bollinger.json --seed 42 --candidates 6</w:t>
            </w:r>
          </w:p>
          <w:p>
            <w:pPr>
              <w:spacing w:after="40"/>
            </w:pPr>
            <w:r>
              <w:rPr>
                <w:rFonts w:ascii="Consolas" w:hAnsi="Consolas" w:eastAsia="Microsoft YaHei"/>
                <w:color w:val="0B2545"/>
                <w:sz w:val="18"/>
              </w:rPr>
              <w:t>npm.cmd run demo:json</w:t>
            </w:r>
          </w:p>
          <w:p>
            <w:pPr>
              <w:spacing w:after="40"/>
            </w:pPr>
            <w:r>
              <w:rPr>
                <w:rFonts w:ascii="Consolas" w:hAnsi="Consolas" w:eastAsia="Microsoft YaHei"/>
                <w:color w:val="0B2545"/>
                <w:sz w:val="18"/>
              </w:rPr>
              <w:t>git diff --check</w:t>
            </w:r>
          </w:p>
          <w:p>
            <w:pPr>
              <w:spacing w:after="40"/>
            </w:pPr>
            <w:r>
              <w:rPr>
                <w:rFonts w:ascii="Consolas" w:hAnsi="Consolas" w:eastAsia="Microsoft YaHei"/>
                <w:color w:val="0B2545"/>
                <w:sz w:val="18"/>
              </w:rPr>
              <w:t>git status --short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80" w:type="dxa"/>
      </w:tblPr>
      <w:tblGrid>
        <w:gridCol w:w="9360"/>
      </w:tblGrid>
      <w:tr>
        <w:tc>
          <w:tcPr>
            <w:tcW w:type="dxa" w:w="9360"/>
            <w:tcMar>
              <w:top w:w="150" w:type="dxa"/>
              <w:start w:w="180" w:type="dxa"/>
              <w:bottom w:w="150" w:type="dxa"/>
              <w:end w:w="180" w:type="dxa"/>
            </w:tcMar>
            <w:vAlign w:val="center"/>
            <w:shd w:fill="EAF4EC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2F6B3F"/>
                <w:sz w:val="22"/>
              </w:rPr>
              <w:t>最终决策：</w:t>
            </w:r>
            <w:r>
              <w:rPr>
                <w:rFonts w:ascii="Calibri" w:hAnsi="Calibri" w:eastAsia="Microsoft YaHei"/>
                <w:color w:val="000000"/>
                <w:sz w:val="22"/>
              </w:rPr>
              <w:t>本轮只完成 P0：StrategyAdapter + MA 迁移 + RSI/Bollinger + 通用风险/处方 + 双策略验收。P1 及后续策略必须在本轮接口稳定并形成可重复 demo 后再开始，避免多人并行时扩大共享修改面。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color w:val="5F6B76"/>
        <w:sz w:val="18"/>
      </w:rPr>
      <w:t xml:space="preserve">第 </w:t>
    </w:r>
    <w:fldSimple w:instr="PAGE"/>
    <w:r>
      <w:rPr>
        <w:rFonts w:ascii="Calibri" w:hAnsi="Calibri" w:eastAsia="Microsoft YaHei"/>
        <w:color w:val="5F6B76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Microsoft YaHei"/>
        <w:color w:val="5F6B76"/>
        <w:sz w:val="18"/>
      </w:rPr>
      <w:t>Strategy Doctor | 团队协同分工方案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1">
    <w:multiLevelType w:val="singleLevel"/>
  </w:abstractNum>
  <w:num w:numId="91">
    <w:abstractNumId w:val="91"/>
  </w:num>
  <w:abstractNum w:abstractNumId="92">
    <w:multiLevelType w:val="singleLevel"/>
  </w:abstractNum>
  <w:num w:numId="92">
    <w:abstractNumId w:val="9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eamBullet">
    <w:name w:val="Team Bullet"/>
    <w:basedOn w:val="Normal"/>
    <w:pPr>
      <w:spacing w:after="80" w:line="300" w:lineRule="auto"/>
      <w:ind w:left="540" w:hanging="271"/>
    </w:pPr>
    <w:rPr>
      <w:rFonts w:ascii="Calibri" w:hAnsi="Calibri" w:eastAsia="Microsoft YaHei"/>
      <w:sz w:val="22"/>
    </w:rPr>
  </w:style>
  <w:style w:type="paragraph" w:customStyle="1" w:styleId="TeamNumber">
    <w:name w:val="Team Number"/>
    <w:basedOn w:val="Normal"/>
    <w:pPr>
      <w:spacing w:after="80" w:line="300" w:lineRule="auto"/>
      <w:ind w:left="540" w:hanging="271"/>
    </w:pPr>
    <w:rPr>
      <w:rFonts w:ascii="Calibri" w:hAnsi="Calibri" w:eastAsia="Microsoft YaHei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Strategy Doctor 团队协同分工与后续开发清单</dc:title>
  <dc:subject>多策略架构、任务分配、Git 协同与后续路线</dc:subject>
  <dc:creator>Strategy Doctor Team</dc:creator>
  <cp:keywords>Strategy Doctor, teamwork, Git worktree, RSI, Bollinger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