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2000"/>
        <w:gridCol w:w="168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368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基于DeepSeek的全流程健康管理系统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密级</w:t>
            </w:r>
          </w:p>
        </w:tc>
        <w:tc>
          <w:tcPr>
            <w:tcW w:type="dxa" w:w="368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内部</w:t>
            </w:r>
          </w:p>
        </w:tc>
      </w:tr>
    </w:tbl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jc w:val="right"/>
      </w:pPr>
      <w:r>
        <w:rPr>
          <w:rFonts w:ascii="SimSun" w:cs="SimSun" w:eastAsia="SimSun" w:hAnsi="SimSun"/>
          <w:color w:val="888888"/>
          <w:sz w:val="18"/>
          <w:szCs w:val="18"/>
        </w:rPr>
        <w:t xml:space="preserve">仅供收件方查阅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2000"/>
        <w:gridCol w:w="188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项目编号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HMS-2026-001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V1.0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2500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HMS-SRS-001</w:t>
            </w:r>
          </w:p>
        </w:tc>
      </w:tr>
    </w:tbl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200" w:before="4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基于DeepSeek的全流程健康管理系统</w:t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软件需求规格说明书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40"/>
        <w:gridCol w:w="2000"/>
        <w:gridCol w:w="192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拟制</w:t>
            </w:r>
          </w:p>
        </w:tc>
        <w:tc>
          <w:tcPr>
            <w:tcW w:type="dxa" w:w="34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[待填写]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2026-06-02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评审人</w:t>
            </w:r>
          </w:p>
        </w:tc>
        <w:tc>
          <w:tcPr>
            <w:tcW w:type="dxa" w:w="34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批准</w:t>
            </w:r>
          </w:p>
        </w:tc>
        <w:tc>
          <w:tcPr>
            <w:tcW w:type="dxa" w:w="34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yyyy-mm-dd</w:t>
            </w:r>
          </w:p>
        </w:tc>
      </w:tr>
    </w:tbl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before="600"/>
        <w:jc w:val="center"/>
      </w:pPr>
      <w:r>
        <w:rPr>
          <w:rFonts w:ascii="SimSun" w:cs="SimSun" w:eastAsia="SimSun" w:hAnsi="SimSun"/>
          <w:sz w:val="20"/>
          <w:szCs w:val="20"/>
        </w:rPr>
        <w:t xml:space="preserve">武汉学链科技有限公司</w:t>
      </w:r>
    </w:p>
    <w:p>
      <w:pPr>
        <w:jc w:val="center"/>
      </w:pPr>
      <w:r>
        <w:rPr>
          <w:rFonts w:ascii="SimSun" w:cs="SimSun" w:eastAsia="SimSun" w:hAnsi="SimSun"/>
          <w:color w:val="888888"/>
          <w:sz w:val="18"/>
          <w:szCs w:val="18"/>
        </w:rPr>
        <w:t xml:space="preserve">版权所有  不得复制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Revision Record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2400"/>
        <w:gridCol w:w="204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Date
日期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Revision Version
修订版本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CR ID /Defect ID
CR/Defect号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Sec No.
修改章节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Change Description
修改描述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2026-06-02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全部</w:t>
            </w:r>
          </w:p>
        </w:tc>
        <w:tc>
          <w:tcPr>
            <w:tcW w:type="dxa" w:w="20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初稿创建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Keywords 关键词：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DeepSeek、健康管理、血糖管理、AI健管师、体检优化、疾病预警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Abstract  摘    要：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本文档是《基于DeepSeek的全流程健康管理系统》的软件需求规格说明书，旨在准确、完整、清晰地描述系统的功能需求、非功能需求、外部接口及数据结构，为系统设计、开发、测试和验收提供依据。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List of abbreviations 缩略语清单：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Abbreviations缩略语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Full spelling 英文全名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Chinese explanation 中文解释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DeepSeek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DeepSeek LLM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深度求索大语言模型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SRS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Software Requirement Specification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软件需求规格说明书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HIS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Hospital Information System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医院信息系统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API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Application Programming Interface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应用程序编程接口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JWT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JSON Web Token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JSON网络令牌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 简介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1.1 目的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该需求规格说明书是关于基于DeepSeek的全流程健康管理系统中各功能模块的功能和性能的要求的描述，该说明书的预期读者为：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用户；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项目管理人员；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测试人员；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设计人员；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开发人员。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这份软件需求说明书重点描述了健康管理系统的功能需求，明确所要开发的软件应具有的功能、性能与界面，使系统分析人员及软件开发人员能清楚地了解用户的需求。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1.2 范围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本系统面向健康管理机构和终端用户，通过融合DeepSeek大模型能力，构建覆盖血糖管理、健康咨询、体检优化、疾病预警的全流程智能健康管理体系。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包含：用户注册登录、健康档案管理、血糖管理智能体、AI数智健管师、智能体检优化、疾病风险预警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不包含：可穿戴设备数据接入、第三方支付、短信通知、移动端APP（仅Web端）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 总体概述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 软件概述</w:t>
      </w:r>
    </w:p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2.1.1 项目介绍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本项目是一系列健康管理版本中的首个版本，旨在构建融合DeepSeek大模型的全流程健康管理系统。系统采用前后端分离架构，支持Web端访问，提供智能化、个性化的健康管理服务。</w:t>
      </w:r>
    </w:p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2.1.2 产品环境介绍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本系统为独立的Web应用系统，包含以下组件：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前端展示层：Vue 3 + TypeScript + Vite + Element Plus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业务服务层：Spring Boot 3 + MyBatis-Plus + MySQL + Redis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AI能力层：Python FastAPI + DeepSeek API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数据层：MySQL（关系型数据）+ Redis（缓存）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 软件功能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系统功能结构图：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基于DeepSeek的全流程健康管理系统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├── 用户管理（注册、登录、个人信息）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├── 健康档案管理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├── 血糖管理智能体（数据录入、趋势分析、饮食处方）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├── AI数智健管师（智能对话、健康建议）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├── 智能体检优化（报告解读、项目推荐）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└── 疾病风险预警（风险评估、预警通知）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 用户特征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技术水平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个人健康管理需求者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初级，使用智能手机/电脑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健康管理人员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健康管理中心工作人员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中级，熟悉业务流程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系统运维人员</w:t>
            </w:r>
          </w:p>
        </w:tc>
        <w:tc>
          <w:tcPr>
            <w:tcW w:type="dxa" w:w="3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高级，技术背景</w:t>
            </w:r>
          </w:p>
        </w:tc>
      </w:tr>
    </w:tbl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2.4 假设和依赖关系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假设：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1. DeepSeek API服务持续可用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2. 用户具备基本的计算机操作能力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3. 用户愿意录入个人健康数据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依赖：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1. DeepSeek API（AI对话、文本生成）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2. MySQL数据库服务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3. Redis缓存服务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 具体需求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 系统用例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系统高层整体用例图如下，展示系统角色与功能之间的关系：</w:t>
      </w:r>
    </w:p>
    <w:p>
      <w:pPr>
        <w:spacing w:after="100" w:before="200"/>
        <w:jc w:val="center"/>
      </w:pPr>
      <w:r>
        <w:drawing>
          <wp:inline distT="0" distB="0" distL="0" distR="0">
            <wp:extent cx="762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图1：系统用例图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系统包含三个角色：普通用户、健康管理人员、管理员，共16个用例。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 血糖管理智能体模块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1、子功能功能简介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血糖管理智能体模块提供血糖数据采集、趋势分析、个性化饮食处方生成等功能。用户可手动录入血糖数据，系统自动生成趋势图表和饮食建议。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2、子功能系统用例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图2：血糖管理智能体 - 活动图</w:t>
      </w:r>
    </w:p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3.2.1 血糖数据录入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 介绍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用户可手动录入血糖数据，包括测量时间、血糖值、餐前/餐后状态。系统验证数据格式并保存。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 输入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输入来源：用户手动录入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数据项：测量时间、血糖值（mmol/L）、餐前/餐后、备注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有效范围：血糖值 1.0-30.0 mmol/L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3 处理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A. 验证血糖值范围（1.0-30.0 mmol/L）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B. 验证时间格式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C. 保存到数据库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D. 更新趋势分析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4 输出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输出到：页面显示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成功：显示录入成功提示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失败：显示数据格式错误提示</w:t>
      </w:r>
    </w:p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3.2.2 血糖趋势分析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 介绍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系统基于用户血糖数据生成趋势图表，支持日/周/月视图。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 输入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输入来源：数据库血糖记录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时间范围：日/周/月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3 处理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A. 查询指定时间范围的血糖数据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B. 计算平均值、最高值、最低值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C. 生成趋势折线图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D. 标注异常值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4 输出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输出到：页面图表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内容：血糖趋势图、统计指标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 AI数智健管师模块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1、子功能功能简介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AI数智健管师模块基于DeepSeek大模型，提供智能健康咨询、对话交互、个性化健康建议生成等功能。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2、子功能系统用例</w:t>
      </w:r>
    </w:p>
    <w:p>
      <w:pPr>
        <w:spacing w:after="100" w:before="200"/>
        <w:jc w:val="center"/>
      </w:pPr>
      <w:r>
        <w:drawing>
          <wp:inline distT="0" distB="0" distL="0" distR="0">
            <wp:extent cx="4286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图3：AI数智健管师 - 活动图</w:t>
      </w:r>
    </w:p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3.3.1 智能对话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 介绍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用户可与AI健管师进行自然语言对话，获取健康咨询和建议。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 输入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输入来源：用户输入文本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格式：自然语言文本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3 处理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A. 接收用户输入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B. 查询用户健康档案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C. 调用DeepSeek API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D. 生成个性化健康建议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E. 保存对话记录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4 输出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输出到：页面对话框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内容：AI回复文本</w:t>
      </w:r>
    </w:p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3.3.2 健康建议生成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 介绍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AI健管师基于用户健康数据生成个性化饮食、运动处方。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 输入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输入来源：用户健康档案、血糖数据、体检报告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3 处理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A. 综合分析用户健康数据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B. 调用DeepSeek生成建议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C. 格式化输出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4 输出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输出到：页面显示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内容：饮食建议、运动建议、注意事项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3.4 智能体检优化模块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1、子功能功能简介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智能体检优化模块提供体检报告智能解读、体检项目推荐、体检机构对比等功能。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2、子功能系统用例</w:t>
      </w:r>
    </w:p>
    <w:p>
      <w:pPr>
        <w:spacing w:after="100" w:before="200"/>
        <w:jc w:val="center"/>
      </w:pPr>
      <w:r>
        <w:drawing>
          <wp:inline distT="0" distB="0" distL="0" distR="0">
            <wp:extent cx="4286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图4：智能体检优化 - 活动图</w:t>
      </w:r>
    </w:p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3.4.1 体检报告解读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 介绍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用户上传体检报告，系统自动解析关键指标并生成解读。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 输入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输入来源：用户上传文件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格式：PDF、JPG、PNG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3 处理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A. 接收上传文件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B. 调用AI解析报告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C. 提取关键指标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D. 生成解读文本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4 输出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输出到：页面显示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内容：指标解读、健康建议</w:t>
      </w:r>
    </w:p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3.4.2 体检项目推荐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 介绍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系统基于用户健康数据推荐个性化体检项目。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 输入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输入来源：用户健康档案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3 处理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A. 分析用户健康状况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B. 匹配体检项目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C. 生成推荐列表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4 输出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输出到：页面显示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内容：推荐体检项目列表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3.5 疾病风险预警模块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1、子功能功能简介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疾病风险预警模块基于用户健康数据进行疾病风险评估、分级预警、干预建议生成。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2、子功能系统用例</w:t>
      </w:r>
    </w:p>
    <w:p>
      <w:pPr>
        <w:spacing w:after="100" w:before="200"/>
        <w:jc w:val="center"/>
      </w:pPr>
      <w:r>
        <w:drawing>
          <wp:inline distT="0" distB="0" distL="0" distR="0">
            <wp:extent cx="4286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图5：疾病风险预警 - 活动图</w:t>
      </w:r>
    </w:p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3.5.1 风险评估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 介绍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系统基于规则引擎评估用户疾病风险等级。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 输入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输入来源：用户健康档案、血糖数据、体检报告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3 处理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A. 查询用户健康数据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B. 运行风险评估规则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C. 计算风险评分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D. 确定风险等级（低/中/高）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4 输出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输出到：页面显示、通知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内容：风险等级、风险详情、干预建议</w:t>
      </w:r>
    </w:p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3.5.2 预警通知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1 介绍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系统在检测到高风险时发出预警通知。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2 输入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输入来源：风险评估结果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3 处理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A. 判断风险等级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B. 生成预警信息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C. 发送通知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4 输出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输出到：页面通知、消息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内容：预警信息、干预建议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3.6 数据字典</w:t>
      </w:r>
    </w:p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3.6.1 数据字典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可为空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用户ID，主键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用户名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密码（加密）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blood_sugar_id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血糖记录ID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sugar_value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血糖值（mmol/L）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measure_time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测量时间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meal_status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餐前/餐后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report_id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体检报告ID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report_file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报告文件路径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风险等级（低/中/高）</w:t>
            </w:r>
          </w:p>
        </w:tc>
      </w:tr>
    </w:tbl>
    <w:p>
      <w:pPr>
        <w:pStyle w:val="Heading3"/>
        <w:spacing w:after="80" w:before="16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3.6.2 E-R关系图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主要实体关系：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用户(1) --- (N) 血糖记录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用户(1) --- (N) 体检报告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用户(1) --- (N) 对话记录</w:t>
      </w:r>
    </w:p>
    <w:p>
      <w:pPr>
        <w:spacing w:after="60" w:line="340"/>
        <w:ind w:left="480"/>
      </w:pPr>
      <w:r>
        <w:rPr>
          <w:rFonts w:ascii="SimSun" w:cs="SimSun" w:eastAsia="SimSun" w:hAnsi="SimSun"/>
          <w:sz w:val="20"/>
          <w:szCs w:val="20"/>
        </w:rPr>
        <w:t xml:space="preserve">用户(1) --- (N) 风险评估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 性能需求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4.1 时间性能需求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页面加载时间应&lt;3秒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API响应时间应&lt;500ms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AI对话响应时间应&lt;5秒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4.2 系统开放性需求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系统采用RESTful API设计，支持第三方系统集成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系统支持模块化扩展，便于后续功能迭代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4.3 界面友好性需求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界面简洁直观，操作流程清晰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支持响应式布局，适配不同屏幕尺寸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提供操作引导和帮助文档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4.4 系统可用性需求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系统可用性应达到99.5%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支持Chrome、Edge、Firefox主流浏览器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4.5 可管理性需求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系统支持日志记录和监控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支持数据备份和恢复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 接口需求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5.1 用户接口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Web端响应式界面，支持1024px以上分辨率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输入方式：键盘、鼠标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输出方式：屏幕显示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5.2 软件接口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DeepSeek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AI对话、文本生成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MySQL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8.0+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Oracle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关系型数据存储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6.0+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Redis Labs</w:t>
            </w:r>
          </w:p>
        </w:tc>
        <w:tc>
          <w:tcPr>
            <w:tcW w:type="dxa" w:w="2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缓存、会话管理</w:t>
            </w:r>
          </w:p>
        </w:tc>
      </w:tr>
    </w:tbl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5.3 硬件接口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支持智能血糖仪数据导入（蓝牙/USB）- 后续迭代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5.4 通讯接口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RESTful API接口规范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WebSocket接口（实时对话）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HTTPS加密传输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 总体设计约束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 标准符合性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遵循RESTful API设计规范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遵循《个人信息保护法》要求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遵循W3C Web标准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6.2 硬件约束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服务器：2核4G以上配置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数据库：MySQL 8.0+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浏览器：Chrome 90+、Edge 90+、Firefox 90+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6.3 技术限制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前端：Vue 3 + TypeScript + Vite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后端：Spring Boot 3 + MyBatis-Plus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AI服务：Python FastAPI + DeepSeek API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数据库：MySQL + Redis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 软件质量特性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7.1 可靠性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适应性：保证系统在原有的基础功能上进行扩充，可方便地增加新功能而不影响原系统架构。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容错性：在网络拥塞、系统崩溃、内存不足的情况下，不造成系统功能失效，可正常关闭及重启。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可恢复性：出现网络故障等问题，在网络恢复正常后，系统能正常运行。</w:t>
      </w:r>
    </w:p>
    <w:p>
      <w:pPr>
        <w:pStyle w:val="Heading2"/>
        <w:spacing w:after="10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7.2 易用性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具备良好的界面设计，使用户清晰易用，功能高度集中。阻止用户输入非法数据或进行非法操作，对于复杂的流程处理，提供向导功能并注释。可随时给用户提供使用帮助。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 需求分级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23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Requirement ID
需求ID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Requirement Name
需求名称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Classification
需求分级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FR-001~008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A. 必须的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基础鉴权体系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FR-009~014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血糖管理智能体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A. 必须的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FR-015~020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AI数智健管师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A. 必须的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核心AI功能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FR-021~025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智能体检优化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B. 重要的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重要增值功能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FR-026~029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疾病风险预警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B. 重要的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重要增值功能</w:t>
            </w:r>
          </w:p>
        </w:tc>
      </w:tr>
    </w:tbl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重要性分类如下：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A. 必须的 - 绝对基本的特性；如果不包含，产品就会被取消。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B. 重要的 - 不是基本的特性，但这些特性会影响产品的生存能力。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C. 最好有的 - 期望的特性；但省略一个或多个这样的特性不会影响产品的生存能力。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 附录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系统中相关流程图及需要补充说明的，作为附录。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/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附录A：系统架构图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附录B：数据库设计文档</w:t>
      </w:r>
    </w:p>
    <w:p>
      <w:pPr>
        <w:spacing w:after="80" w:line="360"/>
      </w:pPr>
      <w:r>
        <w:rPr>
          <w:rFonts w:ascii="SimSun" w:cs="SimSun" w:eastAsia="SimSun" w:hAnsi="SimSun"/>
          <w:sz w:val="20"/>
          <w:szCs w:val="20"/>
        </w:rPr>
        <w:t xml:space="preserve">附录C：API接口文档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SimHei" w:cs="SimHei" w:eastAsia="SimHei" w:hAnsi="Sim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SimHei" w:cs="SimHei" w:eastAsia="SimHei" w:hAnsi="SimHe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SimHei" w:cs="SimHei" w:eastAsia="SimHei" w:hAnsi="Sim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ba205a5e7a309e6584de9bd6f10a4bcd884dd6.png"/><Relationship Id="rId8" Type="http://schemas.openxmlformats.org/officeDocument/2006/relationships/image" Target="media/26039e0366e57f201785f9a890d80bf25e5a2f58.png"/><Relationship Id="rId9" Type="http://schemas.openxmlformats.org/officeDocument/2006/relationships/image" Target="media/d228da90d46f4b548fbd78569771951ba7446367.png"/><Relationship Id="rId10" Type="http://schemas.openxmlformats.org/officeDocument/2006/relationships/image" Target="media/b7b58d405851daf6a6f36e99bd8042dae3c46c07.png"/><Relationship Id="rId11" Type="http://schemas.openxmlformats.org/officeDocument/2006/relationships/image" Target="media/26298ac371ea1c2ded2ffcbf2d187eea7788c18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2026-06-04T01:19:44.432Z</dcterms:created>
  <dcterms:modified xsi:type="dcterms:W3CDTF">2026-06-04T01:19:44.433Z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