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F4500" w14:textId="3946FEC5" w:rsidR="00F51A20" w:rsidRDefault="00FF0168">
      <w:pPr>
        <w:rPr>
          <w:rFonts w:ascii="Times New Roman" w:eastAsia="宋体" w:hAnsi="Times New Roman" w:cs="Times New Roman" w:hint="eastAsia"/>
          <w:szCs w:val="24"/>
        </w:rPr>
      </w:pPr>
      <w:r>
        <w:rPr>
          <w:rFonts w:ascii="Times New Roman" w:eastAsia="宋体" w:hAnsi="Times New Roman" w:cs="Times New Roman"/>
          <w:noProof/>
          <w:szCs w:val="24"/>
        </w:rPr>
        <w:drawing>
          <wp:anchor distT="0" distB="0" distL="114300" distR="114300" simplePos="0" relativeHeight="251659264" behindDoc="1" locked="0" layoutInCell="1" allowOverlap="1" wp14:anchorId="57469287" wp14:editId="49702447">
            <wp:simplePos x="0" y="0"/>
            <wp:positionH relativeFrom="column">
              <wp:posOffset>-1387475</wp:posOffset>
            </wp:positionH>
            <wp:positionV relativeFrom="paragraph">
              <wp:posOffset>-1089660</wp:posOffset>
            </wp:positionV>
            <wp:extent cx="7886700" cy="10982960"/>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9">
                      <a:extLst>
                        <a:ext uri="{28A0092B-C50C-407E-A947-70E740481C1C}">
                          <a14:useLocalDpi xmlns:a14="http://schemas.microsoft.com/office/drawing/2010/main" val="0"/>
                        </a:ext>
                      </a:extLst>
                    </a:blip>
                    <a:srcRect l="-790" t="-1053" r="-790" b="-1053"/>
                    <a:stretch>
                      <a:fillRect/>
                    </a:stretch>
                  </pic:blipFill>
                  <pic:spPr>
                    <a:xfrm>
                      <a:off x="0" y="0"/>
                      <a:ext cx="7886700" cy="10982960"/>
                    </a:xfrm>
                    <a:prstGeom prst="rect">
                      <a:avLst/>
                    </a:prstGeom>
                    <a:noFill/>
                    <a:ln>
                      <a:noFill/>
                    </a:ln>
                  </pic:spPr>
                </pic:pic>
              </a:graphicData>
            </a:graphic>
          </wp:anchor>
        </w:drawing>
      </w:r>
    </w:p>
    <w:p w14:paraId="00278B20" w14:textId="77777777" w:rsidR="00280AA7" w:rsidRDefault="00FF0168">
      <w:pPr>
        <w:rPr>
          <w:rFonts w:ascii="Times New Roman" w:eastAsia="宋体" w:hAnsi="Times New Roman" w:cs="Times New Roman"/>
          <w:szCs w:val="24"/>
        </w:rPr>
      </w:pPr>
      <w:r>
        <w:rPr>
          <w:rFonts w:ascii="Times New Roman" w:eastAsia="宋体" w:hAnsi="Times New Roman" w:cs="Times New Roman" w:hint="eastAsia"/>
          <w:noProof/>
          <w:szCs w:val="24"/>
        </w:rPr>
        <w:drawing>
          <wp:inline distT="0" distB="0" distL="0" distR="0" wp14:anchorId="6E2C8C76" wp14:editId="3E156E73">
            <wp:extent cx="1066800" cy="12065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066800" cy="1206500"/>
                    </a:xfrm>
                    <a:prstGeom prst="rect">
                      <a:avLst/>
                    </a:prstGeom>
                    <a:noFill/>
                    <a:ln>
                      <a:noFill/>
                    </a:ln>
                  </pic:spPr>
                </pic:pic>
              </a:graphicData>
            </a:graphic>
          </wp:inline>
        </w:drawing>
      </w:r>
      <w:r>
        <w:rPr>
          <w:rFonts w:ascii="Times New Roman" w:eastAsia="宋体" w:hAnsi="Times New Roman" w:cs="Times New Roman" w:hint="eastAsia"/>
          <w:szCs w:val="24"/>
        </w:rPr>
        <w:t xml:space="preserve">  </w:t>
      </w:r>
    </w:p>
    <w:p w14:paraId="0810F843" w14:textId="77777777" w:rsidR="00280AA7" w:rsidRDefault="00FF0168">
      <w:pPr>
        <w:rPr>
          <w:rFonts w:ascii="黑体" w:eastAsia="黑体" w:hAnsi="黑体" w:cs="黑体"/>
          <w:szCs w:val="24"/>
        </w:rPr>
      </w:pPr>
      <w:r>
        <w:rPr>
          <w:rFonts w:ascii="黑体" w:eastAsia="黑体" w:hAnsi="黑体" w:cs="黑体" w:hint="eastAsia"/>
          <w:noProof/>
          <w:szCs w:val="24"/>
        </w:rPr>
        <w:drawing>
          <wp:inline distT="0" distB="0" distL="0" distR="0" wp14:anchorId="573AF4B0" wp14:editId="0BC9E5A6">
            <wp:extent cx="1733550" cy="520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733550" cy="520700"/>
                    </a:xfrm>
                    <a:prstGeom prst="rect">
                      <a:avLst/>
                    </a:prstGeom>
                    <a:noFill/>
                    <a:ln>
                      <a:noFill/>
                    </a:ln>
                  </pic:spPr>
                </pic:pic>
              </a:graphicData>
            </a:graphic>
          </wp:inline>
        </w:drawing>
      </w:r>
    </w:p>
    <w:p w14:paraId="0E10C736" w14:textId="77777777" w:rsidR="00280AA7" w:rsidRDefault="00FF0168">
      <w:pPr>
        <w:jc w:val="center"/>
        <w:rPr>
          <w:rFonts w:ascii="黑体" w:eastAsia="黑体" w:hAnsi="黑体" w:cs="黑体"/>
          <w:sz w:val="72"/>
          <w:szCs w:val="72"/>
        </w:rPr>
      </w:pPr>
      <w:r>
        <w:rPr>
          <w:rFonts w:ascii="黑体" w:eastAsia="黑体" w:hAnsi="黑体" w:cs="黑体" w:hint="eastAsia"/>
          <w:sz w:val="72"/>
          <w:szCs w:val="72"/>
        </w:rPr>
        <w:t xml:space="preserve"> 毕业设计（论文）</w:t>
      </w:r>
    </w:p>
    <w:p w14:paraId="34B70C32" w14:textId="77777777" w:rsidR="00280AA7" w:rsidRDefault="00280AA7">
      <w:pPr>
        <w:jc w:val="center"/>
        <w:rPr>
          <w:rFonts w:ascii="Times New Roman" w:eastAsia="宋体" w:hAnsi="Times New Roman" w:cs="Times New Roman"/>
          <w:szCs w:val="24"/>
        </w:rPr>
      </w:pPr>
    </w:p>
    <w:p w14:paraId="6D5B9D7C" w14:textId="77777777" w:rsidR="00280AA7" w:rsidRDefault="00280AA7">
      <w:pPr>
        <w:jc w:val="center"/>
        <w:rPr>
          <w:rFonts w:ascii="Times New Roman" w:eastAsia="宋体" w:hAnsi="Times New Roman" w:cs="Times New Roman"/>
          <w:szCs w:val="24"/>
        </w:rPr>
      </w:pPr>
    </w:p>
    <w:p w14:paraId="6EB592E5" w14:textId="77777777" w:rsidR="00280AA7" w:rsidRDefault="00280AA7">
      <w:pPr>
        <w:jc w:val="center"/>
        <w:rPr>
          <w:rFonts w:ascii="Times New Roman" w:eastAsia="宋体" w:hAnsi="Times New Roman" w:cs="Times New Roman"/>
          <w:szCs w:val="24"/>
        </w:rPr>
      </w:pPr>
    </w:p>
    <w:p w14:paraId="6758D2B2" w14:textId="5E05B11A" w:rsidR="00280AA7" w:rsidRDefault="00FF0168">
      <w:pPr>
        <w:ind w:rightChars="-844" w:right="-1772"/>
        <w:rPr>
          <w:rFonts w:ascii="黑体" w:eastAsia="黑体" w:hAnsi="黑体" w:cs="黑体"/>
          <w:sz w:val="52"/>
          <w:szCs w:val="52"/>
        </w:rPr>
      </w:pPr>
      <w:r>
        <w:rPr>
          <w:rFonts w:ascii="黑体" w:eastAsia="黑体" w:hAnsi="黑体" w:cs="黑体" w:hint="eastAsia"/>
          <w:sz w:val="52"/>
          <w:szCs w:val="52"/>
        </w:rPr>
        <w:t>题目：</w:t>
      </w:r>
      <w:r w:rsidR="00132B81">
        <w:rPr>
          <w:rFonts w:ascii="黑体" w:eastAsia="黑体" w:hAnsi="黑体" w:cs="黑体" w:hint="eastAsia"/>
          <w:sz w:val="52"/>
          <w:szCs w:val="52"/>
        </w:rPr>
        <w:t>“三道红线”政策对房地产企业融资的影响研究</w:t>
      </w:r>
    </w:p>
    <w:p w14:paraId="5597F0F2" w14:textId="77777777" w:rsidR="00280AA7" w:rsidRDefault="00280AA7">
      <w:pPr>
        <w:rPr>
          <w:rFonts w:ascii="Times New Roman" w:eastAsia="宋体" w:hAnsi="Times New Roman" w:cs="Times New Roman"/>
          <w:szCs w:val="24"/>
        </w:rPr>
      </w:pPr>
    </w:p>
    <w:p w14:paraId="41035E8A" w14:textId="77777777" w:rsidR="00280AA7" w:rsidRDefault="00280AA7">
      <w:pPr>
        <w:rPr>
          <w:rFonts w:ascii="Times New Roman" w:eastAsia="宋体" w:hAnsi="Times New Roman" w:cs="Times New Roman"/>
          <w:szCs w:val="24"/>
        </w:rPr>
      </w:pPr>
    </w:p>
    <w:p w14:paraId="394E99D1" w14:textId="77777777" w:rsidR="00280AA7" w:rsidRDefault="00280AA7">
      <w:pPr>
        <w:rPr>
          <w:rFonts w:ascii="Times New Roman" w:eastAsia="宋体" w:hAnsi="Times New Roman" w:cs="Times New Roman"/>
          <w:szCs w:val="24"/>
        </w:rPr>
      </w:pPr>
    </w:p>
    <w:p w14:paraId="176FBDEC" w14:textId="77777777" w:rsidR="00280AA7" w:rsidRDefault="00280AA7">
      <w:pPr>
        <w:rPr>
          <w:rFonts w:ascii="Times New Roman" w:eastAsia="宋体" w:hAnsi="Times New Roman" w:cs="Times New Roman"/>
          <w:szCs w:val="24"/>
        </w:rPr>
      </w:pPr>
    </w:p>
    <w:p w14:paraId="34D5B5CA" w14:textId="4EF4E400" w:rsidR="00280AA7" w:rsidRDefault="00FF0168">
      <w:pPr>
        <w:rPr>
          <w:rFonts w:ascii="黑体" w:eastAsia="黑体" w:hAnsi="黑体" w:cs="黑体"/>
          <w:sz w:val="44"/>
          <w:szCs w:val="44"/>
        </w:rPr>
      </w:pPr>
      <w:r>
        <w:rPr>
          <w:rFonts w:ascii="黑体" w:eastAsia="黑体" w:hAnsi="黑体" w:cs="黑体" w:hint="eastAsia"/>
          <w:sz w:val="44"/>
          <w:szCs w:val="44"/>
        </w:rPr>
        <w:t>学    院：</w:t>
      </w:r>
      <w:r w:rsidR="00132B81">
        <w:rPr>
          <w:rFonts w:ascii="黑体" w:eastAsia="黑体" w:hAnsi="黑体" w:cs="黑体" w:hint="eastAsia"/>
          <w:sz w:val="44"/>
          <w:szCs w:val="44"/>
        </w:rPr>
        <w:t>管理</w:t>
      </w:r>
      <w:r>
        <w:rPr>
          <w:rFonts w:ascii="黑体" w:eastAsia="黑体" w:hAnsi="黑体" w:cs="黑体" w:hint="eastAsia"/>
          <w:sz w:val="44"/>
          <w:szCs w:val="44"/>
        </w:rPr>
        <w:t>学院</w:t>
      </w:r>
    </w:p>
    <w:p w14:paraId="05ABE2EC" w14:textId="3168CDDA" w:rsidR="00280AA7" w:rsidRDefault="00FF0168">
      <w:pPr>
        <w:rPr>
          <w:rFonts w:ascii="黑体" w:eastAsia="黑体" w:hAnsi="黑体" w:cs="黑体"/>
          <w:sz w:val="44"/>
          <w:szCs w:val="44"/>
        </w:rPr>
      </w:pPr>
      <w:r>
        <w:rPr>
          <w:rFonts w:ascii="黑体" w:eastAsia="黑体" w:hAnsi="黑体" w:cs="黑体" w:hint="eastAsia"/>
          <w:sz w:val="44"/>
          <w:szCs w:val="44"/>
        </w:rPr>
        <w:t>专    业：</w:t>
      </w:r>
      <w:r w:rsidR="00132B81">
        <w:rPr>
          <w:rFonts w:ascii="黑体" w:eastAsia="黑体" w:hAnsi="黑体" w:cs="黑体" w:hint="eastAsia"/>
          <w:sz w:val="44"/>
          <w:szCs w:val="44"/>
        </w:rPr>
        <w:t>财务管理</w:t>
      </w:r>
    </w:p>
    <w:p w14:paraId="2E2D37B9" w14:textId="57BB5952" w:rsidR="00280AA7" w:rsidRDefault="00FF0168">
      <w:pPr>
        <w:rPr>
          <w:rFonts w:ascii="黑体" w:eastAsia="黑体" w:hAnsi="黑体" w:cs="黑体"/>
          <w:sz w:val="44"/>
          <w:szCs w:val="44"/>
        </w:rPr>
      </w:pPr>
      <w:r>
        <w:rPr>
          <w:rFonts w:ascii="黑体" w:eastAsia="黑体" w:hAnsi="黑体" w:cs="黑体" w:hint="eastAsia"/>
          <w:sz w:val="44"/>
          <w:szCs w:val="44"/>
        </w:rPr>
        <w:t>学    号：</w:t>
      </w:r>
      <w:r w:rsidR="00132B81">
        <w:rPr>
          <w:rFonts w:ascii="黑体" w:eastAsia="黑体" w:hAnsi="黑体" w:cs="黑体"/>
          <w:sz w:val="44"/>
          <w:szCs w:val="44"/>
        </w:rPr>
        <w:t>15122760</w:t>
      </w:r>
    </w:p>
    <w:p w14:paraId="17BF92B2" w14:textId="4A85704B" w:rsidR="00280AA7" w:rsidRDefault="00FF0168">
      <w:pPr>
        <w:rPr>
          <w:rFonts w:ascii="黑体" w:eastAsia="黑体" w:hAnsi="黑体" w:cs="黑体"/>
          <w:sz w:val="44"/>
          <w:szCs w:val="44"/>
        </w:rPr>
      </w:pPr>
      <w:r>
        <w:rPr>
          <w:rFonts w:ascii="黑体" w:eastAsia="黑体" w:hAnsi="黑体" w:cs="黑体" w:hint="eastAsia"/>
          <w:sz w:val="44"/>
          <w:szCs w:val="44"/>
        </w:rPr>
        <w:t>学生姓名：</w:t>
      </w:r>
      <w:r w:rsidR="00132B81">
        <w:rPr>
          <w:rFonts w:ascii="黑体" w:eastAsia="黑体" w:hAnsi="黑体" w:cs="黑体" w:hint="eastAsia"/>
          <w:sz w:val="44"/>
          <w:szCs w:val="44"/>
        </w:rPr>
        <w:t>陈远哲</w:t>
      </w:r>
    </w:p>
    <w:p w14:paraId="2B6B6C04" w14:textId="18BA2359" w:rsidR="00280AA7" w:rsidRDefault="00FF0168">
      <w:pPr>
        <w:rPr>
          <w:rFonts w:ascii="黑体" w:eastAsia="黑体" w:hAnsi="黑体" w:cs="黑体"/>
          <w:sz w:val="44"/>
          <w:szCs w:val="44"/>
        </w:rPr>
      </w:pPr>
      <w:r>
        <w:rPr>
          <w:rFonts w:ascii="黑体" w:eastAsia="黑体" w:hAnsi="黑体" w:cs="黑体" w:hint="eastAsia"/>
          <w:sz w:val="44"/>
          <w:szCs w:val="44"/>
        </w:rPr>
        <w:t>指导教师：</w:t>
      </w:r>
      <w:r w:rsidR="00132B81">
        <w:rPr>
          <w:rFonts w:ascii="黑体" w:eastAsia="黑体" w:hAnsi="黑体" w:cs="黑体" w:hint="eastAsia"/>
          <w:sz w:val="44"/>
          <w:szCs w:val="44"/>
        </w:rPr>
        <w:t>吴建刚</w:t>
      </w:r>
    </w:p>
    <w:p w14:paraId="531B9584" w14:textId="77777777" w:rsidR="00280AA7" w:rsidRDefault="00FF0168">
      <w:pPr>
        <w:rPr>
          <w:rFonts w:ascii="黑体" w:eastAsia="黑体" w:hAnsi="黑体" w:cs="黑体"/>
          <w:sz w:val="44"/>
          <w:szCs w:val="44"/>
        </w:rPr>
      </w:pPr>
      <w:r>
        <w:rPr>
          <w:rFonts w:ascii="黑体" w:eastAsia="黑体" w:hAnsi="黑体" w:cs="黑体" w:hint="eastAsia"/>
          <w:sz w:val="44"/>
          <w:szCs w:val="44"/>
        </w:rPr>
        <w:t>起讫日期：2021.3.20-2021.5.24</w:t>
      </w:r>
    </w:p>
    <w:p w14:paraId="6443CE67" w14:textId="77777777" w:rsidR="00280AA7" w:rsidRDefault="00FF0168">
      <w:pPr>
        <w:widowControl/>
        <w:jc w:val="left"/>
        <w:rPr>
          <w:rFonts w:ascii="华文新魏" w:eastAsia="华文新魏" w:hAnsi="Times New Roman" w:cs="Times New Roman"/>
          <w:sz w:val="44"/>
          <w:szCs w:val="44"/>
        </w:rPr>
        <w:sectPr w:rsidR="00280AA7">
          <w:footerReference w:type="first" r:id="rId12"/>
          <w:pgSz w:w="11906" w:h="16838"/>
          <w:pgMar w:top="1440" w:right="1800" w:bottom="1440" w:left="1800" w:header="851" w:footer="992" w:gutter="0"/>
          <w:pgNumType w:start="1"/>
          <w:cols w:space="425"/>
          <w:docGrid w:type="lines" w:linePitch="312"/>
        </w:sectPr>
      </w:pPr>
      <w:r>
        <w:rPr>
          <w:rFonts w:ascii="华文新魏" w:eastAsia="华文新魏" w:hAnsi="Times New Roman" w:cs="Times New Roman"/>
          <w:sz w:val="44"/>
          <w:szCs w:val="44"/>
        </w:rPr>
        <w:br w:type="page"/>
      </w:r>
    </w:p>
    <w:p w14:paraId="26EF7A51" w14:textId="61B475BE" w:rsidR="00BA6993" w:rsidRDefault="00A45B83" w:rsidP="00BA6993">
      <w:pPr>
        <w:jc w:val="center"/>
        <w:rPr>
          <w:rFonts w:ascii="黑体" w:eastAsia="黑体" w:hAnsi="黑体" w:cs="黑体"/>
          <w:bCs/>
          <w:sz w:val="52"/>
          <w:szCs w:val="52"/>
        </w:rPr>
      </w:pPr>
      <w:r>
        <w:rPr>
          <w:rFonts w:ascii="黑体" w:eastAsia="黑体" w:hAnsi="黑体" w:cs="黑体" w:hint="eastAsia"/>
          <w:bCs/>
          <w:sz w:val="52"/>
          <w:szCs w:val="52"/>
        </w:rPr>
        <w:lastRenderedPageBreak/>
        <w:t>“三道红线”政策对房地产企业融资的影响研究</w:t>
      </w:r>
    </w:p>
    <w:p w14:paraId="4C3430FE" w14:textId="77777777" w:rsidR="00BA6993" w:rsidRDefault="00BA6993" w:rsidP="00BA6993">
      <w:pPr>
        <w:pStyle w:val="1"/>
        <w:jc w:val="center"/>
        <w:rPr>
          <w:rFonts w:ascii="Times New Roman" w:eastAsia="黑体" w:hAnsi="Times New Roman" w:cs="Times New Roman"/>
          <w:b w:val="0"/>
          <w:sz w:val="36"/>
          <w:szCs w:val="36"/>
        </w:rPr>
      </w:pPr>
      <w:bookmarkStart w:id="0" w:name="_Toc75805421"/>
      <w:bookmarkStart w:id="1" w:name="_Toc103640956"/>
      <w:r>
        <w:rPr>
          <w:rFonts w:ascii="Times New Roman" w:eastAsia="黑体" w:hAnsi="Times New Roman" w:cs="Times New Roman"/>
          <w:b w:val="0"/>
          <w:sz w:val="36"/>
          <w:szCs w:val="36"/>
        </w:rPr>
        <w:t>摘</w:t>
      </w:r>
      <w:r>
        <w:rPr>
          <w:rFonts w:ascii="Times New Roman" w:eastAsia="黑体" w:hAnsi="Times New Roman" w:cs="Times New Roman" w:hint="eastAsia"/>
          <w:b w:val="0"/>
          <w:sz w:val="36"/>
          <w:szCs w:val="36"/>
        </w:rPr>
        <w:t xml:space="preserve"> </w:t>
      </w:r>
      <w:r>
        <w:rPr>
          <w:rFonts w:ascii="Times New Roman" w:eastAsia="黑体" w:hAnsi="Times New Roman" w:cs="Times New Roman"/>
          <w:b w:val="0"/>
          <w:sz w:val="36"/>
          <w:szCs w:val="36"/>
        </w:rPr>
        <w:t>要</w:t>
      </w:r>
      <w:bookmarkEnd w:id="0"/>
      <w:bookmarkEnd w:id="1"/>
    </w:p>
    <w:p w14:paraId="57998023" w14:textId="4FCDE06D" w:rsidR="00BA6993" w:rsidRDefault="00375BDA" w:rsidP="0091694B">
      <w:pPr>
        <w:ind w:rightChars="200" w:right="420" w:firstLineChars="200" w:firstLine="480"/>
        <w:rPr>
          <w:rFonts w:ascii="宋体" w:eastAsia="宋体" w:hAnsi="宋体" w:cs="宋体"/>
          <w:sz w:val="24"/>
          <w:szCs w:val="24"/>
        </w:rPr>
      </w:pPr>
      <w:r>
        <w:rPr>
          <w:rFonts w:ascii="宋体" w:eastAsia="宋体" w:hAnsi="宋体" w:cs="宋体" w:hint="eastAsia"/>
          <w:sz w:val="24"/>
          <w:szCs w:val="24"/>
        </w:rPr>
        <w:t>房地产业做为我国重要的国民经济支柱产业，在财政经济领域都具有非常重大的影响力。</w:t>
      </w:r>
      <w:r w:rsidR="0037236B">
        <w:rPr>
          <w:rFonts w:ascii="宋体" w:eastAsia="宋体" w:hAnsi="宋体" w:cs="宋体" w:hint="eastAsia"/>
          <w:sz w:val="24"/>
          <w:szCs w:val="24"/>
        </w:rPr>
        <w:t>再过去的二十年的发展历程中，我国的房地产企业处在一个高速发展的速度，很多房企在发展的初期利用极高的财务杠杆野蛮生长，形成了非常巨大的规模，使得房地产行业的泡沫逐渐变大</w:t>
      </w:r>
      <w:r w:rsidR="003138F1">
        <w:rPr>
          <w:rFonts w:ascii="宋体" w:eastAsia="宋体" w:hAnsi="宋体" w:cs="宋体" w:hint="eastAsia"/>
          <w:sz w:val="24"/>
          <w:szCs w:val="24"/>
        </w:rPr>
        <w:t>，国家相关管理部门也在过去的几年里陆续出台了诸多指导方针，控制房地产行业系统性风险的发生，例如“房住不炒”政策等。2</w:t>
      </w:r>
      <w:r w:rsidR="003138F1">
        <w:rPr>
          <w:rFonts w:ascii="宋体" w:eastAsia="宋体" w:hAnsi="宋体" w:cs="宋体"/>
          <w:sz w:val="24"/>
          <w:szCs w:val="24"/>
        </w:rPr>
        <w:t>020</w:t>
      </w:r>
      <w:r w:rsidR="003138F1">
        <w:rPr>
          <w:rFonts w:ascii="宋体" w:eastAsia="宋体" w:hAnsi="宋体" w:cs="宋体" w:hint="eastAsia"/>
          <w:sz w:val="24"/>
          <w:szCs w:val="24"/>
        </w:rPr>
        <w:t>年我国住房城乡建设部、联合人民银行以及多家大型房企召开会议，提出了“三道红线”的监管要求，意在解决一直处于高位的房地产行业带来的金融泡沫，降低房地产金融的资金成本，重新调控社会资源的分配</w:t>
      </w:r>
      <w:r w:rsidR="0091694B">
        <w:rPr>
          <w:rFonts w:ascii="宋体" w:eastAsia="宋体" w:hAnsi="宋体" w:cs="宋体" w:hint="eastAsia"/>
          <w:sz w:val="24"/>
          <w:szCs w:val="24"/>
        </w:rPr>
        <w:t>，对房地产企业的扩张按下减速键，重新设立房地产企业的融资规则。</w:t>
      </w:r>
    </w:p>
    <w:p w14:paraId="28278D91" w14:textId="106EB099" w:rsidR="0091694B" w:rsidRDefault="0091694B" w:rsidP="0091694B">
      <w:pPr>
        <w:ind w:rightChars="200" w:right="420" w:firstLineChars="200" w:firstLine="480"/>
        <w:rPr>
          <w:rFonts w:ascii="宋体" w:eastAsia="宋体" w:hAnsi="宋体" w:cs="宋体"/>
          <w:sz w:val="24"/>
          <w:szCs w:val="24"/>
        </w:rPr>
      </w:pPr>
    </w:p>
    <w:p w14:paraId="0179848D" w14:textId="0251D6C2" w:rsidR="0091694B" w:rsidRPr="00375BDA" w:rsidRDefault="0091694B" w:rsidP="0091694B">
      <w:pPr>
        <w:ind w:rightChars="200" w:right="420" w:firstLineChars="200" w:firstLine="480"/>
        <w:rPr>
          <w:rFonts w:ascii="宋体" w:eastAsia="宋体" w:hAnsi="宋体" w:cs="宋体"/>
          <w:sz w:val="24"/>
          <w:szCs w:val="24"/>
        </w:rPr>
      </w:pPr>
      <w:r>
        <w:rPr>
          <w:rFonts w:ascii="宋体" w:eastAsia="宋体" w:hAnsi="宋体" w:cs="宋体" w:hint="eastAsia"/>
          <w:sz w:val="24"/>
          <w:szCs w:val="24"/>
        </w:rPr>
        <w:t>本文主要以“三道红线”政策为出发点对房地产企业融资端的改变作出研究，希望能更直观的得出该政策对房地产企业融资行为的影响。本文首先结合了房地产企业融资理论和我国房地产业的普遍特性展开分析，然后对“三道红线”政策中所提及的财务指标和房地产企业中的五类融资模式的理论展开研究，各自的计算公式作出对比分析，</w:t>
      </w:r>
      <w:r w:rsidR="000C5FFD">
        <w:rPr>
          <w:rFonts w:ascii="宋体" w:eastAsia="宋体" w:hAnsi="宋体" w:cs="宋体" w:hint="eastAsia"/>
          <w:sz w:val="24"/>
          <w:szCs w:val="24"/>
        </w:rPr>
        <w:t>得出一些初步的假设。最后，针对“三道红线”政策对房地产企业的融资影响作出实证研究，选取房地产上市企业作为研究对线，以2</w:t>
      </w:r>
      <w:r w:rsidR="000C5FFD">
        <w:rPr>
          <w:rFonts w:ascii="宋体" w:eastAsia="宋体" w:hAnsi="宋体" w:cs="宋体"/>
          <w:sz w:val="24"/>
          <w:szCs w:val="24"/>
        </w:rPr>
        <w:t>017</w:t>
      </w:r>
      <w:r w:rsidR="000C5FFD">
        <w:rPr>
          <w:rFonts w:ascii="宋体" w:eastAsia="宋体" w:hAnsi="宋体" w:cs="宋体" w:hint="eastAsia"/>
          <w:sz w:val="24"/>
          <w:szCs w:val="24"/>
        </w:rPr>
        <w:t>年至2</w:t>
      </w:r>
      <w:r w:rsidR="000C5FFD">
        <w:rPr>
          <w:rFonts w:ascii="宋体" w:eastAsia="宋体" w:hAnsi="宋体" w:cs="宋体"/>
          <w:sz w:val="24"/>
          <w:szCs w:val="24"/>
        </w:rPr>
        <w:t>021</w:t>
      </w:r>
      <w:r w:rsidR="000C5FFD">
        <w:rPr>
          <w:rFonts w:ascii="宋体" w:eastAsia="宋体" w:hAnsi="宋体" w:cs="宋体" w:hint="eastAsia"/>
          <w:sz w:val="24"/>
          <w:szCs w:val="24"/>
        </w:rPr>
        <w:t>年共五个年度财务报表中的相关数据作为基础，利用Stata软件，以房地产上市企业的整体“剔除预收款后的资产负债类率”、“净负债率”、“现金短债比”为被解释变量，五类融资方式的占比作为解释变量进行实证分析，并得出了房地产企业中五类融资占比对三个“红线”财务比率的相关性影响，最后</w:t>
      </w:r>
      <w:r w:rsidR="00175089">
        <w:rPr>
          <w:rFonts w:ascii="宋体" w:eastAsia="宋体" w:hAnsi="宋体" w:cs="宋体" w:hint="eastAsia"/>
          <w:sz w:val="24"/>
          <w:szCs w:val="24"/>
        </w:rPr>
        <w:t>结合</w:t>
      </w:r>
      <w:r w:rsidR="000C5FFD">
        <w:rPr>
          <w:rFonts w:ascii="宋体" w:eastAsia="宋体" w:hAnsi="宋体" w:cs="宋体" w:hint="eastAsia"/>
          <w:sz w:val="24"/>
          <w:szCs w:val="24"/>
        </w:rPr>
        <w:t>“三道红线”中</w:t>
      </w:r>
      <w:r w:rsidR="00175089">
        <w:rPr>
          <w:rFonts w:ascii="宋体" w:eastAsia="宋体" w:hAnsi="宋体" w:cs="宋体" w:hint="eastAsia"/>
          <w:sz w:val="24"/>
          <w:szCs w:val="24"/>
        </w:rPr>
        <w:t>对三个财务比率的引导方向，得出其会使房地产企业扩大自身的股权融资率、商业信用融资率以及内源融资率；降低“债券融资率”</w:t>
      </w:r>
      <w:r w:rsidR="00C30F0A">
        <w:rPr>
          <w:rFonts w:ascii="宋体" w:eastAsia="宋体" w:hAnsi="宋体" w:cs="宋体" w:hint="eastAsia"/>
          <w:sz w:val="24"/>
          <w:szCs w:val="24"/>
        </w:rPr>
        <w:t>的结论。本文的其实在于房地产企业可以通过调整房企自生的五类融资方式占比，来影响财务报表上的财务指标，使企业在面对“三道红线”监管时能够更快捷高效的达到绿档的位置，一方面能够沿着政策指引的方向健康有序的发展，另一方面也能够有效规避房地产泡沫带来的风险，降低整体的融资成本，健康有序的发展，从而带动社会其他经济面的高效发展。</w:t>
      </w:r>
    </w:p>
    <w:p w14:paraId="037B963E" w14:textId="77777777" w:rsidR="00B43D06" w:rsidRDefault="00B43D06" w:rsidP="00BA6993">
      <w:pPr>
        <w:ind w:rightChars="200" w:right="420"/>
        <w:rPr>
          <w:rFonts w:ascii="宋体" w:eastAsia="宋体" w:hAnsi="宋体" w:cs="宋体"/>
          <w:sz w:val="24"/>
          <w:szCs w:val="24"/>
        </w:rPr>
      </w:pPr>
    </w:p>
    <w:p w14:paraId="36D5B0C2" w14:textId="597A0028" w:rsidR="00BA6993" w:rsidRDefault="00BA6993" w:rsidP="00BA6993">
      <w:pPr>
        <w:ind w:rightChars="200" w:right="420"/>
        <w:rPr>
          <w:rFonts w:ascii="宋体" w:eastAsia="宋体" w:hAnsi="宋体" w:cs="宋体"/>
          <w:sz w:val="24"/>
          <w:szCs w:val="24"/>
        </w:rPr>
      </w:pPr>
      <w:r>
        <w:rPr>
          <w:rFonts w:ascii="宋体" w:eastAsia="宋体" w:hAnsi="宋体" w:cs="宋体" w:hint="eastAsia"/>
          <w:sz w:val="24"/>
          <w:szCs w:val="24"/>
        </w:rPr>
        <w:t>关键词：</w:t>
      </w:r>
      <w:r w:rsidR="00B43D06">
        <w:rPr>
          <w:rFonts w:ascii="宋体" w:eastAsia="宋体" w:hAnsi="宋体" w:cs="宋体" w:hint="eastAsia"/>
          <w:bCs/>
          <w:sz w:val="24"/>
          <w:szCs w:val="24"/>
        </w:rPr>
        <w:t>房地产企业；三道红线</w:t>
      </w:r>
      <w:r>
        <w:rPr>
          <w:rFonts w:ascii="宋体" w:eastAsia="宋体" w:hAnsi="宋体" w:cs="宋体" w:hint="eastAsia"/>
          <w:sz w:val="24"/>
          <w:szCs w:val="24"/>
        </w:rPr>
        <w:t>；</w:t>
      </w:r>
      <w:r w:rsidR="00B43D06">
        <w:rPr>
          <w:rFonts w:ascii="宋体" w:eastAsia="宋体" w:hAnsi="宋体" w:cs="宋体" w:hint="eastAsia"/>
          <w:sz w:val="24"/>
          <w:szCs w:val="24"/>
        </w:rPr>
        <w:t>融资比率</w:t>
      </w:r>
      <w:r>
        <w:rPr>
          <w:rFonts w:ascii="宋体" w:eastAsia="宋体" w:hAnsi="宋体" w:cs="宋体" w:hint="eastAsia"/>
          <w:sz w:val="24"/>
          <w:szCs w:val="24"/>
        </w:rPr>
        <w:t>；</w:t>
      </w:r>
      <w:r w:rsidR="00B43D06">
        <w:rPr>
          <w:rFonts w:ascii="Times New Roman" w:eastAsia="宋体" w:hAnsi="Times New Roman" w:cs="Times New Roman" w:hint="eastAsia"/>
          <w:sz w:val="24"/>
          <w:szCs w:val="24"/>
        </w:rPr>
        <w:t>现金流</w:t>
      </w:r>
    </w:p>
    <w:p w14:paraId="3EEADE7D" w14:textId="77777777" w:rsidR="00BA6993" w:rsidRDefault="00BA6993" w:rsidP="00BA6993">
      <w:pPr>
        <w:sectPr w:rsidR="00BA6993" w:rsidSect="00BA6993">
          <w:footerReference w:type="default" r:id="rId13"/>
          <w:pgSz w:w="11906" w:h="16838"/>
          <w:pgMar w:top="1440" w:right="1800" w:bottom="1440" w:left="1800" w:header="851" w:footer="992" w:gutter="0"/>
          <w:pgNumType w:start="1"/>
          <w:cols w:space="425"/>
          <w:docGrid w:type="lines" w:linePitch="312"/>
        </w:sectPr>
      </w:pPr>
    </w:p>
    <w:p w14:paraId="53663D59" w14:textId="77777777" w:rsidR="00BA6993" w:rsidRDefault="00BA6993" w:rsidP="00BA6993">
      <w:pPr>
        <w:pStyle w:val="1"/>
        <w:pageBreakBefore/>
        <w:spacing w:line="552" w:lineRule="auto"/>
        <w:jc w:val="center"/>
        <w:rPr>
          <w:rFonts w:ascii="Times New Roman" w:eastAsia="宋体" w:hAnsi="Times New Roman" w:cs="Times New Roman"/>
          <w:b w:val="0"/>
          <w:sz w:val="36"/>
          <w:szCs w:val="36"/>
        </w:rPr>
      </w:pPr>
      <w:bookmarkStart w:id="2" w:name="_Toc75805422"/>
      <w:bookmarkStart w:id="3" w:name="_Toc103640957"/>
      <w:r>
        <w:rPr>
          <w:rFonts w:ascii="Times New Roman" w:eastAsia="宋体" w:hAnsi="Times New Roman" w:cs="Times New Roman" w:hint="eastAsia"/>
          <w:b w:val="0"/>
          <w:sz w:val="36"/>
          <w:szCs w:val="36"/>
        </w:rPr>
        <w:lastRenderedPageBreak/>
        <w:t>ABSTRACT</w:t>
      </w:r>
      <w:bookmarkEnd w:id="2"/>
      <w:bookmarkEnd w:id="3"/>
    </w:p>
    <w:p w14:paraId="71856278" w14:textId="7B86DD4F" w:rsidR="00DA6B10" w:rsidRDefault="00DA6B10" w:rsidP="00DA6B10">
      <w:pPr>
        <w:spacing w:line="300" w:lineRule="auto"/>
        <w:ind w:firstLineChars="200" w:firstLine="480"/>
        <w:rPr>
          <w:rFonts w:ascii="Times New Roman" w:eastAsia="宋体" w:hAnsi="Times New Roman" w:cs="Times New Roman"/>
          <w:bCs/>
          <w:sz w:val="24"/>
          <w:szCs w:val="24"/>
        </w:rPr>
      </w:pPr>
      <w:r w:rsidRPr="00DA6B10">
        <w:rPr>
          <w:rFonts w:ascii="Times New Roman" w:eastAsia="宋体" w:hAnsi="Times New Roman" w:cs="Times New Roman"/>
          <w:bCs/>
          <w:sz w:val="24"/>
          <w:szCs w:val="24"/>
        </w:rPr>
        <w:t>As an important pillar industry of China's national economy, real estate industry has a very significant influence in the financial and economic field. Over the past 20 years of development, the real estate enterprises of our country is in a rapid development speed, a lot of enterprise, in the early stages of the development, use of high financial leverage savage growth, formed a very large scale, makes the real estate bubble increases gradually, the national related management department in the past few years also developed a lot of guidelines, Control the occurrence of systemic risks in the real estate industry, such as the policy of "housing not speculation". 2020 housing urban and rural development in our country, the people's bank of joint and several large meeting room, put forward the "three line" regulatory requirements, to solve the real estate industry has been in high financial bubble, reduce the cost of capital of real estate finance, to regulate the allocation of social resources, to the expansion of the real estate enterprise press speed key, Reestablish financing rules for real estate enterprises.</w:t>
      </w:r>
    </w:p>
    <w:p w14:paraId="7FE52225" w14:textId="75C75C62" w:rsidR="00DA6B10" w:rsidRPr="00DA6B10" w:rsidRDefault="00DA6B10" w:rsidP="00DA6B10">
      <w:pPr>
        <w:spacing w:line="300" w:lineRule="auto"/>
        <w:ind w:firstLineChars="200" w:firstLine="480"/>
        <w:rPr>
          <w:rFonts w:ascii="Times New Roman" w:eastAsia="宋体" w:hAnsi="Times New Roman" w:cs="Times New Roman"/>
          <w:bCs/>
          <w:sz w:val="24"/>
          <w:szCs w:val="24"/>
        </w:rPr>
      </w:pPr>
      <w:r w:rsidRPr="00DA6B10">
        <w:rPr>
          <w:rFonts w:ascii="Times New Roman" w:eastAsia="宋体" w:hAnsi="Times New Roman" w:cs="Times New Roman"/>
          <w:bCs/>
          <w:sz w:val="24"/>
          <w:szCs w:val="24"/>
        </w:rPr>
        <w:t xml:space="preserve">This paper mainly studies the changes in the financing end of real estate enterprises with the "three red lines" policy as the starting point, hoping to more intuitively obtain the impact of this policy on the financing behavior of real estate enterprises. This paper first combines the financing theory of real estate enterprises and the general characteristics of China's real estate industry analysis, and then on the "three red lines" policy mentioned in the financial indicators and real estate enterprises in the five types of financing model of the theoretical study, the respective calculation formula to make a comparative analysis, some preliminary assumptions. Finally, an empirical study is made on the impact of the "three red lines" policy on the financing of real estate enterprises. Real estate listed enterprises are selected as the research reference line. Based on the relevant data in the five annual financial statements from 2017 to 2021, Stata software is used. Deposit in the "get rid of the real estate listed companies of assets and liabilities after class rate", "net debt", "cash short debt ratio to be explained variable, as explained variable of 5 kinds of financing accounted for the empirical analysis, and it is concluded that the real estate enterprises in the five types of financing of the correlation of three" red lines "financial ratios, Finally, combining the guidance direction of the three financial ratios in the "three red lines", it is concluded that it will enable real estate enterprises to expand their own equity financing rate, commercial credit financing rate and internal financing rate; The conclusion of reducing "bond financing rate". </w:t>
      </w:r>
      <w:r w:rsidRPr="00DA6B10">
        <w:rPr>
          <w:rFonts w:ascii="Times New Roman" w:eastAsia="宋体" w:hAnsi="Times New Roman" w:cs="Times New Roman"/>
          <w:bCs/>
          <w:sz w:val="24"/>
          <w:szCs w:val="24"/>
        </w:rPr>
        <w:lastRenderedPageBreak/>
        <w:t>In fact, the thesis is that real estate enterprises can influence the financial indicators in their financial statements by adjusting the proportion of the five financing methods, so that enterprises can reach the green position more quickly and efficiently in the face of the "three red lines" supervision. On the one hand, they can develop healthily and orderly along the direction of the policy guidance. On the other hand, it can effectively avoid the risks brought by the real estate bubble, reduce the overall financing cost, and promote the healthy and orderly development, thus promoting the efficient development of other economic aspects of the society.</w:t>
      </w:r>
    </w:p>
    <w:p w14:paraId="078F2988" w14:textId="4471251D" w:rsidR="00BA6993" w:rsidRDefault="00BA6993" w:rsidP="00BA6993">
      <w:pPr>
        <w:spacing w:line="300" w:lineRule="auto"/>
        <w:rPr>
          <w:rFonts w:ascii="Times New Roman" w:eastAsia="宋体" w:hAnsi="Times New Roman" w:cs="Times New Roman"/>
          <w:bCs/>
          <w:sz w:val="24"/>
          <w:szCs w:val="24"/>
        </w:rPr>
      </w:pPr>
      <w:r>
        <w:rPr>
          <w:rFonts w:ascii="Times New Roman" w:eastAsia="宋体" w:hAnsi="Times New Roman" w:cs="Times New Roman"/>
          <w:b/>
          <w:sz w:val="24"/>
          <w:szCs w:val="24"/>
        </w:rPr>
        <w:t xml:space="preserve">Key Words: </w:t>
      </w:r>
      <w:r w:rsidR="00DA6B10">
        <w:rPr>
          <w:rFonts w:ascii="Times New Roman" w:eastAsia="宋体" w:hAnsi="Times New Roman" w:cs="Times New Roman"/>
          <w:bCs/>
          <w:sz w:val="24"/>
          <w:szCs w:val="24"/>
        </w:rPr>
        <w:t xml:space="preserve">Real estate enterprise, Regulation policy, </w:t>
      </w:r>
      <w:r w:rsidR="00F85265">
        <w:rPr>
          <w:rFonts w:ascii="Times New Roman" w:eastAsia="宋体" w:hAnsi="Times New Roman" w:cs="Times New Roman"/>
          <w:bCs/>
          <w:sz w:val="24"/>
          <w:szCs w:val="24"/>
        </w:rPr>
        <w:t>Housing project financing , Financing rate</w:t>
      </w:r>
    </w:p>
    <w:p w14:paraId="1A38FC48" w14:textId="43A9A0FA" w:rsidR="00BA6993" w:rsidRDefault="00BA6993">
      <w:pPr>
        <w:jc w:val="center"/>
        <w:rPr>
          <w:rFonts w:ascii="华文新魏" w:eastAsia="黑体" w:hAnsi="Times New Roman" w:cs="Times New Roman"/>
          <w:sz w:val="36"/>
          <w:szCs w:val="36"/>
        </w:rPr>
      </w:pPr>
    </w:p>
    <w:p w14:paraId="5D916FAF" w14:textId="2F7676C0" w:rsidR="00F85265" w:rsidRDefault="00F85265">
      <w:pPr>
        <w:jc w:val="center"/>
        <w:rPr>
          <w:rFonts w:ascii="华文新魏" w:eastAsia="黑体" w:hAnsi="Times New Roman" w:cs="Times New Roman"/>
          <w:sz w:val="36"/>
          <w:szCs w:val="36"/>
        </w:rPr>
      </w:pPr>
    </w:p>
    <w:p w14:paraId="6EB665FC" w14:textId="1A6CD78D" w:rsidR="00F85265" w:rsidRDefault="00F85265">
      <w:pPr>
        <w:jc w:val="center"/>
        <w:rPr>
          <w:rFonts w:ascii="华文新魏" w:eastAsia="黑体" w:hAnsi="Times New Roman" w:cs="Times New Roman"/>
          <w:sz w:val="36"/>
          <w:szCs w:val="36"/>
        </w:rPr>
      </w:pPr>
    </w:p>
    <w:p w14:paraId="5C9600C8" w14:textId="2CDF3054" w:rsidR="00F85265" w:rsidRDefault="00F85265">
      <w:pPr>
        <w:jc w:val="center"/>
        <w:rPr>
          <w:rFonts w:ascii="华文新魏" w:eastAsia="黑体" w:hAnsi="Times New Roman" w:cs="Times New Roman"/>
          <w:sz w:val="36"/>
          <w:szCs w:val="36"/>
        </w:rPr>
      </w:pPr>
    </w:p>
    <w:p w14:paraId="094DE06F" w14:textId="0E470595" w:rsidR="00F85265" w:rsidRDefault="00F85265">
      <w:pPr>
        <w:jc w:val="center"/>
        <w:rPr>
          <w:rFonts w:ascii="华文新魏" w:eastAsia="黑体" w:hAnsi="Times New Roman" w:cs="Times New Roman"/>
          <w:sz w:val="36"/>
          <w:szCs w:val="36"/>
        </w:rPr>
      </w:pPr>
    </w:p>
    <w:p w14:paraId="55ADED5C" w14:textId="311F56CC" w:rsidR="00F85265" w:rsidRDefault="00F85265">
      <w:pPr>
        <w:jc w:val="center"/>
        <w:rPr>
          <w:rFonts w:ascii="华文新魏" w:eastAsia="黑体" w:hAnsi="Times New Roman" w:cs="Times New Roman"/>
          <w:sz w:val="36"/>
          <w:szCs w:val="36"/>
        </w:rPr>
      </w:pPr>
    </w:p>
    <w:p w14:paraId="1A518B75" w14:textId="5F80E2D2" w:rsidR="00F85265" w:rsidRDefault="00F85265">
      <w:pPr>
        <w:jc w:val="center"/>
        <w:rPr>
          <w:rFonts w:ascii="华文新魏" w:eastAsia="黑体" w:hAnsi="Times New Roman" w:cs="Times New Roman"/>
          <w:sz w:val="36"/>
          <w:szCs w:val="36"/>
        </w:rPr>
      </w:pPr>
    </w:p>
    <w:p w14:paraId="6E8A6BE7" w14:textId="44AC0F82" w:rsidR="00F85265" w:rsidRDefault="00F85265">
      <w:pPr>
        <w:jc w:val="center"/>
        <w:rPr>
          <w:rFonts w:ascii="华文新魏" w:eastAsia="黑体" w:hAnsi="Times New Roman" w:cs="Times New Roman"/>
          <w:sz w:val="36"/>
          <w:szCs w:val="36"/>
        </w:rPr>
      </w:pPr>
    </w:p>
    <w:p w14:paraId="17DBC06D" w14:textId="63607740" w:rsidR="00F85265" w:rsidRDefault="00F85265">
      <w:pPr>
        <w:jc w:val="center"/>
        <w:rPr>
          <w:rFonts w:ascii="华文新魏" w:eastAsia="黑体" w:hAnsi="Times New Roman" w:cs="Times New Roman"/>
          <w:sz w:val="36"/>
          <w:szCs w:val="36"/>
        </w:rPr>
      </w:pPr>
    </w:p>
    <w:p w14:paraId="06CBAC18" w14:textId="018E900E" w:rsidR="00F85265" w:rsidRDefault="00F85265">
      <w:pPr>
        <w:jc w:val="center"/>
        <w:rPr>
          <w:rFonts w:ascii="华文新魏" w:eastAsia="黑体" w:hAnsi="Times New Roman" w:cs="Times New Roman"/>
          <w:sz w:val="36"/>
          <w:szCs w:val="36"/>
        </w:rPr>
      </w:pPr>
    </w:p>
    <w:p w14:paraId="55390E79" w14:textId="7EF83081" w:rsidR="00F85265" w:rsidRDefault="00F85265">
      <w:pPr>
        <w:jc w:val="center"/>
        <w:rPr>
          <w:rFonts w:ascii="华文新魏" w:eastAsia="黑体" w:hAnsi="Times New Roman" w:cs="Times New Roman"/>
          <w:sz w:val="36"/>
          <w:szCs w:val="36"/>
        </w:rPr>
      </w:pPr>
    </w:p>
    <w:p w14:paraId="1269B02A" w14:textId="750AF482" w:rsidR="00F85265" w:rsidRDefault="00F85265">
      <w:pPr>
        <w:jc w:val="center"/>
        <w:rPr>
          <w:rFonts w:ascii="华文新魏" w:eastAsia="黑体" w:hAnsi="Times New Roman" w:cs="Times New Roman"/>
          <w:sz w:val="36"/>
          <w:szCs w:val="36"/>
        </w:rPr>
      </w:pPr>
    </w:p>
    <w:p w14:paraId="4053105E" w14:textId="5DA6A3C6" w:rsidR="00F85265" w:rsidRDefault="00F85265">
      <w:pPr>
        <w:jc w:val="center"/>
        <w:rPr>
          <w:rFonts w:ascii="华文新魏" w:eastAsia="黑体" w:hAnsi="Times New Roman" w:cs="Times New Roman"/>
          <w:sz w:val="36"/>
          <w:szCs w:val="36"/>
        </w:rPr>
      </w:pPr>
    </w:p>
    <w:p w14:paraId="5CE5C0BD" w14:textId="234F6E59" w:rsidR="00F85265" w:rsidRDefault="00F85265">
      <w:pPr>
        <w:jc w:val="center"/>
        <w:rPr>
          <w:rFonts w:ascii="华文新魏" w:eastAsia="黑体" w:hAnsi="Times New Roman" w:cs="Times New Roman"/>
          <w:sz w:val="36"/>
          <w:szCs w:val="36"/>
        </w:rPr>
      </w:pPr>
    </w:p>
    <w:p w14:paraId="394904D4" w14:textId="6509F03A" w:rsidR="00F85265" w:rsidRDefault="00F85265">
      <w:pPr>
        <w:jc w:val="center"/>
        <w:rPr>
          <w:rFonts w:ascii="华文新魏" w:eastAsia="黑体" w:hAnsi="Times New Roman" w:cs="Times New Roman"/>
          <w:sz w:val="36"/>
          <w:szCs w:val="36"/>
        </w:rPr>
      </w:pPr>
    </w:p>
    <w:p w14:paraId="031A16DB" w14:textId="77777777" w:rsidR="00F85265" w:rsidRPr="00BA6993" w:rsidRDefault="00F85265">
      <w:pPr>
        <w:jc w:val="center"/>
        <w:rPr>
          <w:rFonts w:ascii="华文新魏" w:eastAsia="黑体" w:hAnsi="Times New Roman" w:cs="Times New Roman"/>
          <w:sz w:val="36"/>
          <w:szCs w:val="36"/>
        </w:rPr>
      </w:pPr>
    </w:p>
    <w:bookmarkStart w:id="4" w:name="_Toc75805423" w:displacedByCustomXml="next"/>
    <w:sdt>
      <w:sdtPr>
        <w:rPr>
          <w:b w:val="0"/>
          <w:bCs w:val="0"/>
          <w:kern w:val="2"/>
          <w:sz w:val="21"/>
          <w:szCs w:val="22"/>
          <w:lang w:val="zh-CN"/>
        </w:rPr>
        <w:id w:val="-699941869"/>
        <w:docPartObj>
          <w:docPartGallery w:val="Table of Contents"/>
          <w:docPartUnique/>
        </w:docPartObj>
      </w:sdtPr>
      <w:sdtEndPr>
        <w:rPr>
          <w:b/>
          <w:bCs/>
        </w:rPr>
      </w:sdtEndPr>
      <w:sdtContent>
        <w:p w14:paraId="6467D06F" w14:textId="77777777" w:rsidR="00F85265" w:rsidRPr="00F85265" w:rsidRDefault="00F85265" w:rsidP="00F85265">
          <w:pPr>
            <w:pStyle w:val="TOC"/>
            <w:jc w:val="center"/>
            <w:rPr>
              <w:b w:val="0"/>
              <w:bCs w:val="0"/>
            </w:rPr>
          </w:pPr>
          <w:r w:rsidRPr="00F85265">
            <w:rPr>
              <w:b w:val="0"/>
              <w:bCs w:val="0"/>
              <w:lang w:val="zh-CN"/>
            </w:rPr>
            <w:t>目录</w:t>
          </w:r>
        </w:p>
        <w:p w14:paraId="087D1792" w14:textId="70F78DC9" w:rsidR="00F64894" w:rsidRPr="00F64894" w:rsidRDefault="00F85265">
          <w:pPr>
            <w:pStyle w:val="TOC1"/>
            <w:tabs>
              <w:tab w:val="right" w:leader="dot" w:pos="8296"/>
            </w:tabs>
            <w:rPr>
              <w:rFonts w:ascii="宋体" w:eastAsia="宋体" w:hAnsi="宋体"/>
              <w:noProof/>
              <w:sz w:val="24"/>
              <w:szCs w:val="24"/>
            </w:rPr>
          </w:pPr>
          <w:r w:rsidRPr="00F85265">
            <w:fldChar w:fldCharType="begin"/>
          </w:r>
          <w:r w:rsidRPr="00F85265">
            <w:instrText xml:space="preserve"> TOC \o "1-3" \h \z \u </w:instrText>
          </w:r>
          <w:r w:rsidRPr="00F85265">
            <w:fldChar w:fldCharType="separate"/>
          </w:r>
          <w:hyperlink w:anchor="_Toc103640956" w:history="1">
            <w:r w:rsidR="00F64894" w:rsidRPr="00F64894">
              <w:rPr>
                <w:rStyle w:val="a9"/>
                <w:rFonts w:ascii="宋体" w:eastAsia="宋体" w:hAnsi="宋体" w:cs="Times New Roman"/>
                <w:noProof/>
                <w:sz w:val="24"/>
                <w:szCs w:val="24"/>
              </w:rPr>
              <w:t>摘 要</w:t>
            </w:r>
            <w:r w:rsidR="00F64894" w:rsidRPr="00F64894">
              <w:rPr>
                <w:rFonts w:ascii="宋体" w:eastAsia="宋体" w:hAnsi="宋体"/>
                <w:noProof/>
                <w:webHidden/>
                <w:sz w:val="24"/>
                <w:szCs w:val="24"/>
              </w:rPr>
              <w:tab/>
            </w:r>
            <w:r w:rsidR="00F64894" w:rsidRPr="00F64894">
              <w:rPr>
                <w:rFonts w:ascii="宋体" w:eastAsia="宋体" w:hAnsi="宋体"/>
                <w:noProof/>
                <w:webHidden/>
                <w:sz w:val="24"/>
                <w:szCs w:val="24"/>
              </w:rPr>
              <w:fldChar w:fldCharType="begin"/>
            </w:r>
            <w:r w:rsidR="00F64894" w:rsidRPr="00F64894">
              <w:rPr>
                <w:rFonts w:ascii="宋体" w:eastAsia="宋体" w:hAnsi="宋体"/>
                <w:noProof/>
                <w:webHidden/>
                <w:sz w:val="24"/>
                <w:szCs w:val="24"/>
              </w:rPr>
              <w:instrText xml:space="preserve"> PAGEREF _Toc103640956 \h </w:instrText>
            </w:r>
            <w:r w:rsidR="00F64894" w:rsidRPr="00F64894">
              <w:rPr>
                <w:rFonts w:ascii="宋体" w:eastAsia="宋体" w:hAnsi="宋体"/>
                <w:noProof/>
                <w:webHidden/>
                <w:sz w:val="24"/>
                <w:szCs w:val="24"/>
              </w:rPr>
            </w:r>
            <w:r w:rsidR="00F64894" w:rsidRPr="00F64894">
              <w:rPr>
                <w:rFonts w:ascii="宋体" w:eastAsia="宋体" w:hAnsi="宋体"/>
                <w:noProof/>
                <w:webHidden/>
                <w:sz w:val="24"/>
                <w:szCs w:val="24"/>
              </w:rPr>
              <w:fldChar w:fldCharType="separate"/>
            </w:r>
            <w:r w:rsidR="00F64894" w:rsidRPr="00F64894">
              <w:rPr>
                <w:rFonts w:ascii="宋体" w:eastAsia="宋体" w:hAnsi="宋体"/>
                <w:noProof/>
                <w:webHidden/>
                <w:sz w:val="24"/>
                <w:szCs w:val="24"/>
              </w:rPr>
              <w:t>1</w:t>
            </w:r>
            <w:r w:rsidR="00F64894" w:rsidRPr="00F64894">
              <w:rPr>
                <w:rFonts w:ascii="宋体" w:eastAsia="宋体" w:hAnsi="宋体"/>
                <w:noProof/>
                <w:webHidden/>
                <w:sz w:val="24"/>
                <w:szCs w:val="24"/>
              </w:rPr>
              <w:fldChar w:fldCharType="end"/>
            </w:r>
          </w:hyperlink>
        </w:p>
        <w:p w14:paraId="41FE0385" w14:textId="3E6E5731" w:rsidR="00F64894" w:rsidRPr="00F64894" w:rsidRDefault="00F64894">
          <w:pPr>
            <w:pStyle w:val="TOC1"/>
            <w:tabs>
              <w:tab w:val="right" w:leader="dot" w:pos="8296"/>
            </w:tabs>
            <w:rPr>
              <w:rFonts w:ascii="宋体" w:eastAsia="宋体" w:hAnsi="宋体"/>
              <w:noProof/>
              <w:sz w:val="24"/>
              <w:szCs w:val="24"/>
            </w:rPr>
          </w:pPr>
          <w:hyperlink w:anchor="_Toc103640957" w:history="1">
            <w:r w:rsidRPr="00F64894">
              <w:rPr>
                <w:rStyle w:val="a9"/>
                <w:rFonts w:ascii="宋体" w:eastAsia="宋体" w:hAnsi="宋体" w:cs="Times New Roman"/>
                <w:noProof/>
                <w:sz w:val="24"/>
                <w:szCs w:val="24"/>
              </w:rPr>
              <w:t>ABSTRACT</w:t>
            </w:r>
            <w:r w:rsidRPr="00F64894">
              <w:rPr>
                <w:rFonts w:ascii="宋体" w:eastAsia="宋体" w:hAnsi="宋体"/>
                <w:noProof/>
                <w:webHidden/>
                <w:sz w:val="24"/>
                <w:szCs w:val="24"/>
              </w:rPr>
              <w:tab/>
            </w:r>
            <w:r w:rsidRPr="00F64894">
              <w:rPr>
                <w:rFonts w:ascii="宋体" w:eastAsia="宋体" w:hAnsi="宋体"/>
                <w:noProof/>
                <w:webHidden/>
                <w:sz w:val="24"/>
                <w:szCs w:val="24"/>
              </w:rPr>
              <w:fldChar w:fldCharType="begin"/>
            </w:r>
            <w:r w:rsidRPr="00F64894">
              <w:rPr>
                <w:rFonts w:ascii="宋体" w:eastAsia="宋体" w:hAnsi="宋体"/>
                <w:noProof/>
                <w:webHidden/>
                <w:sz w:val="24"/>
                <w:szCs w:val="24"/>
              </w:rPr>
              <w:instrText xml:space="preserve"> PAGEREF _Toc103640957 \h </w:instrText>
            </w:r>
            <w:r w:rsidRPr="00F64894">
              <w:rPr>
                <w:rFonts w:ascii="宋体" w:eastAsia="宋体" w:hAnsi="宋体"/>
                <w:noProof/>
                <w:webHidden/>
                <w:sz w:val="24"/>
                <w:szCs w:val="24"/>
              </w:rPr>
            </w:r>
            <w:r w:rsidRPr="00F64894">
              <w:rPr>
                <w:rFonts w:ascii="宋体" w:eastAsia="宋体" w:hAnsi="宋体"/>
                <w:noProof/>
                <w:webHidden/>
                <w:sz w:val="24"/>
                <w:szCs w:val="24"/>
              </w:rPr>
              <w:fldChar w:fldCharType="separate"/>
            </w:r>
            <w:r w:rsidRPr="00F64894">
              <w:rPr>
                <w:rFonts w:ascii="宋体" w:eastAsia="宋体" w:hAnsi="宋体"/>
                <w:noProof/>
                <w:webHidden/>
                <w:sz w:val="24"/>
                <w:szCs w:val="24"/>
              </w:rPr>
              <w:t>4</w:t>
            </w:r>
            <w:r w:rsidRPr="00F64894">
              <w:rPr>
                <w:rFonts w:ascii="宋体" w:eastAsia="宋体" w:hAnsi="宋体"/>
                <w:noProof/>
                <w:webHidden/>
                <w:sz w:val="24"/>
                <w:szCs w:val="24"/>
              </w:rPr>
              <w:fldChar w:fldCharType="end"/>
            </w:r>
          </w:hyperlink>
        </w:p>
        <w:p w14:paraId="48D9EA18" w14:textId="6D5B178A" w:rsidR="00F64894" w:rsidRPr="00F64894" w:rsidRDefault="00F64894">
          <w:pPr>
            <w:pStyle w:val="TOC1"/>
            <w:tabs>
              <w:tab w:val="left" w:pos="1050"/>
              <w:tab w:val="right" w:leader="dot" w:pos="8296"/>
            </w:tabs>
            <w:rPr>
              <w:rFonts w:ascii="宋体" w:eastAsia="宋体" w:hAnsi="宋体"/>
              <w:noProof/>
              <w:sz w:val="24"/>
              <w:szCs w:val="24"/>
            </w:rPr>
          </w:pPr>
          <w:hyperlink w:anchor="_Toc103640958" w:history="1">
            <w:r w:rsidRPr="00F64894">
              <w:rPr>
                <w:rStyle w:val="a9"/>
                <w:rFonts w:ascii="宋体" w:eastAsia="宋体" w:hAnsi="宋体"/>
                <w:noProof/>
                <w:sz w:val="24"/>
                <w:szCs w:val="24"/>
              </w:rPr>
              <w:t>第1章</w:t>
            </w:r>
            <w:r w:rsidRPr="00F64894">
              <w:rPr>
                <w:rFonts w:ascii="宋体" w:eastAsia="宋体" w:hAnsi="宋体"/>
                <w:noProof/>
                <w:sz w:val="24"/>
                <w:szCs w:val="24"/>
              </w:rPr>
              <w:tab/>
            </w:r>
            <w:r w:rsidRPr="00F64894">
              <w:rPr>
                <w:rStyle w:val="a9"/>
                <w:rFonts w:ascii="宋体" w:eastAsia="宋体" w:hAnsi="宋体"/>
                <w:noProof/>
                <w:sz w:val="24"/>
                <w:szCs w:val="24"/>
              </w:rPr>
              <w:t>绪论</w:t>
            </w:r>
            <w:r w:rsidRPr="00F64894">
              <w:rPr>
                <w:rFonts w:ascii="宋体" w:eastAsia="宋体" w:hAnsi="宋体"/>
                <w:noProof/>
                <w:webHidden/>
                <w:sz w:val="24"/>
                <w:szCs w:val="24"/>
              </w:rPr>
              <w:tab/>
            </w:r>
            <w:r w:rsidRPr="00F64894">
              <w:rPr>
                <w:rFonts w:ascii="宋体" w:eastAsia="宋体" w:hAnsi="宋体"/>
                <w:noProof/>
                <w:webHidden/>
                <w:sz w:val="24"/>
                <w:szCs w:val="24"/>
              </w:rPr>
              <w:fldChar w:fldCharType="begin"/>
            </w:r>
            <w:r w:rsidRPr="00F64894">
              <w:rPr>
                <w:rFonts w:ascii="宋体" w:eastAsia="宋体" w:hAnsi="宋体"/>
                <w:noProof/>
                <w:webHidden/>
                <w:sz w:val="24"/>
                <w:szCs w:val="24"/>
              </w:rPr>
              <w:instrText xml:space="preserve"> PAGEREF _Toc103640958 \h </w:instrText>
            </w:r>
            <w:r w:rsidRPr="00F64894">
              <w:rPr>
                <w:rFonts w:ascii="宋体" w:eastAsia="宋体" w:hAnsi="宋体"/>
                <w:noProof/>
                <w:webHidden/>
                <w:sz w:val="24"/>
                <w:szCs w:val="24"/>
              </w:rPr>
            </w:r>
            <w:r w:rsidRPr="00F64894">
              <w:rPr>
                <w:rFonts w:ascii="宋体" w:eastAsia="宋体" w:hAnsi="宋体"/>
                <w:noProof/>
                <w:webHidden/>
                <w:sz w:val="24"/>
                <w:szCs w:val="24"/>
              </w:rPr>
              <w:fldChar w:fldCharType="separate"/>
            </w:r>
            <w:r w:rsidRPr="00F64894">
              <w:rPr>
                <w:rFonts w:ascii="宋体" w:eastAsia="宋体" w:hAnsi="宋体"/>
                <w:noProof/>
                <w:webHidden/>
                <w:sz w:val="24"/>
                <w:szCs w:val="24"/>
              </w:rPr>
              <w:t>7</w:t>
            </w:r>
            <w:r w:rsidRPr="00F64894">
              <w:rPr>
                <w:rFonts w:ascii="宋体" w:eastAsia="宋体" w:hAnsi="宋体"/>
                <w:noProof/>
                <w:webHidden/>
                <w:sz w:val="24"/>
                <w:szCs w:val="24"/>
              </w:rPr>
              <w:fldChar w:fldCharType="end"/>
            </w:r>
          </w:hyperlink>
        </w:p>
        <w:p w14:paraId="6AF68052" w14:textId="6ACDA4F6" w:rsidR="00F64894" w:rsidRPr="00F64894" w:rsidRDefault="00F64894">
          <w:pPr>
            <w:pStyle w:val="TOC2"/>
            <w:tabs>
              <w:tab w:val="right" w:leader="dot" w:pos="8296"/>
            </w:tabs>
            <w:rPr>
              <w:rFonts w:ascii="宋体" w:eastAsia="宋体" w:hAnsi="宋体"/>
              <w:noProof/>
              <w:sz w:val="24"/>
              <w:szCs w:val="24"/>
            </w:rPr>
          </w:pPr>
          <w:hyperlink w:anchor="_Toc103640959" w:history="1">
            <w:r w:rsidRPr="00F64894">
              <w:rPr>
                <w:rStyle w:val="a9"/>
                <w:rFonts w:ascii="宋体" w:eastAsia="宋体" w:hAnsi="宋体"/>
                <w:noProof/>
                <w:sz w:val="24"/>
                <w:szCs w:val="24"/>
              </w:rPr>
              <w:t>1.1研究背景、目的及意义</w:t>
            </w:r>
            <w:r w:rsidRPr="00F64894">
              <w:rPr>
                <w:rFonts w:ascii="宋体" w:eastAsia="宋体" w:hAnsi="宋体"/>
                <w:noProof/>
                <w:webHidden/>
                <w:sz w:val="24"/>
                <w:szCs w:val="24"/>
              </w:rPr>
              <w:tab/>
            </w:r>
            <w:r w:rsidRPr="00F64894">
              <w:rPr>
                <w:rFonts w:ascii="宋体" w:eastAsia="宋体" w:hAnsi="宋体"/>
                <w:noProof/>
                <w:webHidden/>
                <w:sz w:val="24"/>
                <w:szCs w:val="24"/>
              </w:rPr>
              <w:fldChar w:fldCharType="begin"/>
            </w:r>
            <w:r w:rsidRPr="00F64894">
              <w:rPr>
                <w:rFonts w:ascii="宋体" w:eastAsia="宋体" w:hAnsi="宋体"/>
                <w:noProof/>
                <w:webHidden/>
                <w:sz w:val="24"/>
                <w:szCs w:val="24"/>
              </w:rPr>
              <w:instrText xml:space="preserve"> PAGEREF _Toc103640959 \h </w:instrText>
            </w:r>
            <w:r w:rsidRPr="00F64894">
              <w:rPr>
                <w:rFonts w:ascii="宋体" w:eastAsia="宋体" w:hAnsi="宋体"/>
                <w:noProof/>
                <w:webHidden/>
                <w:sz w:val="24"/>
                <w:szCs w:val="24"/>
              </w:rPr>
            </w:r>
            <w:r w:rsidRPr="00F64894">
              <w:rPr>
                <w:rFonts w:ascii="宋体" w:eastAsia="宋体" w:hAnsi="宋体"/>
                <w:noProof/>
                <w:webHidden/>
                <w:sz w:val="24"/>
                <w:szCs w:val="24"/>
              </w:rPr>
              <w:fldChar w:fldCharType="separate"/>
            </w:r>
            <w:r w:rsidRPr="00F64894">
              <w:rPr>
                <w:rFonts w:ascii="宋体" w:eastAsia="宋体" w:hAnsi="宋体"/>
                <w:noProof/>
                <w:webHidden/>
                <w:sz w:val="24"/>
                <w:szCs w:val="24"/>
              </w:rPr>
              <w:t>7</w:t>
            </w:r>
            <w:r w:rsidRPr="00F64894">
              <w:rPr>
                <w:rFonts w:ascii="宋体" w:eastAsia="宋体" w:hAnsi="宋体"/>
                <w:noProof/>
                <w:webHidden/>
                <w:sz w:val="24"/>
                <w:szCs w:val="24"/>
              </w:rPr>
              <w:fldChar w:fldCharType="end"/>
            </w:r>
          </w:hyperlink>
        </w:p>
        <w:p w14:paraId="43BA4A19" w14:textId="7301B8BC" w:rsidR="00F64894" w:rsidRPr="00F64894" w:rsidRDefault="00F64894">
          <w:pPr>
            <w:pStyle w:val="TOC2"/>
            <w:tabs>
              <w:tab w:val="right" w:leader="dot" w:pos="8296"/>
            </w:tabs>
            <w:rPr>
              <w:rFonts w:ascii="宋体" w:eastAsia="宋体" w:hAnsi="宋体"/>
              <w:noProof/>
              <w:sz w:val="24"/>
              <w:szCs w:val="24"/>
            </w:rPr>
          </w:pPr>
          <w:hyperlink w:anchor="_Toc103640962" w:history="1">
            <w:r w:rsidRPr="00F64894">
              <w:rPr>
                <w:rStyle w:val="a9"/>
                <w:rFonts w:ascii="宋体" w:eastAsia="宋体" w:hAnsi="宋体"/>
                <w:noProof/>
                <w:sz w:val="24"/>
                <w:szCs w:val="24"/>
              </w:rPr>
              <w:t>1.2 文献综述</w:t>
            </w:r>
            <w:r w:rsidRPr="00F64894">
              <w:rPr>
                <w:rFonts w:ascii="宋体" w:eastAsia="宋体" w:hAnsi="宋体"/>
                <w:noProof/>
                <w:webHidden/>
                <w:sz w:val="24"/>
                <w:szCs w:val="24"/>
              </w:rPr>
              <w:tab/>
            </w:r>
            <w:r w:rsidRPr="00F64894">
              <w:rPr>
                <w:rFonts w:ascii="宋体" w:eastAsia="宋体" w:hAnsi="宋体"/>
                <w:noProof/>
                <w:webHidden/>
                <w:sz w:val="24"/>
                <w:szCs w:val="24"/>
              </w:rPr>
              <w:fldChar w:fldCharType="begin"/>
            </w:r>
            <w:r w:rsidRPr="00F64894">
              <w:rPr>
                <w:rFonts w:ascii="宋体" w:eastAsia="宋体" w:hAnsi="宋体"/>
                <w:noProof/>
                <w:webHidden/>
                <w:sz w:val="24"/>
                <w:szCs w:val="24"/>
              </w:rPr>
              <w:instrText xml:space="preserve"> PAGEREF _Toc103640962 \h </w:instrText>
            </w:r>
            <w:r w:rsidRPr="00F64894">
              <w:rPr>
                <w:rFonts w:ascii="宋体" w:eastAsia="宋体" w:hAnsi="宋体"/>
                <w:noProof/>
                <w:webHidden/>
                <w:sz w:val="24"/>
                <w:szCs w:val="24"/>
              </w:rPr>
            </w:r>
            <w:r w:rsidRPr="00F64894">
              <w:rPr>
                <w:rFonts w:ascii="宋体" w:eastAsia="宋体" w:hAnsi="宋体"/>
                <w:noProof/>
                <w:webHidden/>
                <w:sz w:val="24"/>
                <w:szCs w:val="24"/>
              </w:rPr>
              <w:fldChar w:fldCharType="separate"/>
            </w:r>
            <w:r w:rsidRPr="00F64894">
              <w:rPr>
                <w:rFonts w:ascii="宋体" w:eastAsia="宋体" w:hAnsi="宋体"/>
                <w:noProof/>
                <w:webHidden/>
                <w:sz w:val="24"/>
                <w:szCs w:val="24"/>
              </w:rPr>
              <w:t>9</w:t>
            </w:r>
            <w:r w:rsidRPr="00F64894">
              <w:rPr>
                <w:rFonts w:ascii="宋体" w:eastAsia="宋体" w:hAnsi="宋体"/>
                <w:noProof/>
                <w:webHidden/>
                <w:sz w:val="24"/>
                <w:szCs w:val="24"/>
              </w:rPr>
              <w:fldChar w:fldCharType="end"/>
            </w:r>
          </w:hyperlink>
        </w:p>
        <w:p w14:paraId="613E49D4" w14:textId="1770835B" w:rsidR="00F64894" w:rsidRPr="00F64894" w:rsidRDefault="00F64894">
          <w:pPr>
            <w:pStyle w:val="TOC2"/>
            <w:tabs>
              <w:tab w:val="right" w:leader="dot" w:pos="8296"/>
            </w:tabs>
            <w:rPr>
              <w:rFonts w:ascii="宋体" w:eastAsia="宋体" w:hAnsi="宋体"/>
              <w:noProof/>
              <w:sz w:val="24"/>
              <w:szCs w:val="24"/>
            </w:rPr>
          </w:pPr>
          <w:hyperlink w:anchor="_Toc103640965" w:history="1">
            <w:r w:rsidRPr="00F64894">
              <w:rPr>
                <w:rStyle w:val="a9"/>
                <w:rFonts w:ascii="宋体" w:eastAsia="宋体" w:hAnsi="宋体"/>
                <w:noProof/>
                <w:sz w:val="24"/>
                <w:szCs w:val="24"/>
              </w:rPr>
              <w:t>1.3 研究内容与技术路线</w:t>
            </w:r>
            <w:r w:rsidRPr="00F64894">
              <w:rPr>
                <w:rFonts w:ascii="宋体" w:eastAsia="宋体" w:hAnsi="宋体"/>
                <w:noProof/>
                <w:webHidden/>
                <w:sz w:val="24"/>
                <w:szCs w:val="24"/>
              </w:rPr>
              <w:tab/>
            </w:r>
            <w:r w:rsidRPr="00F64894">
              <w:rPr>
                <w:rFonts w:ascii="宋体" w:eastAsia="宋体" w:hAnsi="宋体"/>
                <w:noProof/>
                <w:webHidden/>
                <w:sz w:val="24"/>
                <w:szCs w:val="24"/>
              </w:rPr>
              <w:fldChar w:fldCharType="begin"/>
            </w:r>
            <w:r w:rsidRPr="00F64894">
              <w:rPr>
                <w:rFonts w:ascii="宋体" w:eastAsia="宋体" w:hAnsi="宋体"/>
                <w:noProof/>
                <w:webHidden/>
                <w:sz w:val="24"/>
                <w:szCs w:val="24"/>
              </w:rPr>
              <w:instrText xml:space="preserve"> PAGEREF _Toc103640965 \h </w:instrText>
            </w:r>
            <w:r w:rsidRPr="00F64894">
              <w:rPr>
                <w:rFonts w:ascii="宋体" w:eastAsia="宋体" w:hAnsi="宋体"/>
                <w:noProof/>
                <w:webHidden/>
                <w:sz w:val="24"/>
                <w:szCs w:val="24"/>
              </w:rPr>
            </w:r>
            <w:r w:rsidRPr="00F64894">
              <w:rPr>
                <w:rFonts w:ascii="宋体" w:eastAsia="宋体" w:hAnsi="宋体"/>
                <w:noProof/>
                <w:webHidden/>
                <w:sz w:val="24"/>
                <w:szCs w:val="24"/>
              </w:rPr>
              <w:fldChar w:fldCharType="separate"/>
            </w:r>
            <w:r w:rsidRPr="00F64894">
              <w:rPr>
                <w:rFonts w:ascii="宋体" w:eastAsia="宋体" w:hAnsi="宋体"/>
                <w:noProof/>
                <w:webHidden/>
                <w:sz w:val="24"/>
                <w:szCs w:val="24"/>
              </w:rPr>
              <w:t>11</w:t>
            </w:r>
            <w:r w:rsidRPr="00F64894">
              <w:rPr>
                <w:rFonts w:ascii="宋体" w:eastAsia="宋体" w:hAnsi="宋体"/>
                <w:noProof/>
                <w:webHidden/>
                <w:sz w:val="24"/>
                <w:szCs w:val="24"/>
              </w:rPr>
              <w:fldChar w:fldCharType="end"/>
            </w:r>
          </w:hyperlink>
        </w:p>
        <w:p w14:paraId="4AEB3A10" w14:textId="09692212" w:rsidR="00F64894" w:rsidRPr="00F64894" w:rsidRDefault="00F64894">
          <w:pPr>
            <w:pStyle w:val="TOC2"/>
            <w:tabs>
              <w:tab w:val="right" w:leader="dot" w:pos="8296"/>
            </w:tabs>
            <w:rPr>
              <w:rFonts w:ascii="宋体" w:eastAsia="宋体" w:hAnsi="宋体"/>
              <w:noProof/>
              <w:sz w:val="24"/>
              <w:szCs w:val="24"/>
            </w:rPr>
          </w:pPr>
          <w:hyperlink w:anchor="_Toc103640968" w:history="1">
            <w:r w:rsidRPr="00F64894">
              <w:rPr>
                <w:rStyle w:val="a9"/>
                <w:rFonts w:ascii="宋体" w:eastAsia="宋体" w:hAnsi="宋体"/>
                <w:noProof/>
                <w:sz w:val="24"/>
                <w:szCs w:val="24"/>
              </w:rPr>
              <w:t>1.4研究方法</w:t>
            </w:r>
            <w:r w:rsidRPr="00F64894">
              <w:rPr>
                <w:rFonts w:ascii="宋体" w:eastAsia="宋体" w:hAnsi="宋体"/>
                <w:noProof/>
                <w:webHidden/>
                <w:sz w:val="24"/>
                <w:szCs w:val="24"/>
              </w:rPr>
              <w:tab/>
            </w:r>
            <w:r w:rsidRPr="00F64894">
              <w:rPr>
                <w:rFonts w:ascii="宋体" w:eastAsia="宋体" w:hAnsi="宋体"/>
                <w:noProof/>
                <w:webHidden/>
                <w:sz w:val="24"/>
                <w:szCs w:val="24"/>
              </w:rPr>
              <w:fldChar w:fldCharType="begin"/>
            </w:r>
            <w:r w:rsidRPr="00F64894">
              <w:rPr>
                <w:rFonts w:ascii="宋体" w:eastAsia="宋体" w:hAnsi="宋体"/>
                <w:noProof/>
                <w:webHidden/>
                <w:sz w:val="24"/>
                <w:szCs w:val="24"/>
              </w:rPr>
              <w:instrText xml:space="preserve"> PAGEREF _Toc103640968 \h </w:instrText>
            </w:r>
            <w:r w:rsidRPr="00F64894">
              <w:rPr>
                <w:rFonts w:ascii="宋体" w:eastAsia="宋体" w:hAnsi="宋体"/>
                <w:noProof/>
                <w:webHidden/>
                <w:sz w:val="24"/>
                <w:szCs w:val="24"/>
              </w:rPr>
            </w:r>
            <w:r w:rsidRPr="00F64894">
              <w:rPr>
                <w:rFonts w:ascii="宋体" w:eastAsia="宋体" w:hAnsi="宋体"/>
                <w:noProof/>
                <w:webHidden/>
                <w:sz w:val="24"/>
                <w:szCs w:val="24"/>
              </w:rPr>
              <w:fldChar w:fldCharType="separate"/>
            </w:r>
            <w:r w:rsidRPr="00F64894">
              <w:rPr>
                <w:rFonts w:ascii="宋体" w:eastAsia="宋体" w:hAnsi="宋体"/>
                <w:noProof/>
                <w:webHidden/>
                <w:sz w:val="24"/>
                <w:szCs w:val="24"/>
              </w:rPr>
              <w:t>11</w:t>
            </w:r>
            <w:r w:rsidRPr="00F64894">
              <w:rPr>
                <w:rFonts w:ascii="宋体" w:eastAsia="宋体" w:hAnsi="宋体"/>
                <w:noProof/>
                <w:webHidden/>
                <w:sz w:val="24"/>
                <w:szCs w:val="24"/>
              </w:rPr>
              <w:fldChar w:fldCharType="end"/>
            </w:r>
          </w:hyperlink>
        </w:p>
        <w:p w14:paraId="3A9BCD8F" w14:textId="59557681" w:rsidR="00F64894" w:rsidRPr="00F64894" w:rsidRDefault="00F64894">
          <w:pPr>
            <w:pStyle w:val="TOC1"/>
            <w:tabs>
              <w:tab w:val="right" w:leader="dot" w:pos="8296"/>
            </w:tabs>
            <w:rPr>
              <w:rFonts w:ascii="宋体" w:eastAsia="宋体" w:hAnsi="宋体"/>
              <w:noProof/>
              <w:sz w:val="24"/>
              <w:szCs w:val="24"/>
            </w:rPr>
          </w:pPr>
          <w:hyperlink w:anchor="_Toc103640972" w:history="1">
            <w:r w:rsidRPr="00F64894">
              <w:rPr>
                <w:rStyle w:val="a9"/>
                <w:rFonts w:ascii="宋体" w:eastAsia="宋体" w:hAnsi="宋体"/>
                <w:noProof/>
                <w:sz w:val="24"/>
                <w:szCs w:val="24"/>
              </w:rPr>
              <w:t>第2章 理论概述及制度背景</w:t>
            </w:r>
            <w:r w:rsidRPr="00F64894">
              <w:rPr>
                <w:rFonts w:ascii="宋体" w:eastAsia="宋体" w:hAnsi="宋体"/>
                <w:noProof/>
                <w:webHidden/>
                <w:sz w:val="24"/>
                <w:szCs w:val="24"/>
              </w:rPr>
              <w:tab/>
            </w:r>
            <w:r w:rsidRPr="00F64894">
              <w:rPr>
                <w:rFonts w:ascii="宋体" w:eastAsia="宋体" w:hAnsi="宋体"/>
                <w:noProof/>
                <w:webHidden/>
                <w:sz w:val="24"/>
                <w:szCs w:val="24"/>
              </w:rPr>
              <w:fldChar w:fldCharType="begin"/>
            </w:r>
            <w:r w:rsidRPr="00F64894">
              <w:rPr>
                <w:rFonts w:ascii="宋体" w:eastAsia="宋体" w:hAnsi="宋体"/>
                <w:noProof/>
                <w:webHidden/>
                <w:sz w:val="24"/>
                <w:szCs w:val="24"/>
              </w:rPr>
              <w:instrText xml:space="preserve"> PAGEREF _Toc103640972 \h </w:instrText>
            </w:r>
            <w:r w:rsidRPr="00F64894">
              <w:rPr>
                <w:rFonts w:ascii="宋体" w:eastAsia="宋体" w:hAnsi="宋体"/>
                <w:noProof/>
                <w:webHidden/>
                <w:sz w:val="24"/>
                <w:szCs w:val="24"/>
              </w:rPr>
            </w:r>
            <w:r w:rsidRPr="00F64894">
              <w:rPr>
                <w:rFonts w:ascii="宋体" w:eastAsia="宋体" w:hAnsi="宋体"/>
                <w:noProof/>
                <w:webHidden/>
                <w:sz w:val="24"/>
                <w:szCs w:val="24"/>
              </w:rPr>
              <w:fldChar w:fldCharType="separate"/>
            </w:r>
            <w:r w:rsidRPr="00F64894">
              <w:rPr>
                <w:rFonts w:ascii="宋体" w:eastAsia="宋体" w:hAnsi="宋体"/>
                <w:noProof/>
                <w:webHidden/>
                <w:sz w:val="24"/>
                <w:szCs w:val="24"/>
              </w:rPr>
              <w:t>12</w:t>
            </w:r>
            <w:r w:rsidRPr="00F64894">
              <w:rPr>
                <w:rFonts w:ascii="宋体" w:eastAsia="宋体" w:hAnsi="宋体"/>
                <w:noProof/>
                <w:webHidden/>
                <w:sz w:val="24"/>
                <w:szCs w:val="24"/>
              </w:rPr>
              <w:fldChar w:fldCharType="end"/>
            </w:r>
          </w:hyperlink>
        </w:p>
        <w:p w14:paraId="0629C3DD" w14:textId="1C04E64A" w:rsidR="00F64894" w:rsidRPr="00F64894" w:rsidRDefault="00F64894">
          <w:pPr>
            <w:pStyle w:val="TOC2"/>
            <w:tabs>
              <w:tab w:val="right" w:leader="dot" w:pos="8296"/>
            </w:tabs>
            <w:rPr>
              <w:rFonts w:ascii="宋体" w:eastAsia="宋体" w:hAnsi="宋体"/>
              <w:noProof/>
              <w:sz w:val="24"/>
              <w:szCs w:val="24"/>
            </w:rPr>
          </w:pPr>
          <w:hyperlink w:anchor="_Toc103640973" w:history="1">
            <w:r w:rsidRPr="00F64894">
              <w:rPr>
                <w:rStyle w:val="a9"/>
                <w:rFonts w:ascii="宋体" w:eastAsia="宋体" w:hAnsi="宋体"/>
                <w:noProof/>
                <w:sz w:val="24"/>
                <w:szCs w:val="24"/>
              </w:rPr>
              <w:t>2.1上市公司融资结构相关理论</w:t>
            </w:r>
            <w:r w:rsidRPr="00F64894">
              <w:rPr>
                <w:rFonts w:ascii="宋体" w:eastAsia="宋体" w:hAnsi="宋体"/>
                <w:noProof/>
                <w:webHidden/>
                <w:sz w:val="24"/>
                <w:szCs w:val="24"/>
              </w:rPr>
              <w:tab/>
            </w:r>
            <w:r w:rsidRPr="00F64894">
              <w:rPr>
                <w:rFonts w:ascii="宋体" w:eastAsia="宋体" w:hAnsi="宋体"/>
                <w:noProof/>
                <w:webHidden/>
                <w:sz w:val="24"/>
                <w:szCs w:val="24"/>
              </w:rPr>
              <w:fldChar w:fldCharType="begin"/>
            </w:r>
            <w:r w:rsidRPr="00F64894">
              <w:rPr>
                <w:rFonts w:ascii="宋体" w:eastAsia="宋体" w:hAnsi="宋体"/>
                <w:noProof/>
                <w:webHidden/>
                <w:sz w:val="24"/>
                <w:szCs w:val="24"/>
              </w:rPr>
              <w:instrText xml:space="preserve"> PAGEREF _Toc103640973 \h </w:instrText>
            </w:r>
            <w:r w:rsidRPr="00F64894">
              <w:rPr>
                <w:rFonts w:ascii="宋体" w:eastAsia="宋体" w:hAnsi="宋体"/>
                <w:noProof/>
                <w:webHidden/>
                <w:sz w:val="24"/>
                <w:szCs w:val="24"/>
              </w:rPr>
            </w:r>
            <w:r w:rsidRPr="00F64894">
              <w:rPr>
                <w:rFonts w:ascii="宋体" w:eastAsia="宋体" w:hAnsi="宋体"/>
                <w:noProof/>
                <w:webHidden/>
                <w:sz w:val="24"/>
                <w:szCs w:val="24"/>
              </w:rPr>
              <w:fldChar w:fldCharType="separate"/>
            </w:r>
            <w:r w:rsidRPr="00F64894">
              <w:rPr>
                <w:rFonts w:ascii="宋体" w:eastAsia="宋体" w:hAnsi="宋体"/>
                <w:noProof/>
                <w:webHidden/>
                <w:sz w:val="24"/>
                <w:szCs w:val="24"/>
              </w:rPr>
              <w:t>12</w:t>
            </w:r>
            <w:r w:rsidRPr="00F64894">
              <w:rPr>
                <w:rFonts w:ascii="宋体" w:eastAsia="宋体" w:hAnsi="宋体"/>
                <w:noProof/>
                <w:webHidden/>
                <w:sz w:val="24"/>
                <w:szCs w:val="24"/>
              </w:rPr>
              <w:fldChar w:fldCharType="end"/>
            </w:r>
          </w:hyperlink>
        </w:p>
        <w:p w14:paraId="72FE77D0" w14:textId="4A9B7461" w:rsidR="00F64894" w:rsidRPr="00F64894" w:rsidRDefault="00F64894">
          <w:pPr>
            <w:pStyle w:val="TOC2"/>
            <w:tabs>
              <w:tab w:val="right" w:leader="dot" w:pos="8296"/>
            </w:tabs>
            <w:rPr>
              <w:rFonts w:ascii="宋体" w:eastAsia="宋体" w:hAnsi="宋体"/>
              <w:noProof/>
              <w:sz w:val="24"/>
              <w:szCs w:val="24"/>
            </w:rPr>
          </w:pPr>
          <w:hyperlink w:anchor="_Toc103640977" w:history="1">
            <w:r w:rsidRPr="00F64894">
              <w:rPr>
                <w:rStyle w:val="a9"/>
                <w:rFonts w:ascii="宋体" w:eastAsia="宋体" w:hAnsi="宋体" w:cs="Calibri"/>
                <w:noProof/>
                <w:sz w:val="24"/>
                <w:szCs w:val="24"/>
              </w:rPr>
              <w:t>2.1.4</w:t>
            </w:r>
            <w:r w:rsidRPr="00F64894">
              <w:rPr>
                <w:rStyle w:val="a9"/>
                <w:rFonts w:ascii="宋体" w:eastAsia="宋体" w:hAnsi="宋体"/>
                <w:noProof/>
                <w:sz w:val="24"/>
                <w:szCs w:val="24"/>
              </w:rPr>
              <w:t>财政融资理论</w:t>
            </w:r>
            <w:r w:rsidRPr="00F64894">
              <w:rPr>
                <w:rFonts w:ascii="宋体" w:eastAsia="宋体" w:hAnsi="宋体"/>
                <w:noProof/>
                <w:webHidden/>
                <w:sz w:val="24"/>
                <w:szCs w:val="24"/>
              </w:rPr>
              <w:tab/>
            </w:r>
            <w:r w:rsidRPr="00F64894">
              <w:rPr>
                <w:rFonts w:ascii="宋体" w:eastAsia="宋体" w:hAnsi="宋体"/>
                <w:noProof/>
                <w:webHidden/>
                <w:sz w:val="24"/>
                <w:szCs w:val="24"/>
              </w:rPr>
              <w:fldChar w:fldCharType="begin"/>
            </w:r>
            <w:r w:rsidRPr="00F64894">
              <w:rPr>
                <w:rFonts w:ascii="宋体" w:eastAsia="宋体" w:hAnsi="宋体"/>
                <w:noProof/>
                <w:webHidden/>
                <w:sz w:val="24"/>
                <w:szCs w:val="24"/>
              </w:rPr>
              <w:instrText xml:space="preserve"> PAGEREF _Toc103640977 \h </w:instrText>
            </w:r>
            <w:r w:rsidRPr="00F64894">
              <w:rPr>
                <w:rFonts w:ascii="宋体" w:eastAsia="宋体" w:hAnsi="宋体"/>
                <w:noProof/>
                <w:webHidden/>
                <w:sz w:val="24"/>
                <w:szCs w:val="24"/>
              </w:rPr>
            </w:r>
            <w:r w:rsidRPr="00F64894">
              <w:rPr>
                <w:rFonts w:ascii="宋体" w:eastAsia="宋体" w:hAnsi="宋体"/>
                <w:noProof/>
                <w:webHidden/>
                <w:sz w:val="24"/>
                <w:szCs w:val="24"/>
              </w:rPr>
              <w:fldChar w:fldCharType="separate"/>
            </w:r>
            <w:r w:rsidRPr="00F64894">
              <w:rPr>
                <w:rFonts w:ascii="宋体" w:eastAsia="宋体" w:hAnsi="宋体"/>
                <w:noProof/>
                <w:webHidden/>
                <w:sz w:val="24"/>
                <w:szCs w:val="24"/>
              </w:rPr>
              <w:t>13</w:t>
            </w:r>
            <w:r w:rsidRPr="00F64894">
              <w:rPr>
                <w:rFonts w:ascii="宋体" w:eastAsia="宋体" w:hAnsi="宋体"/>
                <w:noProof/>
                <w:webHidden/>
                <w:sz w:val="24"/>
                <w:szCs w:val="24"/>
              </w:rPr>
              <w:fldChar w:fldCharType="end"/>
            </w:r>
          </w:hyperlink>
        </w:p>
        <w:p w14:paraId="78190C23" w14:textId="1E58BDFB" w:rsidR="00F64894" w:rsidRPr="00F64894" w:rsidRDefault="00F64894">
          <w:pPr>
            <w:pStyle w:val="TOC2"/>
            <w:tabs>
              <w:tab w:val="right" w:leader="dot" w:pos="8296"/>
            </w:tabs>
            <w:rPr>
              <w:rFonts w:ascii="宋体" w:eastAsia="宋体" w:hAnsi="宋体"/>
              <w:noProof/>
              <w:sz w:val="24"/>
              <w:szCs w:val="24"/>
            </w:rPr>
          </w:pPr>
          <w:hyperlink w:anchor="_Toc103640979" w:history="1">
            <w:r w:rsidRPr="00F64894">
              <w:rPr>
                <w:rStyle w:val="a9"/>
                <w:rFonts w:ascii="宋体" w:eastAsia="宋体" w:hAnsi="宋体"/>
                <w:noProof/>
                <w:sz w:val="24"/>
                <w:szCs w:val="24"/>
              </w:rPr>
              <w:t>2.2房地产企业特点理论研究</w:t>
            </w:r>
            <w:r w:rsidRPr="00F64894">
              <w:rPr>
                <w:rFonts w:ascii="宋体" w:eastAsia="宋体" w:hAnsi="宋体"/>
                <w:noProof/>
                <w:webHidden/>
                <w:sz w:val="24"/>
                <w:szCs w:val="24"/>
              </w:rPr>
              <w:tab/>
            </w:r>
            <w:r w:rsidRPr="00F64894">
              <w:rPr>
                <w:rFonts w:ascii="宋体" w:eastAsia="宋体" w:hAnsi="宋体"/>
                <w:noProof/>
                <w:webHidden/>
                <w:sz w:val="24"/>
                <w:szCs w:val="24"/>
              </w:rPr>
              <w:fldChar w:fldCharType="begin"/>
            </w:r>
            <w:r w:rsidRPr="00F64894">
              <w:rPr>
                <w:rFonts w:ascii="宋体" w:eastAsia="宋体" w:hAnsi="宋体"/>
                <w:noProof/>
                <w:webHidden/>
                <w:sz w:val="24"/>
                <w:szCs w:val="24"/>
              </w:rPr>
              <w:instrText xml:space="preserve"> PAGEREF _Toc103640979 \h </w:instrText>
            </w:r>
            <w:r w:rsidRPr="00F64894">
              <w:rPr>
                <w:rFonts w:ascii="宋体" w:eastAsia="宋体" w:hAnsi="宋体"/>
                <w:noProof/>
                <w:webHidden/>
                <w:sz w:val="24"/>
                <w:szCs w:val="24"/>
              </w:rPr>
            </w:r>
            <w:r w:rsidRPr="00F64894">
              <w:rPr>
                <w:rFonts w:ascii="宋体" w:eastAsia="宋体" w:hAnsi="宋体"/>
                <w:noProof/>
                <w:webHidden/>
                <w:sz w:val="24"/>
                <w:szCs w:val="24"/>
              </w:rPr>
              <w:fldChar w:fldCharType="separate"/>
            </w:r>
            <w:r w:rsidRPr="00F64894">
              <w:rPr>
                <w:rFonts w:ascii="宋体" w:eastAsia="宋体" w:hAnsi="宋体"/>
                <w:noProof/>
                <w:webHidden/>
                <w:sz w:val="24"/>
                <w:szCs w:val="24"/>
              </w:rPr>
              <w:t>14</w:t>
            </w:r>
            <w:r w:rsidRPr="00F64894">
              <w:rPr>
                <w:rFonts w:ascii="宋体" w:eastAsia="宋体" w:hAnsi="宋体"/>
                <w:noProof/>
                <w:webHidden/>
                <w:sz w:val="24"/>
                <w:szCs w:val="24"/>
              </w:rPr>
              <w:fldChar w:fldCharType="end"/>
            </w:r>
          </w:hyperlink>
        </w:p>
        <w:p w14:paraId="65AE915A" w14:textId="242F3CD3" w:rsidR="00F64894" w:rsidRPr="00F64894" w:rsidRDefault="00F64894">
          <w:pPr>
            <w:pStyle w:val="TOC2"/>
            <w:tabs>
              <w:tab w:val="right" w:leader="dot" w:pos="8296"/>
            </w:tabs>
            <w:rPr>
              <w:rFonts w:ascii="宋体" w:eastAsia="宋体" w:hAnsi="宋体"/>
              <w:noProof/>
              <w:sz w:val="24"/>
              <w:szCs w:val="24"/>
            </w:rPr>
          </w:pPr>
          <w:hyperlink w:anchor="_Toc103640982" w:history="1">
            <w:r w:rsidRPr="00F64894">
              <w:rPr>
                <w:rStyle w:val="a9"/>
                <w:rFonts w:ascii="宋体" w:eastAsia="宋体" w:hAnsi="宋体"/>
                <w:noProof/>
                <w:sz w:val="24"/>
                <w:szCs w:val="24"/>
              </w:rPr>
              <w:t>2.3 “三道红线”政策对房地产企业融资影响的理论分析</w:t>
            </w:r>
            <w:r w:rsidRPr="00F64894">
              <w:rPr>
                <w:rFonts w:ascii="宋体" w:eastAsia="宋体" w:hAnsi="宋体"/>
                <w:noProof/>
                <w:webHidden/>
                <w:sz w:val="24"/>
                <w:szCs w:val="24"/>
              </w:rPr>
              <w:tab/>
            </w:r>
            <w:r w:rsidRPr="00F64894">
              <w:rPr>
                <w:rFonts w:ascii="宋体" w:eastAsia="宋体" w:hAnsi="宋体"/>
                <w:noProof/>
                <w:webHidden/>
                <w:sz w:val="24"/>
                <w:szCs w:val="24"/>
              </w:rPr>
              <w:fldChar w:fldCharType="begin"/>
            </w:r>
            <w:r w:rsidRPr="00F64894">
              <w:rPr>
                <w:rFonts w:ascii="宋体" w:eastAsia="宋体" w:hAnsi="宋体"/>
                <w:noProof/>
                <w:webHidden/>
                <w:sz w:val="24"/>
                <w:szCs w:val="24"/>
              </w:rPr>
              <w:instrText xml:space="preserve"> PAGEREF _Toc103640982 \h </w:instrText>
            </w:r>
            <w:r w:rsidRPr="00F64894">
              <w:rPr>
                <w:rFonts w:ascii="宋体" w:eastAsia="宋体" w:hAnsi="宋体"/>
                <w:noProof/>
                <w:webHidden/>
                <w:sz w:val="24"/>
                <w:szCs w:val="24"/>
              </w:rPr>
            </w:r>
            <w:r w:rsidRPr="00F64894">
              <w:rPr>
                <w:rFonts w:ascii="宋体" w:eastAsia="宋体" w:hAnsi="宋体"/>
                <w:noProof/>
                <w:webHidden/>
                <w:sz w:val="24"/>
                <w:szCs w:val="24"/>
              </w:rPr>
              <w:fldChar w:fldCharType="separate"/>
            </w:r>
            <w:r w:rsidRPr="00F64894">
              <w:rPr>
                <w:rFonts w:ascii="宋体" w:eastAsia="宋体" w:hAnsi="宋体"/>
                <w:noProof/>
                <w:webHidden/>
                <w:sz w:val="24"/>
                <w:szCs w:val="24"/>
              </w:rPr>
              <w:t>16</w:t>
            </w:r>
            <w:r w:rsidRPr="00F64894">
              <w:rPr>
                <w:rFonts w:ascii="宋体" w:eastAsia="宋体" w:hAnsi="宋体"/>
                <w:noProof/>
                <w:webHidden/>
                <w:sz w:val="24"/>
                <w:szCs w:val="24"/>
              </w:rPr>
              <w:fldChar w:fldCharType="end"/>
            </w:r>
          </w:hyperlink>
        </w:p>
        <w:p w14:paraId="750B173D" w14:textId="38B1746E" w:rsidR="00F64894" w:rsidRPr="00F64894" w:rsidRDefault="00F64894">
          <w:pPr>
            <w:pStyle w:val="TOC1"/>
            <w:tabs>
              <w:tab w:val="right" w:leader="dot" w:pos="8296"/>
            </w:tabs>
            <w:rPr>
              <w:rFonts w:ascii="宋体" w:eastAsia="宋体" w:hAnsi="宋体"/>
              <w:noProof/>
              <w:sz w:val="24"/>
              <w:szCs w:val="24"/>
            </w:rPr>
          </w:pPr>
          <w:hyperlink w:anchor="_Toc103640983" w:history="1">
            <w:r w:rsidRPr="00F64894">
              <w:rPr>
                <w:rStyle w:val="a9"/>
                <w:rFonts w:ascii="宋体" w:eastAsia="宋体" w:hAnsi="宋体"/>
                <w:noProof/>
                <w:sz w:val="24"/>
                <w:szCs w:val="24"/>
              </w:rPr>
              <w:t>第3章 “三道红线”政策对房地产企业影响的实证分析</w:t>
            </w:r>
            <w:r w:rsidRPr="00F64894">
              <w:rPr>
                <w:rFonts w:ascii="宋体" w:eastAsia="宋体" w:hAnsi="宋体"/>
                <w:noProof/>
                <w:webHidden/>
                <w:sz w:val="24"/>
                <w:szCs w:val="24"/>
              </w:rPr>
              <w:tab/>
            </w:r>
            <w:r w:rsidRPr="00F64894">
              <w:rPr>
                <w:rFonts w:ascii="宋体" w:eastAsia="宋体" w:hAnsi="宋体"/>
                <w:noProof/>
                <w:webHidden/>
                <w:sz w:val="24"/>
                <w:szCs w:val="24"/>
              </w:rPr>
              <w:fldChar w:fldCharType="begin"/>
            </w:r>
            <w:r w:rsidRPr="00F64894">
              <w:rPr>
                <w:rFonts w:ascii="宋体" w:eastAsia="宋体" w:hAnsi="宋体"/>
                <w:noProof/>
                <w:webHidden/>
                <w:sz w:val="24"/>
                <w:szCs w:val="24"/>
              </w:rPr>
              <w:instrText xml:space="preserve"> PAGEREF _Toc103640983 \h </w:instrText>
            </w:r>
            <w:r w:rsidRPr="00F64894">
              <w:rPr>
                <w:rFonts w:ascii="宋体" w:eastAsia="宋体" w:hAnsi="宋体"/>
                <w:noProof/>
                <w:webHidden/>
                <w:sz w:val="24"/>
                <w:szCs w:val="24"/>
              </w:rPr>
            </w:r>
            <w:r w:rsidRPr="00F64894">
              <w:rPr>
                <w:rFonts w:ascii="宋体" w:eastAsia="宋体" w:hAnsi="宋体"/>
                <w:noProof/>
                <w:webHidden/>
                <w:sz w:val="24"/>
                <w:szCs w:val="24"/>
              </w:rPr>
              <w:fldChar w:fldCharType="separate"/>
            </w:r>
            <w:r w:rsidRPr="00F64894">
              <w:rPr>
                <w:rFonts w:ascii="宋体" w:eastAsia="宋体" w:hAnsi="宋体"/>
                <w:noProof/>
                <w:webHidden/>
                <w:sz w:val="24"/>
                <w:szCs w:val="24"/>
              </w:rPr>
              <w:t>9</w:t>
            </w:r>
            <w:r w:rsidRPr="00F64894">
              <w:rPr>
                <w:rFonts w:ascii="宋体" w:eastAsia="宋体" w:hAnsi="宋体"/>
                <w:noProof/>
                <w:webHidden/>
                <w:sz w:val="24"/>
                <w:szCs w:val="24"/>
              </w:rPr>
              <w:fldChar w:fldCharType="end"/>
            </w:r>
          </w:hyperlink>
        </w:p>
        <w:p w14:paraId="45876E6E" w14:textId="646C34D6" w:rsidR="00F64894" w:rsidRPr="00F64894" w:rsidRDefault="00F64894">
          <w:pPr>
            <w:pStyle w:val="TOC2"/>
            <w:tabs>
              <w:tab w:val="right" w:leader="dot" w:pos="8296"/>
            </w:tabs>
            <w:rPr>
              <w:rFonts w:ascii="宋体" w:eastAsia="宋体" w:hAnsi="宋体"/>
              <w:noProof/>
              <w:sz w:val="24"/>
              <w:szCs w:val="24"/>
            </w:rPr>
          </w:pPr>
          <w:hyperlink w:anchor="_Toc103640984" w:history="1">
            <w:r w:rsidRPr="00F64894">
              <w:rPr>
                <w:rStyle w:val="a9"/>
                <w:rFonts w:ascii="宋体" w:eastAsia="宋体" w:hAnsi="宋体"/>
                <w:noProof/>
                <w:sz w:val="24"/>
                <w:szCs w:val="24"/>
              </w:rPr>
              <w:t>3.1 作出假设</w:t>
            </w:r>
            <w:r w:rsidRPr="00F64894">
              <w:rPr>
                <w:rFonts w:ascii="宋体" w:eastAsia="宋体" w:hAnsi="宋体"/>
                <w:noProof/>
                <w:webHidden/>
                <w:sz w:val="24"/>
                <w:szCs w:val="24"/>
              </w:rPr>
              <w:tab/>
            </w:r>
            <w:r w:rsidRPr="00F64894">
              <w:rPr>
                <w:rFonts w:ascii="宋体" w:eastAsia="宋体" w:hAnsi="宋体"/>
                <w:noProof/>
                <w:webHidden/>
                <w:sz w:val="24"/>
                <w:szCs w:val="24"/>
              </w:rPr>
              <w:fldChar w:fldCharType="begin"/>
            </w:r>
            <w:r w:rsidRPr="00F64894">
              <w:rPr>
                <w:rFonts w:ascii="宋体" w:eastAsia="宋体" w:hAnsi="宋体"/>
                <w:noProof/>
                <w:webHidden/>
                <w:sz w:val="24"/>
                <w:szCs w:val="24"/>
              </w:rPr>
              <w:instrText xml:space="preserve"> PAGEREF _Toc103640984 \h </w:instrText>
            </w:r>
            <w:r w:rsidRPr="00F64894">
              <w:rPr>
                <w:rFonts w:ascii="宋体" w:eastAsia="宋体" w:hAnsi="宋体"/>
                <w:noProof/>
                <w:webHidden/>
                <w:sz w:val="24"/>
                <w:szCs w:val="24"/>
              </w:rPr>
            </w:r>
            <w:r w:rsidRPr="00F64894">
              <w:rPr>
                <w:rFonts w:ascii="宋体" w:eastAsia="宋体" w:hAnsi="宋体"/>
                <w:noProof/>
                <w:webHidden/>
                <w:sz w:val="24"/>
                <w:szCs w:val="24"/>
              </w:rPr>
              <w:fldChar w:fldCharType="separate"/>
            </w:r>
            <w:r w:rsidRPr="00F64894">
              <w:rPr>
                <w:rFonts w:ascii="宋体" w:eastAsia="宋体" w:hAnsi="宋体"/>
                <w:noProof/>
                <w:webHidden/>
                <w:sz w:val="24"/>
                <w:szCs w:val="24"/>
              </w:rPr>
              <w:t>9</w:t>
            </w:r>
            <w:r w:rsidRPr="00F64894">
              <w:rPr>
                <w:rFonts w:ascii="宋体" w:eastAsia="宋体" w:hAnsi="宋体"/>
                <w:noProof/>
                <w:webHidden/>
                <w:sz w:val="24"/>
                <w:szCs w:val="24"/>
              </w:rPr>
              <w:fldChar w:fldCharType="end"/>
            </w:r>
          </w:hyperlink>
        </w:p>
        <w:p w14:paraId="77A441C2" w14:textId="2752F06C" w:rsidR="00F64894" w:rsidRPr="00F64894" w:rsidRDefault="00F64894">
          <w:pPr>
            <w:pStyle w:val="TOC2"/>
            <w:tabs>
              <w:tab w:val="right" w:leader="dot" w:pos="8296"/>
            </w:tabs>
            <w:rPr>
              <w:rFonts w:ascii="宋体" w:eastAsia="宋体" w:hAnsi="宋体"/>
              <w:noProof/>
              <w:sz w:val="24"/>
              <w:szCs w:val="24"/>
            </w:rPr>
          </w:pPr>
          <w:hyperlink w:anchor="_Toc103640985" w:history="1">
            <w:r w:rsidRPr="00F64894">
              <w:rPr>
                <w:rStyle w:val="a9"/>
                <w:rFonts w:ascii="宋体" w:eastAsia="宋体" w:hAnsi="宋体"/>
                <w:noProof/>
                <w:sz w:val="24"/>
                <w:szCs w:val="24"/>
              </w:rPr>
              <w:t>3.2 样本设计</w:t>
            </w:r>
            <w:r w:rsidRPr="00F64894">
              <w:rPr>
                <w:rFonts w:ascii="宋体" w:eastAsia="宋体" w:hAnsi="宋体"/>
                <w:noProof/>
                <w:webHidden/>
                <w:sz w:val="24"/>
                <w:szCs w:val="24"/>
              </w:rPr>
              <w:tab/>
            </w:r>
            <w:r w:rsidRPr="00F64894">
              <w:rPr>
                <w:rFonts w:ascii="宋体" w:eastAsia="宋体" w:hAnsi="宋体"/>
                <w:noProof/>
                <w:webHidden/>
                <w:sz w:val="24"/>
                <w:szCs w:val="24"/>
              </w:rPr>
              <w:fldChar w:fldCharType="begin"/>
            </w:r>
            <w:r w:rsidRPr="00F64894">
              <w:rPr>
                <w:rFonts w:ascii="宋体" w:eastAsia="宋体" w:hAnsi="宋体"/>
                <w:noProof/>
                <w:webHidden/>
                <w:sz w:val="24"/>
                <w:szCs w:val="24"/>
              </w:rPr>
              <w:instrText xml:space="preserve"> PAGEREF _Toc103640985 \h </w:instrText>
            </w:r>
            <w:r w:rsidRPr="00F64894">
              <w:rPr>
                <w:rFonts w:ascii="宋体" w:eastAsia="宋体" w:hAnsi="宋体"/>
                <w:noProof/>
                <w:webHidden/>
                <w:sz w:val="24"/>
                <w:szCs w:val="24"/>
              </w:rPr>
            </w:r>
            <w:r w:rsidRPr="00F64894">
              <w:rPr>
                <w:rFonts w:ascii="宋体" w:eastAsia="宋体" w:hAnsi="宋体"/>
                <w:noProof/>
                <w:webHidden/>
                <w:sz w:val="24"/>
                <w:szCs w:val="24"/>
              </w:rPr>
              <w:fldChar w:fldCharType="separate"/>
            </w:r>
            <w:r w:rsidRPr="00F64894">
              <w:rPr>
                <w:rFonts w:ascii="宋体" w:eastAsia="宋体" w:hAnsi="宋体"/>
                <w:noProof/>
                <w:webHidden/>
                <w:sz w:val="24"/>
                <w:szCs w:val="24"/>
              </w:rPr>
              <w:t>9</w:t>
            </w:r>
            <w:r w:rsidRPr="00F64894">
              <w:rPr>
                <w:rFonts w:ascii="宋体" w:eastAsia="宋体" w:hAnsi="宋体"/>
                <w:noProof/>
                <w:webHidden/>
                <w:sz w:val="24"/>
                <w:szCs w:val="24"/>
              </w:rPr>
              <w:fldChar w:fldCharType="end"/>
            </w:r>
          </w:hyperlink>
        </w:p>
        <w:p w14:paraId="639FE382" w14:textId="3FDDC19E" w:rsidR="00F64894" w:rsidRPr="00F64894" w:rsidRDefault="00F64894">
          <w:pPr>
            <w:pStyle w:val="TOC2"/>
            <w:tabs>
              <w:tab w:val="right" w:leader="dot" w:pos="8296"/>
            </w:tabs>
            <w:rPr>
              <w:rFonts w:ascii="宋体" w:eastAsia="宋体" w:hAnsi="宋体"/>
              <w:noProof/>
              <w:sz w:val="24"/>
              <w:szCs w:val="24"/>
            </w:rPr>
          </w:pPr>
          <w:hyperlink w:anchor="_Toc103640988" w:history="1">
            <w:r w:rsidRPr="00F64894">
              <w:rPr>
                <w:rStyle w:val="a9"/>
                <w:rFonts w:ascii="宋体" w:eastAsia="宋体" w:hAnsi="宋体"/>
                <w:noProof/>
                <w:sz w:val="24"/>
                <w:szCs w:val="24"/>
              </w:rPr>
              <w:t>3.3数据与模型建立</w:t>
            </w:r>
            <w:r w:rsidRPr="00F64894">
              <w:rPr>
                <w:rFonts w:ascii="宋体" w:eastAsia="宋体" w:hAnsi="宋体"/>
                <w:noProof/>
                <w:webHidden/>
                <w:sz w:val="24"/>
                <w:szCs w:val="24"/>
              </w:rPr>
              <w:tab/>
            </w:r>
            <w:r w:rsidRPr="00F64894">
              <w:rPr>
                <w:rFonts w:ascii="宋体" w:eastAsia="宋体" w:hAnsi="宋体"/>
                <w:noProof/>
                <w:webHidden/>
                <w:sz w:val="24"/>
                <w:szCs w:val="24"/>
              </w:rPr>
              <w:fldChar w:fldCharType="begin"/>
            </w:r>
            <w:r w:rsidRPr="00F64894">
              <w:rPr>
                <w:rFonts w:ascii="宋体" w:eastAsia="宋体" w:hAnsi="宋体"/>
                <w:noProof/>
                <w:webHidden/>
                <w:sz w:val="24"/>
                <w:szCs w:val="24"/>
              </w:rPr>
              <w:instrText xml:space="preserve"> PAGEREF _Toc103640988 \h </w:instrText>
            </w:r>
            <w:r w:rsidRPr="00F64894">
              <w:rPr>
                <w:rFonts w:ascii="宋体" w:eastAsia="宋体" w:hAnsi="宋体"/>
                <w:noProof/>
                <w:webHidden/>
                <w:sz w:val="24"/>
                <w:szCs w:val="24"/>
              </w:rPr>
            </w:r>
            <w:r w:rsidRPr="00F64894">
              <w:rPr>
                <w:rFonts w:ascii="宋体" w:eastAsia="宋体" w:hAnsi="宋体"/>
                <w:noProof/>
                <w:webHidden/>
                <w:sz w:val="24"/>
                <w:szCs w:val="24"/>
              </w:rPr>
              <w:fldChar w:fldCharType="separate"/>
            </w:r>
            <w:r w:rsidRPr="00F64894">
              <w:rPr>
                <w:rFonts w:ascii="宋体" w:eastAsia="宋体" w:hAnsi="宋体"/>
                <w:noProof/>
                <w:webHidden/>
                <w:sz w:val="24"/>
                <w:szCs w:val="24"/>
              </w:rPr>
              <w:t>11</w:t>
            </w:r>
            <w:r w:rsidRPr="00F64894">
              <w:rPr>
                <w:rFonts w:ascii="宋体" w:eastAsia="宋体" w:hAnsi="宋体"/>
                <w:noProof/>
                <w:webHidden/>
                <w:sz w:val="24"/>
                <w:szCs w:val="24"/>
              </w:rPr>
              <w:fldChar w:fldCharType="end"/>
            </w:r>
          </w:hyperlink>
        </w:p>
        <w:p w14:paraId="55BAFBE5" w14:textId="3D23D5B8" w:rsidR="00F64894" w:rsidRPr="00F64894" w:rsidRDefault="00F64894">
          <w:pPr>
            <w:pStyle w:val="TOC2"/>
            <w:tabs>
              <w:tab w:val="right" w:leader="dot" w:pos="8296"/>
            </w:tabs>
            <w:rPr>
              <w:rFonts w:ascii="宋体" w:eastAsia="宋体" w:hAnsi="宋体"/>
              <w:noProof/>
              <w:sz w:val="24"/>
              <w:szCs w:val="24"/>
            </w:rPr>
          </w:pPr>
          <w:hyperlink w:anchor="_Toc103640992" w:history="1">
            <w:r w:rsidRPr="00F64894">
              <w:rPr>
                <w:rStyle w:val="a9"/>
                <w:rFonts w:ascii="宋体" w:eastAsia="宋体" w:hAnsi="宋体"/>
                <w:noProof/>
                <w:sz w:val="24"/>
                <w:szCs w:val="24"/>
              </w:rPr>
              <w:t>3.4实证分析</w:t>
            </w:r>
            <w:r w:rsidRPr="00F64894">
              <w:rPr>
                <w:rFonts w:ascii="宋体" w:eastAsia="宋体" w:hAnsi="宋体"/>
                <w:noProof/>
                <w:webHidden/>
                <w:sz w:val="24"/>
                <w:szCs w:val="24"/>
              </w:rPr>
              <w:tab/>
            </w:r>
            <w:r w:rsidRPr="00F64894">
              <w:rPr>
                <w:rFonts w:ascii="宋体" w:eastAsia="宋体" w:hAnsi="宋体"/>
                <w:noProof/>
                <w:webHidden/>
                <w:sz w:val="24"/>
                <w:szCs w:val="24"/>
              </w:rPr>
              <w:fldChar w:fldCharType="begin"/>
            </w:r>
            <w:r w:rsidRPr="00F64894">
              <w:rPr>
                <w:rFonts w:ascii="宋体" w:eastAsia="宋体" w:hAnsi="宋体"/>
                <w:noProof/>
                <w:webHidden/>
                <w:sz w:val="24"/>
                <w:szCs w:val="24"/>
              </w:rPr>
              <w:instrText xml:space="preserve"> PAGEREF _Toc103640992 \h </w:instrText>
            </w:r>
            <w:r w:rsidRPr="00F64894">
              <w:rPr>
                <w:rFonts w:ascii="宋体" w:eastAsia="宋体" w:hAnsi="宋体"/>
                <w:noProof/>
                <w:webHidden/>
                <w:sz w:val="24"/>
                <w:szCs w:val="24"/>
              </w:rPr>
            </w:r>
            <w:r w:rsidRPr="00F64894">
              <w:rPr>
                <w:rFonts w:ascii="宋体" w:eastAsia="宋体" w:hAnsi="宋体"/>
                <w:noProof/>
                <w:webHidden/>
                <w:sz w:val="24"/>
                <w:szCs w:val="24"/>
              </w:rPr>
              <w:fldChar w:fldCharType="separate"/>
            </w:r>
            <w:r w:rsidRPr="00F64894">
              <w:rPr>
                <w:rFonts w:ascii="宋体" w:eastAsia="宋体" w:hAnsi="宋体"/>
                <w:noProof/>
                <w:webHidden/>
                <w:sz w:val="24"/>
                <w:szCs w:val="24"/>
              </w:rPr>
              <w:t>14</w:t>
            </w:r>
            <w:r w:rsidRPr="00F64894">
              <w:rPr>
                <w:rFonts w:ascii="宋体" w:eastAsia="宋体" w:hAnsi="宋体"/>
                <w:noProof/>
                <w:webHidden/>
                <w:sz w:val="24"/>
                <w:szCs w:val="24"/>
              </w:rPr>
              <w:fldChar w:fldCharType="end"/>
            </w:r>
          </w:hyperlink>
        </w:p>
        <w:p w14:paraId="160A0FC5" w14:textId="71C37F3A" w:rsidR="00F64894" w:rsidRPr="00F64894" w:rsidRDefault="00F64894">
          <w:pPr>
            <w:pStyle w:val="TOC2"/>
            <w:tabs>
              <w:tab w:val="right" w:leader="dot" w:pos="8296"/>
            </w:tabs>
            <w:rPr>
              <w:rFonts w:ascii="宋体" w:eastAsia="宋体" w:hAnsi="宋体"/>
              <w:noProof/>
              <w:sz w:val="24"/>
              <w:szCs w:val="24"/>
            </w:rPr>
          </w:pPr>
          <w:hyperlink w:anchor="_Toc103640996" w:history="1">
            <w:r w:rsidRPr="00F64894">
              <w:rPr>
                <w:rStyle w:val="a9"/>
                <w:rFonts w:ascii="宋体" w:eastAsia="宋体" w:hAnsi="宋体"/>
                <w:noProof/>
                <w:sz w:val="24"/>
                <w:szCs w:val="24"/>
              </w:rPr>
              <w:t>3.5 小结</w:t>
            </w:r>
            <w:r w:rsidRPr="00F64894">
              <w:rPr>
                <w:rFonts w:ascii="宋体" w:eastAsia="宋体" w:hAnsi="宋体"/>
                <w:noProof/>
                <w:webHidden/>
                <w:sz w:val="24"/>
                <w:szCs w:val="24"/>
              </w:rPr>
              <w:tab/>
            </w:r>
            <w:r w:rsidRPr="00F64894">
              <w:rPr>
                <w:rFonts w:ascii="宋体" w:eastAsia="宋体" w:hAnsi="宋体"/>
                <w:noProof/>
                <w:webHidden/>
                <w:sz w:val="24"/>
                <w:szCs w:val="24"/>
              </w:rPr>
              <w:fldChar w:fldCharType="begin"/>
            </w:r>
            <w:r w:rsidRPr="00F64894">
              <w:rPr>
                <w:rFonts w:ascii="宋体" w:eastAsia="宋体" w:hAnsi="宋体"/>
                <w:noProof/>
                <w:webHidden/>
                <w:sz w:val="24"/>
                <w:szCs w:val="24"/>
              </w:rPr>
              <w:instrText xml:space="preserve"> PAGEREF _Toc103640996 \h </w:instrText>
            </w:r>
            <w:r w:rsidRPr="00F64894">
              <w:rPr>
                <w:rFonts w:ascii="宋体" w:eastAsia="宋体" w:hAnsi="宋体"/>
                <w:noProof/>
                <w:webHidden/>
                <w:sz w:val="24"/>
                <w:szCs w:val="24"/>
              </w:rPr>
            </w:r>
            <w:r w:rsidRPr="00F64894">
              <w:rPr>
                <w:rFonts w:ascii="宋体" w:eastAsia="宋体" w:hAnsi="宋体"/>
                <w:noProof/>
                <w:webHidden/>
                <w:sz w:val="24"/>
                <w:szCs w:val="24"/>
              </w:rPr>
              <w:fldChar w:fldCharType="separate"/>
            </w:r>
            <w:r w:rsidRPr="00F64894">
              <w:rPr>
                <w:rFonts w:ascii="宋体" w:eastAsia="宋体" w:hAnsi="宋体"/>
                <w:noProof/>
                <w:webHidden/>
                <w:sz w:val="24"/>
                <w:szCs w:val="24"/>
              </w:rPr>
              <w:t>18</w:t>
            </w:r>
            <w:r w:rsidRPr="00F64894">
              <w:rPr>
                <w:rFonts w:ascii="宋体" w:eastAsia="宋体" w:hAnsi="宋体"/>
                <w:noProof/>
                <w:webHidden/>
                <w:sz w:val="24"/>
                <w:szCs w:val="24"/>
              </w:rPr>
              <w:fldChar w:fldCharType="end"/>
            </w:r>
          </w:hyperlink>
        </w:p>
        <w:p w14:paraId="1B0BA560" w14:textId="6DDFEDC4" w:rsidR="00F64894" w:rsidRPr="00F64894" w:rsidRDefault="00F64894">
          <w:pPr>
            <w:pStyle w:val="TOC1"/>
            <w:tabs>
              <w:tab w:val="right" w:leader="dot" w:pos="8296"/>
            </w:tabs>
            <w:rPr>
              <w:rFonts w:ascii="宋体" w:eastAsia="宋体" w:hAnsi="宋体"/>
              <w:noProof/>
              <w:sz w:val="24"/>
              <w:szCs w:val="24"/>
            </w:rPr>
          </w:pPr>
          <w:hyperlink w:anchor="_Toc103640997" w:history="1">
            <w:r w:rsidRPr="00F64894">
              <w:rPr>
                <w:rStyle w:val="a9"/>
                <w:rFonts w:ascii="宋体" w:eastAsia="宋体" w:hAnsi="宋体"/>
                <w:noProof/>
                <w:sz w:val="24"/>
                <w:szCs w:val="24"/>
              </w:rPr>
              <w:t>第4章 综合研究结论以及对策建议</w:t>
            </w:r>
            <w:r w:rsidRPr="00F64894">
              <w:rPr>
                <w:rFonts w:ascii="宋体" w:eastAsia="宋体" w:hAnsi="宋体"/>
                <w:noProof/>
                <w:webHidden/>
                <w:sz w:val="24"/>
                <w:szCs w:val="24"/>
              </w:rPr>
              <w:tab/>
            </w:r>
            <w:r w:rsidRPr="00F64894">
              <w:rPr>
                <w:rFonts w:ascii="宋体" w:eastAsia="宋体" w:hAnsi="宋体"/>
                <w:noProof/>
                <w:webHidden/>
                <w:sz w:val="24"/>
                <w:szCs w:val="24"/>
              </w:rPr>
              <w:fldChar w:fldCharType="begin"/>
            </w:r>
            <w:r w:rsidRPr="00F64894">
              <w:rPr>
                <w:rFonts w:ascii="宋体" w:eastAsia="宋体" w:hAnsi="宋体"/>
                <w:noProof/>
                <w:webHidden/>
                <w:sz w:val="24"/>
                <w:szCs w:val="24"/>
              </w:rPr>
              <w:instrText xml:space="preserve"> PAGEREF _Toc103640997 \h </w:instrText>
            </w:r>
            <w:r w:rsidRPr="00F64894">
              <w:rPr>
                <w:rFonts w:ascii="宋体" w:eastAsia="宋体" w:hAnsi="宋体"/>
                <w:noProof/>
                <w:webHidden/>
                <w:sz w:val="24"/>
                <w:szCs w:val="24"/>
              </w:rPr>
            </w:r>
            <w:r w:rsidRPr="00F64894">
              <w:rPr>
                <w:rFonts w:ascii="宋体" w:eastAsia="宋体" w:hAnsi="宋体"/>
                <w:noProof/>
                <w:webHidden/>
                <w:sz w:val="24"/>
                <w:szCs w:val="24"/>
              </w:rPr>
              <w:fldChar w:fldCharType="separate"/>
            </w:r>
            <w:r w:rsidRPr="00F64894">
              <w:rPr>
                <w:rFonts w:ascii="宋体" w:eastAsia="宋体" w:hAnsi="宋体"/>
                <w:noProof/>
                <w:webHidden/>
                <w:sz w:val="24"/>
                <w:szCs w:val="24"/>
              </w:rPr>
              <w:t>19</w:t>
            </w:r>
            <w:r w:rsidRPr="00F64894">
              <w:rPr>
                <w:rFonts w:ascii="宋体" w:eastAsia="宋体" w:hAnsi="宋体"/>
                <w:noProof/>
                <w:webHidden/>
                <w:sz w:val="24"/>
                <w:szCs w:val="24"/>
              </w:rPr>
              <w:fldChar w:fldCharType="end"/>
            </w:r>
          </w:hyperlink>
        </w:p>
        <w:p w14:paraId="28D41F2E" w14:textId="46EF8F09" w:rsidR="00F64894" w:rsidRPr="00F64894" w:rsidRDefault="00F64894">
          <w:pPr>
            <w:pStyle w:val="TOC2"/>
            <w:tabs>
              <w:tab w:val="right" w:leader="dot" w:pos="8296"/>
            </w:tabs>
            <w:rPr>
              <w:rFonts w:ascii="宋体" w:eastAsia="宋体" w:hAnsi="宋体"/>
              <w:noProof/>
              <w:sz w:val="24"/>
              <w:szCs w:val="24"/>
            </w:rPr>
          </w:pPr>
          <w:hyperlink w:anchor="_Toc103640998" w:history="1">
            <w:r w:rsidRPr="00F64894">
              <w:rPr>
                <w:rStyle w:val="a9"/>
                <w:rFonts w:ascii="宋体" w:eastAsia="宋体" w:hAnsi="宋体"/>
                <w:noProof/>
                <w:sz w:val="24"/>
                <w:szCs w:val="24"/>
              </w:rPr>
              <w:t>4.1 研究结论</w:t>
            </w:r>
            <w:r w:rsidRPr="00F64894">
              <w:rPr>
                <w:rFonts w:ascii="宋体" w:eastAsia="宋体" w:hAnsi="宋体"/>
                <w:noProof/>
                <w:webHidden/>
                <w:sz w:val="24"/>
                <w:szCs w:val="24"/>
              </w:rPr>
              <w:tab/>
            </w:r>
            <w:r w:rsidRPr="00F64894">
              <w:rPr>
                <w:rFonts w:ascii="宋体" w:eastAsia="宋体" w:hAnsi="宋体"/>
                <w:noProof/>
                <w:webHidden/>
                <w:sz w:val="24"/>
                <w:szCs w:val="24"/>
              </w:rPr>
              <w:fldChar w:fldCharType="begin"/>
            </w:r>
            <w:r w:rsidRPr="00F64894">
              <w:rPr>
                <w:rFonts w:ascii="宋体" w:eastAsia="宋体" w:hAnsi="宋体"/>
                <w:noProof/>
                <w:webHidden/>
                <w:sz w:val="24"/>
                <w:szCs w:val="24"/>
              </w:rPr>
              <w:instrText xml:space="preserve"> PAGEREF _Toc103640998 \h </w:instrText>
            </w:r>
            <w:r w:rsidRPr="00F64894">
              <w:rPr>
                <w:rFonts w:ascii="宋体" w:eastAsia="宋体" w:hAnsi="宋体"/>
                <w:noProof/>
                <w:webHidden/>
                <w:sz w:val="24"/>
                <w:szCs w:val="24"/>
              </w:rPr>
            </w:r>
            <w:r w:rsidRPr="00F64894">
              <w:rPr>
                <w:rFonts w:ascii="宋体" w:eastAsia="宋体" w:hAnsi="宋体"/>
                <w:noProof/>
                <w:webHidden/>
                <w:sz w:val="24"/>
                <w:szCs w:val="24"/>
              </w:rPr>
              <w:fldChar w:fldCharType="separate"/>
            </w:r>
            <w:r w:rsidRPr="00F64894">
              <w:rPr>
                <w:rFonts w:ascii="宋体" w:eastAsia="宋体" w:hAnsi="宋体"/>
                <w:noProof/>
                <w:webHidden/>
                <w:sz w:val="24"/>
                <w:szCs w:val="24"/>
              </w:rPr>
              <w:t>19</w:t>
            </w:r>
            <w:r w:rsidRPr="00F64894">
              <w:rPr>
                <w:rFonts w:ascii="宋体" w:eastAsia="宋体" w:hAnsi="宋体"/>
                <w:noProof/>
                <w:webHidden/>
                <w:sz w:val="24"/>
                <w:szCs w:val="24"/>
              </w:rPr>
              <w:fldChar w:fldCharType="end"/>
            </w:r>
          </w:hyperlink>
        </w:p>
        <w:p w14:paraId="6CBCF03D" w14:textId="55E8D41C" w:rsidR="00F64894" w:rsidRDefault="00F64894">
          <w:pPr>
            <w:pStyle w:val="TOC2"/>
            <w:tabs>
              <w:tab w:val="right" w:leader="dot" w:pos="8296"/>
            </w:tabs>
            <w:rPr>
              <w:noProof/>
            </w:rPr>
          </w:pPr>
          <w:hyperlink w:anchor="_Toc103640999" w:history="1">
            <w:r w:rsidRPr="00F64894">
              <w:rPr>
                <w:rStyle w:val="a9"/>
                <w:rFonts w:ascii="宋体" w:eastAsia="宋体" w:hAnsi="宋体"/>
                <w:noProof/>
                <w:sz w:val="24"/>
                <w:szCs w:val="24"/>
              </w:rPr>
              <w:t>4.2 对策建议</w:t>
            </w:r>
            <w:r w:rsidRPr="00F64894">
              <w:rPr>
                <w:rFonts w:ascii="宋体" w:eastAsia="宋体" w:hAnsi="宋体"/>
                <w:noProof/>
                <w:webHidden/>
                <w:sz w:val="24"/>
                <w:szCs w:val="24"/>
              </w:rPr>
              <w:tab/>
            </w:r>
            <w:r w:rsidRPr="00F64894">
              <w:rPr>
                <w:rFonts w:ascii="宋体" w:eastAsia="宋体" w:hAnsi="宋体"/>
                <w:noProof/>
                <w:webHidden/>
                <w:sz w:val="24"/>
                <w:szCs w:val="24"/>
              </w:rPr>
              <w:fldChar w:fldCharType="begin"/>
            </w:r>
            <w:r w:rsidRPr="00F64894">
              <w:rPr>
                <w:rFonts w:ascii="宋体" w:eastAsia="宋体" w:hAnsi="宋体"/>
                <w:noProof/>
                <w:webHidden/>
                <w:sz w:val="24"/>
                <w:szCs w:val="24"/>
              </w:rPr>
              <w:instrText xml:space="preserve"> PAGEREF _Toc103640999 \h </w:instrText>
            </w:r>
            <w:r w:rsidRPr="00F64894">
              <w:rPr>
                <w:rFonts w:ascii="宋体" w:eastAsia="宋体" w:hAnsi="宋体"/>
                <w:noProof/>
                <w:webHidden/>
                <w:sz w:val="24"/>
                <w:szCs w:val="24"/>
              </w:rPr>
            </w:r>
            <w:r w:rsidRPr="00F64894">
              <w:rPr>
                <w:rFonts w:ascii="宋体" w:eastAsia="宋体" w:hAnsi="宋体"/>
                <w:noProof/>
                <w:webHidden/>
                <w:sz w:val="24"/>
                <w:szCs w:val="24"/>
              </w:rPr>
              <w:fldChar w:fldCharType="separate"/>
            </w:r>
            <w:r w:rsidRPr="00F64894">
              <w:rPr>
                <w:rFonts w:ascii="宋体" w:eastAsia="宋体" w:hAnsi="宋体"/>
                <w:noProof/>
                <w:webHidden/>
                <w:sz w:val="24"/>
                <w:szCs w:val="24"/>
              </w:rPr>
              <w:t>19</w:t>
            </w:r>
            <w:r w:rsidRPr="00F64894">
              <w:rPr>
                <w:rFonts w:ascii="宋体" w:eastAsia="宋体" w:hAnsi="宋体"/>
                <w:noProof/>
                <w:webHidden/>
                <w:sz w:val="24"/>
                <w:szCs w:val="24"/>
              </w:rPr>
              <w:fldChar w:fldCharType="end"/>
            </w:r>
          </w:hyperlink>
        </w:p>
        <w:p w14:paraId="31CB366C" w14:textId="0871EC64" w:rsidR="00F85265" w:rsidRDefault="00F85265" w:rsidP="00F85265">
          <w:pPr>
            <w:rPr>
              <w:lang w:val="zh-CN"/>
            </w:rPr>
          </w:pPr>
          <w:r w:rsidRPr="00F85265">
            <w:rPr>
              <w:lang w:val="zh-CN"/>
            </w:rPr>
            <w:fldChar w:fldCharType="end"/>
          </w:r>
        </w:p>
        <w:p w14:paraId="297222B6" w14:textId="77777777" w:rsidR="00F85265" w:rsidRDefault="00F85265" w:rsidP="00F85265">
          <w:pPr>
            <w:rPr>
              <w:lang w:val="zh-CN"/>
            </w:rPr>
          </w:pPr>
        </w:p>
        <w:p w14:paraId="16160035" w14:textId="77777777" w:rsidR="00F85265" w:rsidRDefault="00F85265" w:rsidP="00F85265">
          <w:pPr>
            <w:rPr>
              <w:lang w:val="zh-CN"/>
            </w:rPr>
          </w:pPr>
        </w:p>
        <w:p w14:paraId="1B205F40" w14:textId="77777777" w:rsidR="00F85265" w:rsidRDefault="00F85265" w:rsidP="00F85265">
          <w:pPr>
            <w:rPr>
              <w:lang w:val="zh-CN"/>
            </w:rPr>
          </w:pPr>
        </w:p>
        <w:p w14:paraId="559D00CD" w14:textId="77777777" w:rsidR="00F85265" w:rsidRDefault="00F85265" w:rsidP="00F85265">
          <w:pPr>
            <w:rPr>
              <w:lang w:val="zh-CN"/>
            </w:rPr>
          </w:pPr>
        </w:p>
        <w:p w14:paraId="13B56F0A" w14:textId="77777777" w:rsidR="00F85265" w:rsidRDefault="00F85265" w:rsidP="00F85265">
          <w:pPr>
            <w:rPr>
              <w:lang w:val="zh-CN"/>
            </w:rPr>
          </w:pPr>
        </w:p>
        <w:p w14:paraId="47CE2D5F" w14:textId="77777777" w:rsidR="00F85265" w:rsidRDefault="00F85265" w:rsidP="00F85265">
          <w:pPr>
            <w:rPr>
              <w:lang w:val="zh-CN"/>
            </w:rPr>
          </w:pPr>
        </w:p>
        <w:p w14:paraId="2EB754F9" w14:textId="5EF1D255" w:rsidR="00F85265" w:rsidRPr="00F85265" w:rsidRDefault="000660BC" w:rsidP="00F85265">
          <w:pPr>
            <w:rPr>
              <w:b/>
              <w:bCs/>
              <w:lang w:val="zh-CN"/>
            </w:rPr>
          </w:pPr>
        </w:p>
      </w:sdtContent>
    </w:sdt>
    <w:bookmarkEnd w:id="4" w:displacedByCustomXml="prev"/>
    <w:p w14:paraId="7E20620C" w14:textId="77777777" w:rsidR="00F85265" w:rsidRPr="00F85265" w:rsidRDefault="00F85265" w:rsidP="00F85265">
      <w:pPr>
        <w:pStyle w:val="1"/>
        <w:numPr>
          <w:ilvl w:val="0"/>
          <w:numId w:val="13"/>
        </w:numPr>
        <w:jc w:val="center"/>
        <w:rPr>
          <w:rFonts w:ascii="黑体" w:eastAsia="黑体" w:hAnsi="黑体"/>
          <w:sz w:val="36"/>
          <w:szCs w:val="36"/>
        </w:rPr>
      </w:pPr>
      <w:bookmarkStart w:id="5" w:name="_Toc103640958"/>
      <w:r w:rsidRPr="00F85265">
        <w:rPr>
          <w:rFonts w:ascii="黑体" w:eastAsia="黑体" w:hAnsi="黑体" w:hint="eastAsia"/>
          <w:sz w:val="36"/>
          <w:szCs w:val="36"/>
        </w:rPr>
        <w:t>绪论</w:t>
      </w:r>
      <w:bookmarkEnd w:id="5"/>
    </w:p>
    <w:p w14:paraId="3B5E60CB" w14:textId="77777777" w:rsidR="00F85265" w:rsidRPr="00F85265" w:rsidRDefault="00F85265" w:rsidP="00F85265">
      <w:pPr>
        <w:pStyle w:val="2"/>
        <w:rPr>
          <w:rFonts w:ascii="黑体" w:hAnsi="黑体"/>
          <w:szCs w:val="30"/>
        </w:rPr>
      </w:pPr>
      <w:bookmarkStart w:id="6" w:name="_Toc103640959"/>
      <w:r w:rsidRPr="00F85265">
        <w:rPr>
          <w:rFonts w:ascii="黑体" w:hAnsi="黑体" w:hint="eastAsia"/>
          <w:szCs w:val="30"/>
        </w:rPr>
        <w:t>1</w:t>
      </w:r>
      <w:r w:rsidRPr="00F85265">
        <w:rPr>
          <w:rFonts w:ascii="黑体" w:hAnsi="黑体"/>
          <w:szCs w:val="30"/>
        </w:rPr>
        <w:t>.1</w:t>
      </w:r>
      <w:r w:rsidRPr="00F85265">
        <w:rPr>
          <w:rFonts w:ascii="黑体" w:hAnsi="黑体" w:hint="eastAsia"/>
          <w:szCs w:val="30"/>
        </w:rPr>
        <w:t>研究背景、目的及意义</w:t>
      </w:r>
      <w:bookmarkEnd w:id="6"/>
    </w:p>
    <w:p w14:paraId="2EB41E18" w14:textId="77777777" w:rsidR="00F85265" w:rsidRPr="00F85265" w:rsidRDefault="00F85265" w:rsidP="00F85265">
      <w:pPr>
        <w:pStyle w:val="3"/>
        <w:rPr>
          <w:szCs w:val="30"/>
        </w:rPr>
      </w:pPr>
      <w:bookmarkStart w:id="7" w:name="_Toc103640960"/>
      <w:r w:rsidRPr="00F85265">
        <w:rPr>
          <w:rFonts w:hint="eastAsia"/>
          <w:szCs w:val="30"/>
        </w:rPr>
        <w:t>1</w:t>
      </w:r>
      <w:r w:rsidRPr="00F85265">
        <w:rPr>
          <w:szCs w:val="30"/>
        </w:rPr>
        <w:t xml:space="preserve">.1.1 </w:t>
      </w:r>
      <w:r w:rsidRPr="00F85265">
        <w:rPr>
          <w:rFonts w:hint="eastAsia"/>
          <w:szCs w:val="30"/>
        </w:rPr>
        <w:t>研究背景</w:t>
      </w:r>
      <w:bookmarkEnd w:id="7"/>
    </w:p>
    <w:p w14:paraId="4EF34A19" w14:textId="77777777" w:rsidR="00F85265" w:rsidRPr="00F85265" w:rsidRDefault="00F85265" w:rsidP="00F85265">
      <w:pPr>
        <w:ind w:firstLineChars="200" w:firstLine="480"/>
        <w:rPr>
          <w:rFonts w:ascii="宋体" w:eastAsia="宋体" w:hAnsi="宋体"/>
          <w:sz w:val="24"/>
          <w:szCs w:val="24"/>
        </w:rPr>
      </w:pPr>
      <w:r w:rsidRPr="00F85265">
        <w:rPr>
          <w:rFonts w:ascii="宋体" w:eastAsia="宋体" w:hAnsi="宋体" w:hint="eastAsia"/>
          <w:sz w:val="24"/>
          <w:szCs w:val="24"/>
        </w:rPr>
        <w:t>近年来，我国出台了一系列房地产调控政策来用来规范房地产市场，并且起到了非常明显的调控作用。但是在我国的一二线城市里，房价猛涨现象还是存在，</w:t>
      </w:r>
      <w:r w:rsidRPr="00F85265">
        <w:rPr>
          <w:rFonts w:ascii="宋体" w:eastAsia="宋体" w:hAnsi="宋体" w:hint="eastAsia"/>
          <w:sz w:val="24"/>
          <w:szCs w:val="24"/>
        </w:rPr>
        <w:lastRenderedPageBreak/>
        <w:t>并且曾一度引发整个理论界对房地产经济泡沫即将破碎的恐慌。</w:t>
      </w:r>
    </w:p>
    <w:p w14:paraId="666E7094" w14:textId="77777777" w:rsidR="00F85265" w:rsidRPr="00F85265" w:rsidRDefault="00F85265" w:rsidP="00F85265">
      <w:pPr>
        <w:ind w:firstLineChars="200" w:firstLine="480"/>
        <w:rPr>
          <w:rFonts w:ascii="宋体" w:eastAsia="宋体" w:hAnsi="宋体"/>
          <w:sz w:val="24"/>
          <w:szCs w:val="24"/>
        </w:rPr>
      </w:pPr>
      <w:r w:rsidRPr="00F85265">
        <w:rPr>
          <w:rFonts w:ascii="宋体" w:eastAsia="宋体" w:hAnsi="宋体" w:hint="eastAsia"/>
          <w:sz w:val="24"/>
          <w:szCs w:val="24"/>
        </w:rPr>
        <w:t>在2</w:t>
      </w:r>
      <w:r w:rsidRPr="00F85265">
        <w:rPr>
          <w:rFonts w:ascii="宋体" w:eastAsia="宋体" w:hAnsi="宋体"/>
          <w:sz w:val="24"/>
          <w:szCs w:val="24"/>
        </w:rPr>
        <w:t>020</w:t>
      </w:r>
      <w:r w:rsidRPr="00F85265">
        <w:rPr>
          <w:rFonts w:ascii="宋体" w:eastAsia="宋体" w:hAnsi="宋体" w:hint="eastAsia"/>
          <w:sz w:val="24"/>
          <w:szCs w:val="24"/>
        </w:rPr>
        <w:t>年年初新冠疫情爆发，此次疫情爆发给我国的经济造成了很大的冲击，面对这种冲击，国家财政部门迅速作出了响应，放宽了货币政策。在这种激励政策的影响下，我国经济快速回暖，宽松的货币政策下，很多热门城市的房地产住宅市场出现了供不应求的现象，各大房地产企业争相融资买入新的地皮、居民也激烈的贷款购入房产，直接导致了房价的飙升，使得房地产行业的杠杆率再度升高。为了抑制这种现象，降低房地产企业的高杠杆、高负债，防止房地产泡沫的出现，保证房地产行业能够得到稳定健康的发展，央行和住建部决定实行“三道红线”政策对房地产企业进行分档管理，并且根据分档结果对房地产企业的有息负债年规模增速作出严格的约束。</w:t>
      </w:r>
    </w:p>
    <w:p w14:paraId="35E1D341" w14:textId="284EF1F8" w:rsidR="00F85265" w:rsidRPr="00F85265" w:rsidRDefault="00F85265" w:rsidP="00F85265">
      <w:pPr>
        <w:rPr>
          <w:rFonts w:ascii="宋体" w:eastAsia="宋体" w:hAnsi="宋体"/>
          <w:sz w:val="24"/>
          <w:szCs w:val="24"/>
        </w:rPr>
      </w:pPr>
      <w:r w:rsidRPr="00F85265">
        <w:rPr>
          <w:rFonts w:ascii="宋体" w:eastAsia="宋体" w:hAnsi="宋体" w:hint="eastAsia"/>
          <w:sz w:val="24"/>
          <w:szCs w:val="24"/>
        </w:rPr>
        <w:t xml:space="preserve"> </w:t>
      </w:r>
      <w:r w:rsidRPr="00F85265">
        <w:rPr>
          <w:rFonts w:ascii="宋体" w:eastAsia="宋体" w:hAnsi="宋体"/>
          <w:sz w:val="24"/>
          <w:szCs w:val="24"/>
        </w:rPr>
        <w:t xml:space="preserve">   </w:t>
      </w:r>
      <w:r w:rsidRPr="00F85265">
        <w:rPr>
          <w:rFonts w:ascii="宋体" w:eastAsia="宋体" w:hAnsi="宋体" w:hint="eastAsia"/>
          <w:sz w:val="24"/>
          <w:szCs w:val="24"/>
        </w:rPr>
        <w:t>新规实行后，所有房地产企业的融资被收紧了，金融机构不断的再压降房地产贷款的增速，控制房地产行业的贷款集中度，另一方面再债券市场上地产债的成交量在不断减少，投资人对高风险债券的需求不断减少。在此背景下，</w:t>
      </w:r>
      <w:r w:rsidR="00093EDB">
        <w:rPr>
          <w:rFonts w:ascii="宋体" w:eastAsia="宋体" w:hAnsi="宋体" w:hint="eastAsia"/>
          <w:sz w:val="24"/>
          <w:szCs w:val="24"/>
        </w:rPr>
        <w:t>本文将以</w:t>
      </w:r>
      <w:r w:rsidRPr="00F85265">
        <w:rPr>
          <w:rFonts w:ascii="宋体" w:eastAsia="宋体" w:hAnsi="宋体" w:hint="eastAsia"/>
          <w:sz w:val="24"/>
          <w:szCs w:val="24"/>
        </w:rPr>
        <w:t>房地产上市企业数据为基础，从房地产融资结构这个方面进行实证分析，并分别从“三道红线”政策</w:t>
      </w:r>
      <w:r w:rsidR="00CD4BB2">
        <w:rPr>
          <w:rFonts w:ascii="宋体" w:eastAsia="宋体" w:hAnsi="宋体" w:hint="eastAsia"/>
          <w:sz w:val="24"/>
          <w:szCs w:val="24"/>
        </w:rPr>
        <w:t>拓展监管</w:t>
      </w:r>
      <w:r w:rsidRPr="00F85265">
        <w:rPr>
          <w:rFonts w:ascii="宋体" w:eastAsia="宋体" w:hAnsi="宋体" w:hint="eastAsia"/>
          <w:sz w:val="24"/>
          <w:szCs w:val="24"/>
        </w:rPr>
        <w:t>、房地产企业</w:t>
      </w:r>
      <w:r>
        <w:rPr>
          <w:rFonts w:ascii="宋体" w:eastAsia="宋体" w:hAnsi="宋体" w:hint="eastAsia"/>
          <w:sz w:val="24"/>
          <w:szCs w:val="24"/>
        </w:rPr>
        <w:t>如何应对</w:t>
      </w:r>
      <w:r w:rsidRPr="00F85265">
        <w:rPr>
          <w:rFonts w:ascii="宋体" w:eastAsia="宋体" w:hAnsi="宋体" w:hint="eastAsia"/>
          <w:sz w:val="24"/>
          <w:szCs w:val="24"/>
        </w:rPr>
        <w:t>两个层面提出对策建议</w:t>
      </w:r>
      <w:r w:rsidR="00CD4BB2">
        <w:rPr>
          <w:rFonts w:ascii="宋体" w:eastAsia="宋体" w:hAnsi="宋体" w:hint="eastAsia"/>
          <w:sz w:val="24"/>
          <w:szCs w:val="24"/>
        </w:rPr>
        <w:t>。</w:t>
      </w:r>
    </w:p>
    <w:p w14:paraId="33723743" w14:textId="77777777" w:rsidR="00F85265" w:rsidRDefault="00F85265" w:rsidP="00CD4BB2">
      <w:pPr>
        <w:pStyle w:val="2"/>
      </w:pPr>
      <w:bookmarkStart w:id="8" w:name="_Toc103640961"/>
      <w:r>
        <w:rPr>
          <w:rFonts w:hint="eastAsia"/>
        </w:rPr>
        <w:t>1</w:t>
      </w:r>
      <w:r>
        <w:t xml:space="preserve">.1.2 </w:t>
      </w:r>
      <w:r>
        <w:rPr>
          <w:rFonts w:hint="eastAsia"/>
        </w:rPr>
        <w:t>研究目的及意义</w:t>
      </w:r>
      <w:bookmarkEnd w:id="8"/>
    </w:p>
    <w:p w14:paraId="3FBEC63A" w14:textId="77777777" w:rsidR="00F85265" w:rsidRPr="00CD4BB2" w:rsidRDefault="00F85265" w:rsidP="00F85265">
      <w:pPr>
        <w:pStyle w:val="4"/>
        <w:rPr>
          <w:rFonts w:ascii="黑体" w:hAnsi="黑体"/>
          <w:szCs w:val="30"/>
        </w:rPr>
      </w:pPr>
      <w:r w:rsidRPr="00CD4BB2">
        <w:rPr>
          <w:rFonts w:ascii="黑体" w:hAnsi="黑体" w:hint="eastAsia"/>
          <w:szCs w:val="30"/>
        </w:rPr>
        <w:t>1</w:t>
      </w:r>
      <w:r w:rsidRPr="00CD4BB2">
        <w:rPr>
          <w:rFonts w:ascii="黑体" w:hAnsi="黑体"/>
          <w:szCs w:val="30"/>
        </w:rPr>
        <w:t xml:space="preserve">.1.2.1 </w:t>
      </w:r>
      <w:r w:rsidRPr="00CD4BB2">
        <w:rPr>
          <w:rFonts w:ascii="黑体" w:hAnsi="黑体" w:hint="eastAsia"/>
          <w:szCs w:val="30"/>
        </w:rPr>
        <w:t>研究目的</w:t>
      </w:r>
    </w:p>
    <w:p w14:paraId="14C78474" w14:textId="35D0B163" w:rsidR="00F85265" w:rsidRPr="00CD4BB2" w:rsidRDefault="00F85265" w:rsidP="00F85265">
      <w:pPr>
        <w:rPr>
          <w:rFonts w:ascii="宋体" w:eastAsia="宋体" w:hAnsi="宋体"/>
          <w:sz w:val="24"/>
          <w:szCs w:val="24"/>
        </w:rPr>
      </w:pPr>
      <w:r w:rsidRPr="00CD4BB2">
        <w:rPr>
          <w:rFonts w:ascii="宋体" w:eastAsia="宋体" w:hAnsi="宋体" w:hint="eastAsia"/>
          <w:sz w:val="24"/>
          <w:szCs w:val="24"/>
        </w:rPr>
        <w:t xml:space="preserve"> </w:t>
      </w:r>
      <w:r w:rsidRPr="00CD4BB2">
        <w:rPr>
          <w:rFonts w:ascii="宋体" w:eastAsia="宋体" w:hAnsi="宋体"/>
          <w:sz w:val="24"/>
          <w:szCs w:val="24"/>
        </w:rPr>
        <w:t xml:space="preserve"> </w:t>
      </w:r>
      <w:r w:rsidR="00CD4BB2">
        <w:rPr>
          <w:rFonts w:ascii="宋体" w:eastAsia="宋体" w:hAnsi="宋体"/>
          <w:sz w:val="24"/>
          <w:szCs w:val="24"/>
        </w:rPr>
        <w:t xml:space="preserve">  </w:t>
      </w:r>
      <w:r w:rsidRPr="00CD4BB2">
        <w:rPr>
          <w:rFonts w:ascii="宋体" w:eastAsia="宋体" w:hAnsi="宋体" w:hint="eastAsia"/>
          <w:sz w:val="24"/>
          <w:szCs w:val="24"/>
        </w:rPr>
        <w:t>自2</w:t>
      </w:r>
      <w:r w:rsidRPr="00CD4BB2">
        <w:rPr>
          <w:rFonts w:ascii="宋体" w:eastAsia="宋体" w:hAnsi="宋体"/>
          <w:sz w:val="24"/>
          <w:szCs w:val="24"/>
        </w:rPr>
        <w:t>021</w:t>
      </w:r>
      <w:r w:rsidRPr="00CD4BB2">
        <w:rPr>
          <w:rFonts w:ascii="宋体" w:eastAsia="宋体" w:hAnsi="宋体" w:hint="eastAsia"/>
          <w:sz w:val="24"/>
          <w:szCs w:val="24"/>
        </w:rPr>
        <w:t>年1月1日起，我国已全面实施“三道红线”并根据该政策划分出了四挡管理模式。“三道红线”的出台，会使房地产企业面临以前经常使用的杠杆工具被拆卸的风险。而房地产行业是一个资金高度密集型行业，在融资来源被严重限制的情况下，房地产企业在未来的融资难度会加大，融资成本也会上升，可能会使房地产企业面临资金链断裂的风险。面对“三道红线”政策的监管，房地产企业需要及时调整自身的融资策略，清晰的把握“三道红线”政策中所提到的企业自身的三个</w:t>
      </w:r>
      <w:r w:rsidR="00CD4BB2">
        <w:rPr>
          <w:rFonts w:ascii="宋体" w:eastAsia="宋体" w:hAnsi="宋体" w:hint="eastAsia"/>
          <w:sz w:val="24"/>
          <w:szCs w:val="24"/>
        </w:rPr>
        <w:t>财务</w:t>
      </w:r>
      <w:r w:rsidRPr="00CD4BB2">
        <w:rPr>
          <w:rFonts w:ascii="宋体" w:eastAsia="宋体" w:hAnsi="宋体" w:hint="eastAsia"/>
          <w:sz w:val="24"/>
          <w:szCs w:val="24"/>
        </w:rPr>
        <w:t>指标</w:t>
      </w:r>
      <w:r w:rsidR="00CD4BB2">
        <w:rPr>
          <w:rFonts w:ascii="宋体" w:eastAsia="宋体" w:hAnsi="宋体" w:hint="eastAsia"/>
          <w:sz w:val="24"/>
          <w:szCs w:val="24"/>
        </w:rPr>
        <w:t>，</w:t>
      </w:r>
      <w:r w:rsidRPr="00CD4BB2">
        <w:rPr>
          <w:rFonts w:ascii="宋体" w:eastAsia="宋体" w:hAnsi="宋体" w:hint="eastAsia"/>
          <w:sz w:val="24"/>
          <w:szCs w:val="24"/>
        </w:rPr>
        <w:t>处在每一档的房地产企业，都应当积极配合监管并采取有必要的措施。但“三道红线”政策对房地产企业的融资活动是否产生了影响，房地产企业的融资结构是否因此而有所</w:t>
      </w:r>
      <w:r w:rsidR="00CD4BB2">
        <w:rPr>
          <w:rFonts w:ascii="宋体" w:eastAsia="宋体" w:hAnsi="宋体" w:hint="eastAsia"/>
          <w:sz w:val="24"/>
          <w:szCs w:val="24"/>
        </w:rPr>
        <w:t>改变</w:t>
      </w:r>
      <w:r w:rsidRPr="00CD4BB2">
        <w:rPr>
          <w:rFonts w:ascii="宋体" w:eastAsia="宋体" w:hAnsi="宋体" w:hint="eastAsia"/>
          <w:sz w:val="24"/>
          <w:szCs w:val="24"/>
        </w:rPr>
        <w:t>等问题，均需要我们通过实证进行研究说明。</w:t>
      </w:r>
    </w:p>
    <w:p w14:paraId="45310066" w14:textId="77A586BD" w:rsidR="00F85265" w:rsidRPr="00CD4BB2" w:rsidRDefault="00F85265" w:rsidP="00F85265">
      <w:pPr>
        <w:rPr>
          <w:rFonts w:ascii="宋体" w:eastAsia="宋体" w:hAnsi="宋体"/>
          <w:sz w:val="24"/>
          <w:szCs w:val="24"/>
        </w:rPr>
      </w:pPr>
      <w:r w:rsidRPr="00CD4BB2">
        <w:rPr>
          <w:rFonts w:ascii="宋体" w:eastAsia="宋体" w:hAnsi="宋体" w:hint="eastAsia"/>
          <w:sz w:val="24"/>
          <w:szCs w:val="24"/>
        </w:rPr>
        <w:t xml:space="preserve"> </w:t>
      </w:r>
      <w:r w:rsidRPr="00CD4BB2">
        <w:rPr>
          <w:rFonts w:ascii="宋体" w:eastAsia="宋体" w:hAnsi="宋体"/>
          <w:sz w:val="24"/>
          <w:szCs w:val="24"/>
        </w:rPr>
        <w:t xml:space="preserve">    </w:t>
      </w:r>
      <w:r w:rsidRPr="00CD4BB2">
        <w:rPr>
          <w:rFonts w:ascii="宋体" w:eastAsia="宋体" w:hAnsi="宋体" w:hint="eastAsia"/>
          <w:sz w:val="24"/>
          <w:szCs w:val="24"/>
        </w:rPr>
        <w:t>本论文拟以房地产企业为研究对象，分析“三道红线”政策对房地产企业融资</w:t>
      </w:r>
      <w:r w:rsidR="00093EDB">
        <w:rPr>
          <w:rFonts w:ascii="宋体" w:eastAsia="宋体" w:hAnsi="宋体" w:hint="eastAsia"/>
          <w:sz w:val="24"/>
          <w:szCs w:val="24"/>
        </w:rPr>
        <w:t>结构</w:t>
      </w:r>
      <w:r w:rsidRPr="00CD4BB2">
        <w:rPr>
          <w:rFonts w:ascii="宋体" w:eastAsia="宋体" w:hAnsi="宋体" w:hint="eastAsia"/>
          <w:sz w:val="24"/>
          <w:szCs w:val="24"/>
        </w:rPr>
        <w:t>所产生的影响，应用实证分析方法、理论分析方法、文献综述方法从房地产企业融资活动和融资结构两方面进行分析，希望为相关部门更好监管房地产企业的财务状况，促进房地产业的健康稳定发展提供理论和实际依据。并针对理论分析和实证分析的结果，从“三道红线”政策、房地产企业融资结构三个层面提出相应的建议。以期促进“三道红线”政策对中国房地产企业健康稳定发展的作用得到有效的发挥，进而减少房地产企业融资活动的风险，促成更为健康的房地产企业融资结构。</w:t>
      </w:r>
    </w:p>
    <w:p w14:paraId="03E933FB" w14:textId="77777777" w:rsidR="00F85265" w:rsidRPr="00CD4BB2" w:rsidRDefault="00F85265" w:rsidP="00F85265">
      <w:pPr>
        <w:pStyle w:val="4"/>
        <w:rPr>
          <w:rFonts w:ascii="黑体" w:hAnsi="黑体"/>
        </w:rPr>
      </w:pPr>
      <w:r w:rsidRPr="00CD4BB2">
        <w:rPr>
          <w:rFonts w:ascii="黑体" w:hAnsi="黑体" w:hint="eastAsia"/>
        </w:rPr>
        <w:t>1</w:t>
      </w:r>
      <w:r w:rsidRPr="00CD4BB2">
        <w:rPr>
          <w:rFonts w:ascii="黑体" w:hAnsi="黑体"/>
        </w:rPr>
        <w:t xml:space="preserve">.1.2.2 </w:t>
      </w:r>
      <w:r w:rsidRPr="00CD4BB2">
        <w:rPr>
          <w:rFonts w:ascii="黑体" w:hAnsi="黑体" w:hint="eastAsia"/>
        </w:rPr>
        <w:t>研究意义</w:t>
      </w:r>
    </w:p>
    <w:p w14:paraId="247BDF61" w14:textId="77777777" w:rsidR="00F85265" w:rsidRPr="00CD4BB2" w:rsidRDefault="00F85265" w:rsidP="00F85265">
      <w:pPr>
        <w:ind w:firstLine="480"/>
        <w:rPr>
          <w:rFonts w:ascii="宋体" w:eastAsia="宋体" w:hAnsi="宋体"/>
          <w:sz w:val="24"/>
          <w:szCs w:val="24"/>
        </w:rPr>
      </w:pPr>
      <w:r w:rsidRPr="00CD4BB2">
        <w:rPr>
          <w:rFonts w:ascii="宋体" w:eastAsia="宋体" w:hAnsi="宋体" w:hint="eastAsia"/>
          <w:sz w:val="24"/>
          <w:szCs w:val="24"/>
        </w:rPr>
        <w:t>房地产业作为一个资金高度密集的国民支柱产业之一，一直是学者们研究关</w:t>
      </w:r>
      <w:r w:rsidRPr="00CD4BB2">
        <w:rPr>
          <w:rFonts w:ascii="宋体" w:eastAsia="宋体" w:hAnsi="宋体" w:hint="eastAsia"/>
          <w:sz w:val="24"/>
          <w:szCs w:val="24"/>
        </w:rPr>
        <w:lastRenderedPageBreak/>
        <w:t>注的热点，“三道红线”政策会对房地产企业高负债高杠杆的现象进行限制，给房地产企业设立新的融资规则。因此，运用房地产上市企业的数据，实证分析“三道红线”对房地产企业融资活动和融资节奏的影响，并提出具体的对策建议，具有一定的理论意义与实践意义。</w:t>
      </w:r>
    </w:p>
    <w:p w14:paraId="3F3552BF" w14:textId="77777777" w:rsidR="00F85265" w:rsidRPr="00CD4BB2" w:rsidRDefault="00F85265" w:rsidP="00F85265">
      <w:pPr>
        <w:pStyle w:val="ad"/>
        <w:numPr>
          <w:ilvl w:val="0"/>
          <w:numId w:val="14"/>
        </w:numPr>
        <w:ind w:firstLineChars="0"/>
        <w:rPr>
          <w:rFonts w:ascii="宋体" w:hAnsi="宋体"/>
          <w:sz w:val="24"/>
        </w:rPr>
      </w:pPr>
      <w:r w:rsidRPr="00CD4BB2">
        <w:rPr>
          <w:rFonts w:ascii="宋体" w:hAnsi="宋体" w:hint="eastAsia"/>
          <w:sz w:val="24"/>
        </w:rPr>
        <w:t>理论意义</w:t>
      </w:r>
    </w:p>
    <w:p w14:paraId="7BB4404D" w14:textId="77777777" w:rsidR="00F85265" w:rsidRPr="00CD4BB2" w:rsidRDefault="00F85265" w:rsidP="00F85265">
      <w:pPr>
        <w:ind w:firstLine="480"/>
        <w:rPr>
          <w:rFonts w:ascii="宋体" w:eastAsia="宋体" w:hAnsi="宋体"/>
          <w:sz w:val="24"/>
          <w:szCs w:val="24"/>
        </w:rPr>
      </w:pPr>
      <w:r w:rsidRPr="00CD4BB2">
        <w:rPr>
          <w:rFonts w:ascii="宋体" w:eastAsia="宋体" w:hAnsi="宋体" w:hint="eastAsia"/>
          <w:sz w:val="24"/>
          <w:szCs w:val="24"/>
        </w:rPr>
        <w:t>有利于拓展“三道红线”政策对房地产融资影响的研究方法和研究领域。目前有关于“三道红线”政策对房地产融资的影响研究大部分是以宏观的角度出发，从房地产企业这个微观角度利用企业的财务数据进行分析的很少。本论文以房地产上市企业为实证样本，运用实证分析法，分析了“三道红线”政策对房地产企业融资的影响，在一定程度上对“三道红线”政策对房地产企业融资影响的研究方法和研究领域进行了完善和充实。</w:t>
      </w:r>
    </w:p>
    <w:p w14:paraId="4D13BEC9" w14:textId="77777777" w:rsidR="00F85265" w:rsidRPr="00CD4BB2" w:rsidRDefault="00F85265" w:rsidP="00F85265">
      <w:pPr>
        <w:pStyle w:val="ad"/>
        <w:numPr>
          <w:ilvl w:val="0"/>
          <w:numId w:val="14"/>
        </w:numPr>
        <w:ind w:firstLineChars="0"/>
        <w:rPr>
          <w:rFonts w:ascii="宋体" w:hAnsi="宋体"/>
          <w:sz w:val="24"/>
        </w:rPr>
      </w:pPr>
      <w:r w:rsidRPr="00CD4BB2">
        <w:rPr>
          <w:rFonts w:ascii="宋体" w:hAnsi="宋体" w:hint="eastAsia"/>
          <w:sz w:val="24"/>
        </w:rPr>
        <w:t>实践意义</w:t>
      </w:r>
    </w:p>
    <w:p w14:paraId="098B05C1" w14:textId="0F8077D3" w:rsidR="00F85265" w:rsidRPr="00CD4BB2" w:rsidRDefault="00F85265" w:rsidP="00CD4BB2">
      <w:pPr>
        <w:ind w:firstLineChars="200" w:firstLine="480"/>
        <w:rPr>
          <w:rFonts w:ascii="宋体" w:eastAsia="宋体" w:hAnsi="宋体"/>
          <w:sz w:val="24"/>
          <w:szCs w:val="24"/>
        </w:rPr>
      </w:pPr>
      <w:r w:rsidRPr="00CD4BB2">
        <w:rPr>
          <w:rFonts w:ascii="宋体" w:eastAsia="宋体" w:hAnsi="宋体" w:hint="eastAsia"/>
          <w:sz w:val="24"/>
          <w:szCs w:val="24"/>
        </w:rPr>
        <w:t>有助于为房地产企业应对“三道红线”政策调整融资结构提供有效指导。研究“三道红线”政策对房地产企业融资的影响，有利于帮助房地产企业根据自身被政策归档的情况，作出符合企业自身现状的融资策略，调整企业的融资结构，使其在越来越紧缩的融资环境下，也能健康稳定的发展。</w:t>
      </w:r>
    </w:p>
    <w:p w14:paraId="356883B2" w14:textId="79C9BB78" w:rsidR="00F85265" w:rsidRPr="00CD4BB2" w:rsidRDefault="00F85265" w:rsidP="00CD4BB2">
      <w:pPr>
        <w:ind w:firstLineChars="200" w:firstLine="480"/>
        <w:rPr>
          <w:rFonts w:ascii="宋体" w:eastAsia="宋体" w:hAnsi="宋体"/>
          <w:sz w:val="24"/>
          <w:szCs w:val="24"/>
        </w:rPr>
      </w:pPr>
      <w:r w:rsidRPr="00CD4BB2">
        <w:rPr>
          <w:rFonts w:ascii="宋体" w:eastAsia="宋体" w:hAnsi="宋体" w:hint="eastAsia"/>
          <w:sz w:val="24"/>
          <w:szCs w:val="24"/>
        </w:rPr>
        <w:t>有助于相关监管部门改进工作和提高效率。研究“三道红线”政策对房地产企业融资的影响，将从房地产上市企业的财务数据出发，结合</w:t>
      </w:r>
      <w:r w:rsidR="00093EDB">
        <w:rPr>
          <w:rFonts w:ascii="宋体" w:eastAsia="宋体" w:hAnsi="宋体" w:hint="eastAsia"/>
          <w:sz w:val="24"/>
          <w:szCs w:val="24"/>
        </w:rPr>
        <w:t>计量</w:t>
      </w:r>
      <w:r w:rsidRPr="00CD4BB2">
        <w:rPr>
          <w:rFonts w:ascii="宋体" w:eastAsia="宋体" w:hAnsi="宋体" w:hint="eastAsia"/>
          <w:sz w:val="24"/>
          <w:szCs w:val="24"/>
        </w:rPr>
        <w:t>经济学相关理论对该政策作出评估，能帮助相关监管部门在实行监管时，更加准确高效的完成对房地产企业的融资监管工作。</w:t>
      </w:r>
    </w:p>
    <w:p w14:paraId="0591218E" w14:textId="77777777" w:rsidR="00F85265" w:rsidRPr="00CD4BB2" w:rsidRDefault="00F85265" w:rsidP="00F85265">
      <w:pPr>
        <w:pStyle w:val="2"/>
        <w:rPr>
          <w:rFonts w:ascii="黑体" w:hAnsi="黑体"/>
        </w:rPr>
      </w:pPr>
      <w:bookmarkStart w:id="9" w:name="_Toc103640962"/>
      <w:r w:rsidRPr="00CD4BB2">
        <w:rPr>
          <w:rFonts w:ascii="黑体" w:hAnsi="黑体" w:hint="eastAsia"/>
        </w:rPr>
        <w:t>1</w:t>
      </w:r>
      <w:r w:rsidRPr="00CD4BB2">
        <w:rPr>
          <w:rFonts w:ascii="黑体" w:hAnsi="黑体"/>
        </w:rPr>
        <w:t xml:space="preserve">.2 </w:t>
      </w:r>
      <w:r w:rsidRPr="00CD4BB2">
        <w:rPr>
          <w:rFonts w:ascii="黑体" w:hAnsi="黑体" w:hint="eastAsia"/>
        </w:rPr>
        <w:t>文献综述</w:t>
      </w:r>
      <w:bookmarkEnd w:id="9"/>
    </w:p>
    <w:p w14:paraId="2BC0E88E" w14:textId="77777777" w:rsidR="00F85265" w:rsidRDefault="00F85265" w:rsidP="00F85265">
      <w:pPr>
        <w:pStyle w:val="3"/>
      </w:pPr>
      <w:bookmarkStart w:id="10" w:name="_Toc103640963"/>
      <w:r>
        <w:rPr>
          <w:rFonts w:hint="eastAsia"/>
        </w:rPr>
        <w:t>1</w:t>
      </w:r>
      <w:r>
        <w:t xml:space="preserve">.2.1 </w:t>
      </w:r>
      <w:r>
        <w:rPr>
          <w:rFonts w:hint="eastAsia"/>
        </w:rPr>
        <w:t>房地产企业融资研究综述</w:t>
      </w:r>
      <w:bookmarkEnd w:id="10"/>
    </w:p>
    <w:p w14:paraId="22A64A42" w14:textId="77777777" w:rsidR="00F85265" w:rsidRPr="00093EDB" w:rsidRDefault="00F85265" w:rsidP="00093EDB">
      <w:pPr>
        <w:ind w:firstLineChars="200" w:firstLine="480"/>
        <w:rPr>
          <w:rFonts w:ascii="宋体" w:eastAsia="宋体" w:hAnsi="宋体"/>
          <w:sz w:val="24"/>
          <w:szCs w:val="24"/>
        </w:rPr>
      </w:pPr>
      <w:r w:rsidRPr="00093EDB">
        <w:rPr>
          <w:rFonts w:ascii="宋体" w:eastAsia="宋体" w:hAnsi="宋体" w:hint="eastAsia"/>
          <w:sz w:val="24"/>
          <w:szCs w:val="24"/>
        </w:rPr>
        <w:t>国外对于企业融资活动和融资结构的研究源于2</w:t>
      </w:r>
      <w:r w:rsidRPr="00093EDB">
        <w:rPr>
          <w:rFonts w:ascii="宋体" w:eastAsia="宋体" w:hAnsi="宋体"/>
          <w:sz w:val="24"/>
          <w:szCs w:val="24"/>
        </w:rPr>
        <w:t>0</w:t>
      </w:r>
      <w:r w:rsidRPr="00093EDB">
        <w:rPr>
          <w:rFonts w:ascii="宋体" w:eastAsia="宋体" w:hAnsi="宋体" w:hint="eastAsia"/>
          <w:sz w:val="24"/>
          <w:szCs w:val="24"/>
        </w:rPr>
        <w:t>世纪5</w:t>
      </w:r>
      <w:r w:rsidRPr="00093EDB">
        <w:rPr>
          <w:rFonts w:ascii="宋体" w:eastAsia="宋体" w:hAnsi="宋体"/>
          <w:sz w:val="24"/>
          <w:szCs w:val="24"/>
        </w:rPr>
        <w:t>0</w:t>
      </w:r>
      <w:r w:rsidRPr="00093EDB">
        <w:rPr>
          <w:rFonts w:ascii="宋体" w:eastAsia="宋体" w:hAnsi="宋体" w:hint="eastAsia"/>
          <w:sz w:val="24"/>
          <w:szCs w:val="24"/>
        </w:rPr>
        <w:t>年代，时至今日，在理论和实证两个角度上来说都已近比较成熟。M</w:t>
      </w:r>
      <w:r w:rsidRPr="00093EDB">
        <w:rPr>
          <w:rFonts w:ascii="宋体" w:eastAsia="宋体" w:hAnsi="宋体"/>
          <w:sz w:val="24"/>
          <w:szCs w:val="24"/>
        </w:rPr>
        <w:t>asulis(1983)</w:t>
      </w:r>
      <w:r w:rsidRPr="00093EDB">
        <w:rPr>
          <w:rFonts w:ascii="宋体" w:eastAsia="宋体" w:hAnsi="宋体" w:hint="eastAsia"/>
          <w:sz w:val="24"/>
          <w:szCs w:val="24"/>
        </w:rPr>
        <w:t>研究结果表明：企业绩效与其负债水平成正相关关系；当负债水平介于0</w:t>
      </w:r>
      <w:r w:rsidRPr="00093EDB">
        <w:rPr>
          <w:rFonts w:ascii="宋体" w:eastAsia="宋体" w:hAnsi="宋体"/>
          <w:sz w:val="24"/>
          <w:szCs w:val="24"/>
        </w:rPr>
        <w:t>.23</w:t>
      </w:r>
      <w:r w:rsidRPr="00093EDB">
        <w:rPr>
          <w:rFonts w:ascii="宋体" w:eastAsia="宋体" w:hAnsi="宋体" w:hint="eastAsia"/>
          <w:sz w:val="24"/>
          <w:szCs w:val="24"/>
        </w:rPr>
        <w:t>与0</w:t>
      </w:r>
      <w:r w:rsidRPr="00093EDB">
        <w:rPr>
          <w:rFonts w:ascii="宋体" w:eastAsia="宋体" w:hAnsi="宋体"/>
          <w:sz w:val="24"/>
          <w:szCs w:val="24"/>
        </w:rPr>
        <w:t>.45</w:t>
      </w:r>
      <w:r w:rsidRPr="00093EDB">
        <w:rPr>
          <w:rFonts w:ascii="宋体" w:eastAsia="宋体" w:hAnsi="宋体" w:hint="eastAsia"/>
          <w:sz w:val="24"/>
          <w:szCs w:val="24"/>
        </w:rPr>
        <w:t>之间时，其能够对企业绩效产生影响。</w:t>
      </w:r>
      <w:r w:rsidRPr="00093EDB">
        <w:rPr>
          <w:rFonts w:ascii="宋体" w:eastAsia="宋体" w:hAnsi="宋体"/>
          <w:sz w:val="24"/>
          <w:szCs w:val="24"/>
        </w:rPr>
        <w:t xml:space="preserve">Korajczyk </w:t>
      </w:r>
      <w:r w:rsidRPr="00093EDB">
        <w:rPr>
          <w:rFonts w:ascii="宋体" w:eastAsia="宋体" w:hAnsi="宋体" w:hint="eastAsia"/>
          <w:sz w:val="24"/>
          <w:szCs w:val="24"/>
        </w:rPr>
        <w:t>和</w:t>
      </w:r>
      <w:r w:rsidRPr="00093EDB">
        <w:rPr>
          <w:rFonts w:ascii="宋体" w:eastAsia="宋体" w:hAnsi="宋体"/>
          <w:sz w:val="24"/>
          <w:szCs w:val="24"/>
        </w:rPr>
        <w:t xml:space="preserve"> Levy(2003)</w:t>
      </w:r>
      <w:r w:rsidRPr="00093EDB">
        <w:rPr>
          <w:rFonts w:ascii="宋体" w:eastAsia="宋体" w:hAnsi="宋体" w:hint="eastAsia"/>
          <w:sz w:val="24"/>
          <w:szCs w:val="24"/>
        </w:rPr>
        <w:t xml:space="preserve"> 在现有的融资理论基础上，研究出了优序融资理论，指出了企业的融资活动应当将获得更多利益作为最终目标。当企业的内部自有资金无法支持企业完成自身业务活动时，管理层应当考虑通过外部融资的方式来获得资金，而考虑到股权可能会因融资导致分散，所以为了避免这种现象，外部融资应当优先考虑债务融资，如果还不能够满足企业运营的资金需求，则应最后考虑股权融资。也有学者认为，企业为了使得利益最大化，还需要控制自身的融资成本。</w:t>
      </w:r>
    </w:p>
    <w:p w14:paraId="355D422F" w14:textId="04012C5E" w:rsidR="00F85265" w:rsidRPr="00093EDB" w:rsidRDefault="00F85265" w:rsidP="00CE4ED0">
      <w:pPr>
        <w:ind w:firstLineChars="200" w:firstLine="480"/>
        <w:rPr>
          <w:rFonts w:ascii="宋体" w:eastAsia="宋体" w:hAnsi="宋体" w:cs="Times New Roman"/>
          <w:sz w:val="24"/>
          <w:szCs w:val="24"/>
        </w:rPr>
      </w:pPr>
      <w:r w:rsidRPr="00093EDB">
        <w:rPr>
          <w:rFonts w:ascii="宋体" w:eastAsia="宋体" w:hAnsi="宋体" w:cs="Times New Roman"/>
          <w:sz w:val="24"/>
          <w:szCs w:val="24"/>
        </w:rPr>
        <w:t>Kill</w:t>
      </w:r>
      <w:r w:rsidRPr="00093EDB">
        <w:rPr>
          <w:rFonts w:ascii="宋体" w:eastAsia="宋体" w:hAnsi="宋体" w:cs="Times New Roman" w:hint="eastAsia"/>
          <w:sz w:val="24"/>
          <w:szCs w:val="24"/>
        </w:rPr>
        <w:t>和</w:t>
      </w:r>
      <w:r w:rsidR="007A33C1">
        <w:rPr>
          <w:rFonts w:ascii="宋体" w:eastAsia="宋体" w:hAnsi="宋体" w:cs="Calibri"/>
          <w:sz w:val="24"/>
          <w:szCs w:val="24"/>
        </w:rPr>
        <w:t>C</w:t>
      </w:r>
      <w:r w:rsidRPr="00093EDB">
        <w:rPr>
          <w:rFonts w:ascii="宋体" w:eastAsia="宋体" w:hAnsi="宋体" w:cs="Calibri" w:hint="eastAsia"/>
          <w:sz w:val="24"/>
          <w:szCs w:val="24"/>
        </w:rPr>
        <w:t>loss</w:t>
      </w:r>
      <w:r w:rsidRPr="00093EDB">
        <w:rPr>
          <w:rFonts w:ascii="宋体" w:eastAsia="宋体" w:hAnsi="宋体" w:cs="Times New Roman" w:hint="eastAsia"/>
          <w:sz w:val="24"/>
          <w:szCs w:val="24"/>
        </w:rPr>
        <w:t>（</w:t>
      </w:r>
      <w:r w:rsidRPr="00093EDB">
        <w:rPr>
          <w:rFonts w:ascii="宋体" w:eastAsia="宋体" w:hAnsi="宋体" w:cs="Calibri" w:hint="eastAsia"/>
          <w:sz w:val="24"/>
          <w:szCs w:val="24"/>
        </w:rPr>
        <w:t>2008</w:t>
      </w:r>
      <w:r w:rsidRPr="00093EDB">
        <w:rPr>
          <w:rFonts w:ascii="宋体" w:eastAsia="宋体" w:hAnsi="宋体" w:cs="Times New Roman" w:hint="eastAsia"/>
          <w:sz w:val="24"/>
          <w:szCs w:val="24"/>
        </w:rPr>
        <w:t>）认为可以通过房地产企业的融资创新能力看出财务实力，房地产制定融资策略时，应当充分考虑企业自身的固定资产规模，资金链条的结构和外部的融资环境。王春英（</w:t>
      </w:r>
      <w:r w:rsidRPr="00093EDB">
        <w:rPr>
          <w:rFonts w:ascii="宋体" w:eastAsia="宋体" w:hAnsi="宋体" w:cs="Calibri" w:hint="eastAsia"/>
          <w:sz w:val="24"/>
          <w:szCs w:val="24"/>
        </w:rPr>
        <w:t>2013</w:t>
      </w:r>
      <w:r w:rsidRPr="00093EDB">
        <w:rPr>
          <w:rFonts w:ascii="宋体" w:eastAsia="宋体" w:hAnsi="宋体" w:cs="Times New Roman" w:hint="eastAsia"/>
          <w:sz w:val="24"/>
          <w:szCs w:val="24"/>
        </w:rPr>
        <w:t>）认为，影响房地产企业融资的重要影响因素包括监管政策影响，企业自身外资利用和引进策略，相关法律法规影响，以及融资后期资金管理。金利娟（</w:t>
      </w:r>
      <w:r w:rsidRPr="00093EDB">
        <w:rPr>
          <w:rFonts w:ascii="宋体" w:eastAsia="宋体" w:hAnsi="宋体" w:cs="Calibri" w:hint="eastAsia"/>
          <w:sz w:val="24"/>
          <w:szCs w:val="24"/>
        </w:rPr>
        <w:t>2016</w:t>
      </w:r>
      <w:r w:rsidRPr="00093EDB">
        <w:rPr>
          <w:rFonts w:ascii="宋体" w:eastAsia="宋体" w:hAnsi="宋体" w:cs="Times New Roman" w:hint="eastAsia"/>
          <w:sz w:val="24"/>
          <w:szCs w:val="24"/>
        </w:rPr>
        <w:t>）认为企业可以通过优化自身的资本结构，使得企业的内部融资和外部融资的资本总成本降低，从而使得企业的资本结构和融资结构达到最佳，以此来提高自身的融资效率。陈凯燕（</w:t>
      </w:r>
      <w:r w:rsidRPr="00093EDB">
        <w:rPr>
          <w:rFonts w:ascii="宋体" w:eastAsia="宋体" w:hAnsi="宋体" w:cs="Calibri" w:hint="eastAsia"/>
          <w:sz w:val="24"/>
          <w:szCs w:val="24"/>
        </w:rPr>
        <w:t>2018</w:t>
      </w:r>
      <w:r w:rsidRPr="00093EDB">
        <w:rPr>
          <w:rFonts w:ascii="宋体" w:eastAsia="宋体" w:hAnsi="宋体" w:cs="Times New Roman" w:hint="eastAsia"/>
          <w:sz w:val="24"/>
          <w:szCs w:val="24"/>
        </w:rPr>
        <w:t>）认为房地产开发企业可以通过采取股权举债融资的方式，使得股权开发和股权融资限相结合相</w:t>
      </w:r>
      <w:r w:rsidRPr="00093EDB">
        <w:rPr>
          <w:rFonts w:ascii="宋体" w:eastAsia="宋体" w:hAnsi="宋体" w:cs="Times New Roman" w:hint="eastAsia"/>
          <w:sz w:val="24"/>
          <w:szCs w:val="24"/>
        </w:rPr>
        <w:lastRenderedPageBreak/>
        <w:t>统一。</w:t>
      </w:r>
    </w:p>
    <w:p w14:paraId="25A533EB" w14:textId="73C4D742" w:rsidR="00F85265" w:rsidRPr="007A33C1" w:rsidRDefault="00F85265" w:rsidP="00F85265">
      <w:pPr>
        <w:rPr>
          <w:rFonts w:ascii="宋体" w:eastAsia="宋体" w:hAnsi="宋体" w:cs="Times New Roman"/>
          <w:sz w:val="24"/>
          <w:szCs w:val="24"/>
        </w:rPr>
      </w:pPr>
      <w:r w:rsidRPr="00093EDB">
        <w:rPr>
          <w:rFonts w:ascii="宋体" w:eastAsia="宋体" w:hAnsi="宋体" w:cs="Times New Roman" w:hint="eastAsia"/>
          <w:sz w:val="24"/>
          <w:szCs w:val="24"/>
        </w:rPr>
        <w:t xml:space="preserve">   </w:t>
      </w:r>
      <w:r w:rsidR="007A33C1">
        <w:rPr>
          <w:rFonts w:ascii="宋体" w:eastAsia="宋体" w:hAnsi="宋体" w:cs="Times New Roman"/>
          <w:sz w:val="24"/>
          <w:szCs w:val="24"/>
        </w:rPr>
        <w:t xml:space="preserve"> </w:t>
      </w:r>
      <w:r w:rsidRPr="00093EDB">
        <w:rPr>
          <w:rFonts w:ascii="宋体" w:eastAsia="宋体" w:hAnsi="宋体" w:cs="Times New Roman" w:hint="eastAsia"/>
          <w:sz w:val="24"/>
          <w:szCs w:val="24"/>
        </w:rPr>
        <w:t>范时红（</w:t>
      </w:r>
      <w:r w:rsidRPr="00093EDB">
        <w:rPr>
          <w:rFonts w:ascii="宋体" w:eastAsia="宋体" w:hAnsi="宋体" w:cs="Calibri" w:hint="eastAsia"/>
          <w:sz w:val="24"/>
          <w:szCs w:val="24"/>
        </w:rPr>
        <w:t>2020</w:t>
      </w:r>
      <w:r w:rsidRPr="00093EDB">
        <w:rPr>
          <w:rFonts w:ascii="宋体" w:eastAsia="宋体" w:hAnsi="宋体" w:cs="Times New Roman" w:hint="eastAsia"/>
          <w:sz w:val="24"/>
          <w:szCs w:val="24"/>
        </w:rPr>
        <w:t>）以代理成本理论，企业生命周期以及融资生命周期等理论为基础，通过研究我国房地产企业的融资特点和现状，对房企融资模式进行了归纳总结，得出了不同类型房企对融资方式的偏好，国有性质的企业从银行渠道获取资金的成本较低，偏好与银行系资产。邱绪霞（</w:t>
      </w:r>
      <w:r w:rsidRPr="00093EDB">
        <w:rPr>
          <w:rFonts w:ascii="宋体" w:eastAsia="宋体" w:hAnsi="宋体" w:cs="Calibri" w:hint="eastAsia"/>
          <w:sz w:val="24"/>
          <w:szCs w:val="24"/>
        </w:rPr>
        <w:t>2020</w:t>
      </w:r>
      <w:r w:rsidRPr="00093EDB">
        <w:rPr>
          <w:rFonts w:ascii="宋体" w:eastAsia="宋体" w:hAnsi="宋体" w:cs="Times New Roman" w:hint="eastAsia"/>
          <w:sz w:val="24"/>
          <w:szCs w:val="24"/>
        </w:rPr>
        <w:t>）认为虽然融资可以使企业的经营活动变得更为高效，但是如果企业的外部融资占比过高，可能会导致企业无力偿还相关债务，进而引发较高的偿债风险及信用风险。 如果融资金额不及预期，也有可能导致企业无法正常执行投资战略和经营活动，从而形成新的经营风险和投资风险。吴国栋（</w:t>
      </w:r>
      <w:r w:rsidRPr="00093EDB">
        <w:rPr>
          <w:rFonts w:ascii="宋体" w:eastAsia="宋体" w:hAnsi="宋体" w:cs="Calibri" w:hint="eastAsia"/>
          <w:sz w:val="24"/>
          <w:szCs w:val="24"/>
        </w:rPr>
        <w:t>2003</w:t>
      </w:r>
      <w:r w:rsidRPr="00093EDB">
        <w:rPr>
          <w:rFonts w:ascii="宋体" w:eastAsia="宋体" w:hAnsi="宋体" w:cs="Times New Roman" w:hint="eastAsia"/>
          <w:sz w:val="24"/>
          <w:szCs w:val="24"/>
        </w:rPr>
        <w:t>）首次应用模糊综合评价法研究了我国房地产企业的融资效率，结果表明我国房地产企业整体融资效率较高</w:t>
      </w:r>
      <w:r w:rsidR="00CE4ED0">
        <w:rPr>
          <w:rFonts w:ascii="宋体" w:eastAsia="宋体" w:hAnsi="宋体" w:cs="Times New Roman" w:hint="eastAsia"/>
          <w:sz w:val="24"/>
          <w:szCs w:val="24"/>
        </w:rPr>
        <w:t>。</w:t>
      </w:r>
      <w:r w:rsidRPr="00093EDB">
        <w:rPr>
          <w:rFonts w:ascii="宋体" w:eastAsia="宋体" w:hAnsi="宋体" w:cs="Times New Roman" w:hint="eastAsia"/>
          <w:sz w:val="24"/>
          <w:szCs w:val="24"/>
        </w:rPr>
        <w:t>孟川瑾等（</w:t>
      </w:r>
      <w:r w:rsidRPr="00093EDB">
        <w:rPr>
          <w:rFonts w:ascii="宋体" w:eastAsia="宋体" w:hAnsi="宋体" w:cs="Calibri" w:hint="eastAsia"/>
          <w:sz w:val="24"/>
          <w:szCs w:val="24"/>
        </w:rPr>
        <w:t>2008</w:t>
      </w:r>
      <w:r w:rsidRPr="00093EDB">
        <w:rPr>
          <w:rFonts w:ascii="宋体" w:eastAsia="宋体" w:hAnsi="宋体" w:cs="Times New Roman" w:hint="eastAsia"/>
          <w:sz w:val="24"/>
          <w:szCs w:val="24"/>
        </w:rPr>
        <w:t>）认为房地产企业的资金运营效率，会直接影响房地产企业的经营状况。因此企业要通过管理和改善资金运营效率的方式来促进企业经营业绩的提升</w:t>
      </w:r>
      <w:r w:rsidR="00CE4ED0">
        <w:rPr>
          <w:rFonts w:ascii="宋体" w:eastAsia="宋体" w:hAnsi="宋体" w:cs="Times New Roman" w:hint="eastAsia"/>
          <w:sz w:val="24"/>
          <w:szCs w:val="24"/>
        </w:rPr>
        <w:t>。</w:t>
      </w:r>
      <w:r w:rsidRPr="007A33C1">
        <w:rPr>
          <w:rFonts w:ascii="宋体" w:eastAsia="宋体" w:hAnsi="宋体" w:cs="Times New Roman" w:hint="eastAsia"/>
          <w:sz w:val="24"/>
          <w:szCs w:val="24"/>
        </w:rPr>
        <w:t>周悦刚（</w:t>
      </w:r>
      <w:r w:rsidRPr="007A33C1">
        <w:rPr>
          <w:rFonts w:ascii="宋体" w:eastAsia="宋体" w:hAnsi="宋体" w:cs="Calibri" w:hint="eastAsia"/>
          <w:sz w:val="24"/>
          <w:szCs w:val="24"/>
        </w:rPr>
        <w:t>2019</w:t>
      </w:r>
      <w:r w:rsidRPr="007A33C1">
        <w:rPr>
          <w:rFonts w:ascii="宋体" w:eastAsia="宋体" w:hAnsi="宋体" w:cs="Times New Roman" w:hint="eastAsia"/>
          <w:sz w:val="24"/>
          <w:szCs w:val="24"/>
        </w:rPr>
        <w:t>）通过</w:t>
      </w:r>
      <w:r w:rsidR="007A33C1">
        <w:rPr>
          <w:rFonts w:ascii="宋体" w:eastAsia="宋体" w:hAnsi="宋体" w:cs="Calibri"/>
          <w:sz w:val="24"/>
          <w:szCs w:val="24"/>
        </w:rPr>
        <w:t>DEA</w:t>
      </w:r>
      <w:r w:rsidRPr="007A33C1">
        <w:rPr>
          <w:rFonts w:ascii="宋体" w:eastAsia="宋体" w:hAnsi="宋体" w:cs="Times New Roman" w:hint="eastAsia"/>
          <w:sz w:val="24"/>
          <w:szCs w:val="24"/>
        </w:rPr>
        <w:t>模型研究了我国上市房地产企业全过程的融资效率，得出了我国上市房地产企业整体融资效率上位达到完全有效的状态，仍具有比较大的提升空间。孙翠兰（</w:t>
      </w:r>
      <w:r w:rsidRPr="007A33C1">
        <w:rPr>
          <w:rFonts w:ascii="宋体" w:eastAsia="宋体" w:hAnsi="宋体" w:cs="Calibri" w:hint="eastAsia"/>
          <w:sz w:val="24"/>
          <w:szCs w:val="24"/>
        </w:rPr>
        <w:t>2005</w:t>
      </w:r>
      <w:r w:rsidRPr="007A33C1">
        <w:rPr>
          <w:rFonts w:ascii="宋体" w:eastAsia="宋体" w:hAnsi="宋体" w:cs="Times New Roman" w:hint="eastAsia"/>
          <w:sz w:val="24"/>
          <w:szCs w:val="24"/>
        </w:rPr>
        <w:t>）认为在我国目前的宏观环境和房地产企业的发展情况下，房地产多元化融资方式的现实选择中，银行贷款在想当长一段时间内仍然会是我国房地产业多元化融资的主要渠道。刘建国（</w:t>
      </w:r>
      <w:r w:rsidRPr="007A33C1">
        <w:rPr>
          <w:rFonts w:ascii="宋体" w:eastAsia="宋体" w:hAnsi="宋体" w:cs="Calibri" w:hint="eastAsia"/>
          <w:sz w:val="24"/>
          <w:szCs w:val="24"/>
        </w:rPr>
        <w:t>2009</w:t>
      </w:r>
      <w:r w:rsidRPr="007A33C1">
        <w:rPr>
          <w:rFonts w:ascii="宋体" w:eastAsia="宋体" w:hAnsi="宋体" w:cs="Times New Roman" w:hint="eastAsia"/>
          <w:sz w:val="24"/>
          <w:szCs w:val="24"/>
        </w:rPr>
        <w:t>）通过对</w:t>
      </w:r>
      <w:r w:rsidRPr="007A33C1">
        <w:rPr>
          <w:rFonts w:ascii="宋体" w:eastAsia="宋体" w:hAnsi="宋体" w:cs="Calibri" w:hint="eastAsia"/>
          <w:sz w:val="24"/>
          <w:szCs w:val="24"/>
        </w:rPr>
        <w:t>2004</w:t>
      </w:r>
      <w:r w:rsidRPr="007A33C1">
        <w:rPr>
          <w:rFonts w:ascii="宋体" w:eastAsia="宋体" w:hAnsi="宋体" w:cs="Times New Roman" w:hint="eastAsia"/>
          <w:sz w:val="24"/>
          <w:szCs w:val="24"/>
        </w:rPr>
        <w:t>至</w:t>
      </w:r>
      <w:r w:rsidRPr="007A33C1">
        <w:rPr>
          <w:rFonts w:ascii="宋体" w:eastAsia="宋体" w:hAnsi="宋体" w:cs="Calibri" w:hint="eastAsia"/>
          <w:sz w:val="24"/>
          <w:szCs w:val="24"/>
        </w:rPr>
        <w:t>2008</w:t>
      </w:r>
      <w:r w:rsidRPr="007A33C1">
        <w:rPr>
          <w:rFonts w:ascii="宋体" w:eastAsia="宋体" w:hAnsi="宋体" w:cs="Times New Roman" w:hint="eastAsia"/>
          <w:sz w:val="24"/>
          <w:szCs w:val="24"/>
        </w:rPr>
        <w:t>年度房地产行业上市公司进行了融资结构的特征和变化趋势分析，最后得出房地产行业上市公司的融资结构具有其行业特色，对资金的需求是多样化的结论，因此除了股权融资，债券融资和银行贷款外，应该大力其他比较有潜力的融资方式。</w:t>
      </w:r>
    </w:p>
    <w:p w14:paraId="7B9E8EAF" w14:textId="006D3280" w:rsidR="00F85265" w:rsidRPr="00CE4ED0" w:rsidRDefault="00F85265" w:rsidP="00F85265">
      <w:pPr>
        <w:rPr>
          <w:rFonts w:ascii="宋体" w:eastAsia="宋体" w:hAnsi="宋体" w:cs="Times New Roman"/>
          <w:sz w:val="24"/>
          <w:szCs w:val="24"/>
        </w:rPr>
      </w:pPr>
      <w:r w:rsidRPr="007A33C1">
        <w:rPr>
          <w:rFonts w:ascii="宋体" w:eastAsia="宋体" w:hAnsi="宋体" w:cs="Times New Roman" w:hint="eastAsia"/>
          <w:sz w:val="24"/>
          <w:szCs w:val="24"/>
        </w:rPr>
        <w:t xml:space="preserve">    林中（</w:t>
      </w:r>
      <w:r w:rsidRPr="007A33C1">
        <w:rPr>
          <w:rFonts w:ascii="宋体" w:eastAsia="宋体" w:hAnsi="宋体" w:cs="Calibri" w:hint="eastAsia"/>
          <w:sz w:val="24"/>
          <w:szCs w:val="24"/>
        </w:rPr>
        <w:t>2021</w:t>
      </w:r>
      <w:r w:rsidRPr="007A33C1">
        <w:rPr>
          <w:rFonts w:ascii="宋体" w:eastAsia="宋体" w:hAnsi="宋体" w:cs="Times New Roman" w:hint="eastAsia"/>
          <w:sz w:val="24"/>
          <w:szCs w:val="24"/>
        </w:rPr>
        <w:t>）认为，“三道红线”如果全面实施会对房地产企业的增速减缓，弯道超车的房地产企业将很难再出现，房地产行业低俗的增长期会拉长，收并购的难度将增大，未来行业</w:t>
      </w:r>
      <w:r w:rsidRPr="007A33C1">
        <w:rPr>
          <w:rFonts w:ascii="宋体" w:eastAsia="宋体" w:hAnsi="宋体" w:cs="Calibri" w:hint="eastAsia"/>
          <w:sz w:val="24"/>
          <w:szCs w:val="24"/>
        </w:rPr>
        <w:t>10%</w:t>
      </w:r>
      <w:r w:rsidRPr="007A33C1">
        <w:rPr>
          <w:rFonts w:ascii="宋体" w:eastAsia="宋体" w:hAnsi="宋体" w:cs="Times New Roman" w:hint="eastAsia"/>
          <w:sz w:val="24"/>
          <w:szCs w:val="24"/>
        </w:rPr>
        <w:t>～</w:t>
      </w:r>
      <w:r w:rsidRPr="007A33C1">
        <w:rPr>
          <w:rFonts w:ascii="宋体" w:eastAsia="宋体" w:hAnsi="宋体" w:cs="Calibri" w:hint="eastAsia"/>
          <w:sz w:val="24"/>
          <w:szCs w:val="24"/>
        </w:rPr>
        <w:t>20%</w:t>
      </w:r>
      <w:r w:rsidRPr="007A33C1">
        <w:rPr>
          <w:rFonts w:ascii="宋体" w:eastAsia="宋体" w:hAnsi="宋体" w:cs="Times New Roman" w:hint="eastAsia"/>
          <w:sz w:val="24"/>
          <w:szCs w:val="24"/>
        </w:rPr>
        <w:t>增长的周期会拉得很长，形成“慢长牛”的市场。张翔（</w:t>
      </w:r>
      <w:r w:rsidRPr="007A33C1">
        <w:rPr>
          <w:rFonts w:ascii="宋体" w:eastAsia="宋体" w:hAnsi="宋体" w:cs="Calibri" w:hint="eastAsia"/>
          <w:sz w:val="24"/>
          <w:szCs w:val="24"/>
        </w:rPr>
        <w:t>2021</w:t>
      </w:r>
      <w:r w:rsidRPr="007A33C1">
        <w:rPr>
          <w:rFonts w:ascii="宋体" w:eastAsia="宋体" w:hAnsi="宋体" w:cs="Times New Roman" w:hint="eastAsia"/>
          <w:sz w:val="24"/>
          <w:szCs w:val="24"/>
        </w:rPr>
        <w:t>）认为，“三道红线”政策实行的大环境下，房地产企业可以考虑通过发行绿色债券，分拆物业上市，发展房地产私募股权基金的方式来有效的探索融资手段，拓宽融资渠道。王华兵（</w:t>
      </w:r>
      <w:r w:rsidRPr="007A33C1">
        <w:rPr>
          <w:rFonts w:ascii="宋体" w:eastAsia="宋体" w:hAnsi="宋体" w:cs="Calibri" w:hint="eastAsia"/>
          <w:sz w:val="24"/>
          <w:szCs w:val="24"/>
        </w:rPr>
        <w:t>2021</w:t>
      </w:r>
      <w:r w:rsidRPr="007A33C1">
        <w:rPr>
          <w:rFonts w:ascii="宋体" w:eastAsia="宋体" w:hAnsi="宋体" w:cs="Times New Roman" w:hint="eastAsia"/>
          <w:sz w:val="24"/>
          <w:szCs w:val="24"/>
        </w:rPr>
        <w:t>）认为，“三道红线”政策的出台，是对房地产企业“高负债”这一普遍问题的重视，房地产企业需要通过各种途径来达到</w:t>
      </w:r>
      <w:r w:rsidR="009E439F">
        <w:rPr>
          <w:rFonts w:ascii="宋体" w:eastAsia="宋体" w:hAnsi="宋体" w:cs="Times New Roman" w:hint="eastAsia"/>
          <w:sz w:val="24"/>
          <w:szCs w:val="24"/>
        </w:rPr>
        <w:t>降</w:t>
      </w:r>
      <w:r w:rsidRPr="007A33C1">
        <w:rPr>
          <w:rFonts w:ascii="宋体" w:eastAsia="宋体" w:hAnsi="宋体" w:cs="Times New Roman" w:hint="eastAsia"/>
          <w:sz w:val="24"/>
          <w:szCs w:val="24"/>
        </w:rPr>
        <w:t>负债的目的。艾振强（</w:t>
      </w:r>
      <w:r w:rsidRPr="007A33C1">
        <w:rPr>
          <w:rFonts w:ascii="宋体" w:eastAsia="宋体" w:hAnsi="宋体" w:cs="Calibri" w:hint="eastAsia"/>
          <w:sz w:val="24"/>
          <w:szCs w:val="24"/>
        </w:rPr>
        <w:t>2021</w:t>
      </w:r>
      <w:r w:rsidRPr="007A33C1">
        <w:rPr>
          <w:rFonts w:ascii="宋体" w:eastAsia="宋体" w:hAnsi="宋体" w:cs="Times New Roman" w:hint="eastAsia"/>
          <w:sz w:val="24"/>
          <w:szCs w:val="24"/>
        </w:rPr>
        <w:t>）认为对于房地产企业而言，为了保证“三道红线”达标，应当重视企业身的内生造血能力，房贷资源的有效配置有利于满足真实的住房需求，而当前“三道红线”实行的大环境下，不同档的房企的拿地力度都明显减弱，小股操盘的“超役模式”可能会成为部份房企的新型融资策略</w:t>
      </w:r>
      <w:r w:rsidR="00CE4ED0">
        <w:rPr>
          <w:rFonts w:ascii="宋体" w:eastAsia="宋体" w:hAnsi="宋体" w:cs="Times New Roman" w:hint="eastAsia"/>
          <w:sz w:val="24"/>
          <w:szCs w:val="24"/>
        </w:rPr>
        <w:t>。</w:t>
      </w:r>
      <w:r w:rsidRPr="007A33C1">
        <w:rPr>
          <w:rFonts w:ascii="宋体" w:eastAsia="宋体" w:hAnsi="宋体" w:cs="Times New Roman" w:hint="eastAsia"/>
          <w:sz w:val="24"/>
          <w:szCs w:val="24"/>
        </w:rPr>
        <w:t>张怡媛（</w:t>
      </w:r>
      <w:r w:rsidRPr="007A33C1">
        <w:rPr>
          <w:rFonts w:ascii="宋体" w:eastAsia="宋体" w:hAnsi="宋体" w:cs="Calibri" w:hint="eastAsia"/>
          <w:sz w:val="24"/>
          <w:szCs w:val="24"/>
        </w:rPr>
        <w:t>2021</w:t>
      </w:r>
      <w:r w:rsidRPr="007A33C1">
        <w:rPr>
          <w:rFonts w:ascii="宋体" w:eastAsia="宋体" w:hAnsi="宋体" w:cs="Times New Roman" w:hint="eastAsia"/>
          <w:sz w:val="24"/>
          <w:szCs w:val="24"/>
        </w:rPr>
        <w:t>）认为，为了配合“三道红线”政策的实施，红档房企应当停止负债强化销售，橙档房企应当提高周转速率，实现负债增速小于或等于回款增速，黄档房企应当增加所有者权益强化战略性投资，绿档房企应当提高预收款回收速度，专注产品质量。梁荣栋等（</w:t>
      </w:r>
      <w:r w:rsidRPr="007A33C1">
        <w:rPr>
          <w:rFonts w:ascii="宋体" w:eastAsia="宋体" w:hAnsi="宋体" w:cs="Calibri" w:hint="eastAsia"/>
          <w:sz w:val="24"/>
          <w:szCs w:val="24"/>
        </w:rPr>
        <w:t>2021</w:t>
      </w:r>
      <w:r w:rsidRPr="007A33C1">
        <w:rPr>
          <w:rFonts w:ascii="宋体" w:eastAsia="宋体" w:hAnsi="宋体" w:cs="Times New Roman" w:hint="eastAsia"/>
          <w:sz w:val="24"/>
          <w:szCs w:val="24"/>
        </w:rPr>
        <w:t>）认为，“三道红线”的实行会导致房地产行业的整体偿债能力减弱，行业整体信用风险会有所上升，部分杠杆水平较高，偿债能力较弱的房企的盈利能力又比较明显的下降。卢玮哲（</w:t>
      </w:r>
      <w:r w:rsidRPr="007A33C1">
        <w:rPr>
          <w:rFonts w:ascii="宋体" w:eastAsia="宋体" w:hAnsi="宋体" w:cs="Calibri" w:hint="eastAsia"/>
          <w:sz w:val="24"/>
          <w:szCs w:val="24"/>
        </w:rPr>
        <w:t>2021</w:t>
      </w:r>
      <w:r w:rsidRPr="007A33C1">
        <w:rPr>
          <w:rFonts w:ascii="宋体" w:eastAsia="宋体" w:hAnsi="宋体" w:cs="Times New Roman" w:hint="eastAsia"/>
          <w:sz w:val="24"/>
          <w:szCs w:val="24"/>
        </w:rPr>
        <w:t>）就如何在银行授信评估缓解进一步识别房地产企业的潜在负债进行分析，指出不少房地产企业并没有真正的改善自身经营状况和财务结构，而是重点通过明股实债等方式，加大了报表调节能力。这样的行为会隐藏房企的有息负债。</w:t>
      </w:r>
    </w:p>
    <w:p w14:paraId="0CD4C537" w14:textId="77777777" w:rsidR="00F85265" w:rsidRPr="000A1443" w:rsidRDefault="00F85265" w:rsidP="00F85265">
      <w:pPr>
        <w:pStyle w:val="3"/>
        <w:rPr>
          <w:rFonts w:ascii="Calibri" w:hAnsi="Calibri"/>
        </w:rPr>
      </w:pPr>
      <w:bookmarkStart w:id="11" w:name="_Toc103640964"/>
      <w:r>
        <w:rPr>
          <w:rFonts w:hint="eastAsia"/>
        </w:rPr>
        <w:t>1</w:t>
      </w:r>
      <w:r>
        <w:t>.2.2</w:t>
      </w:r>
      <w:r>
        <w:rPr>
          <w:rFonts w:hint="eastAsia"/>
        </w:rPr>
        <w:t>房地产企业融资相关研究评价</w:t>
      </w:r>
      <w:bookmarkEnd w:id="11"/>
    </w:p>
    <w:p w14:paraId="32080847" w14:textId="7B5FA8DB" w:rsidR="00F85265" w:rsidRPr="009E439F" w:rsidRDefault="00F85265" w:rsidP="009E439F">
      <w:pPr>
        <w:ind w:firstLineChars="200" w:firstLine="480"/>
        <w:rPr>
          <w:rFonts w:ascii="宋体" w:eastAsia="宋体" w:hAnsi="宋体" w:cs="Times New Roman"/>
          <w:sz w:val="24"/>
          <w:szCs w:val="24"/>
        </w:rPr>
      </w:pPr>
      <w:r w:rsidRPr="009E439F">
        <w:rPr>
          <w:rFonts w:ascii="宋体" w:eastAsia="宋体" w:hAnsi="宋体" w:cs="Times New Roman" w:hint="eastAsia"/>
          <w:sz w:val="24"/>
          <w:szCs w:val="24"/>
        </w:rPr>
        <w:t>综上所述，对于企业融资问题，国内外的学者已经做了很多的深入研究，主</w:t>
      </w:r>
      <w:r w:rsidRPr="009E439F">
        <w:rPr>
          <w:rFonts w:ascii="宋体" w:eastAsia="宋体" w:hAnsi="宋体" w:cs="Times New Roman" w:hint="eastAsia"/>
          <w:sz w:val="24"/>
          <w:szCs w:val="24"/>
        </w:rPr>
        <w:lastRenderedPageBreak/>
        <w:t>要是针对企业的融资战略规划，融资路径的选择，以及影响融资活动的相关因素，然而针对研究房地产企业融资规划的文献却相对较少。在过去的几年内，也有部份学者对政府每一次的房地产行业宏观调控进行研究，利用现有的融资工具为研究目标，对融资类型和融资效率进行分析，“三道红线”政策于</w:t>
      </w:r>
      <w:r w:rsidRPr="009E439F">
        <w:rPr>
          <w:rFonts w:ascii="宋体" w:eastAsia="宋体" w:hAnsi="宋体" w:cs="Calibri" w:hint="eastAsia"/>
          <w:sz w:val="24"/>
          <w:szCs w:val="24"/>
        </w:rPr>
        <w:t>2021</w:t>
      </w:r>
      <w:r w:rsidRPr="009E439F">
        <w:rPr>
          <w:rFonts w:ascii="宋体" w:eastAsia="宋体" w:hAnsi="宋体" w:cs="Times New Roman" w:hint="eastAsia"/>
          <w:sz w:val="24"/>
          <w:szCs w:val="24"/>
        </w:rPr>
        <w:t>年</w:t>
      </w:r>
      <w:r w:rsidRPr="009E439F">
        <w:rPr>
          <w:rFonts w:ascii="宋体" w:eastAsia="宋体" w:hAnsi="宋体" w:cs="Calibri" w:hint="eastAsia"/>
          <w:sz w:val="24"/>
          <w:szCs w:val="24"/>
        </w:rPr>
        <w:t>1</w:t>
      </w:r>
      <w:r w:rsidRPr="009E439F">
        <w:rPr>
          <w:rFonts w:ascii="宋体" w:eastAsia="宋体" w:hAnsi="宋体" w:cs="Times New Roman" w:hint="eastAsia"/>
          <w:sz w:val="24"/>
          <w:szCs w:val="24"/>
        </w:rPr>
        <w:t>月</w:t>
      </w:r>
      <w:r w:rsidRPr="009E439F">
        <w:rPr>
          <w:rFonts w:ascii="宋体" w:eastAsia="宋体" w:hAnsi="宋体" w:cs="Calibri" w:hint="eastAsia"/>
          <w:sz w:val="24"/>
          <w:szCs w:val="24"/>
        </w:rPr>
        <w:t>1</w:t>
      </w:r>
      <w:r w:rsidRPr="009E439F">
        <w:rPr>
          <w:rFonts w:ascii="宋体" w:eastAsia="宋体" w:hAnsi="宋体" w:cs="Times New Roman" w:hint="eastAsia"/>
          <w:sz w:val="24"/>
          <w:szCs w:val="24"/>
        </w:rPr>
        <w:t>日起正式实施，在此背景下对房地产企业融资的研究相对较少。也有学者以一家具体公司作为案例，集合其融资环境对其融资方案进行选择分析，具有较强的针对性和实用性。但是还没有学者以“三道红线”政策为出发点，对房地产企业整体的融资活动做出实证类型的研究和论证。</w:t>
      </w:r>
      <w:r w:rsidR="009E439F">
        <w:rPr>
          <w:rFonts w:ascii="宋体" w:eastAsia="宋体" w:hAnsi="宋体" w:cs="Times New Roman" w:hint="eastAsia"/>
          <w:sz w:val="24"/>
          <w:szCs w:val="24"/>
        </w:rPr>
        <w:t>本文将采用实证分析来探究</w:t>
      </w:r>
      <w:r w:rsidR="000F44EA">
        <w:rPr>
          <w:rFonts w:ascii="宋体" w:eastAsia="宋体" w:hAnsi="宋体" w:cs="Times New Roman" w:hint="eastAsia"/>
          <w:sz w:val="24"/>
          <w:szCs w:val="24"/>
        </w:rPr>
        <w:t>“三道红线”中的三个财务比率和房地产企业自身五类融资方式占比之间的关系，然后结合政策中规制的方向得出房地产企业融资结构的改变。</w:t>
      </w:r>
      <w:r w:rsidRPr="009E439F">
        <w:rPr>
          <w:rFonts w:ascii="宋体" w:eastAsia="宋体" w:hAnsi="宋体" w:cs="Times New Roman" w:hint="eastAsia"/>
          <w:sz w:val="24"/>
          <w:szCs w:val="24"/>
        </w:rPr>
        <w:t>研究方法也不仅局限于案例分析法，而是将结合理论分析法和实证分析法，利用科学可靠的数据进行实证分析，更加客观真实的反映“三道红线”政策对房地产企业融资的影响。另外，房地产企业之间在某些方面具有相似性，因此研究结果对其他房地产企业也会有借鉴作用。</w:t>
      </w:r>
    </w:p>
    <w:p w14:paraId="793269AD" w14:textId="77777777" w:rsidR="00F85265" w:rsidRPr="000A1443" w:rsidRDefault="00F85265" w:rsidP="00F85265">
      <w:pPr>
        <w:pStyle w:val="2"/>
      </w:pPr>
      <w:r w:rsidRPr="000A1443">
        <w:rPr>
          <w:rFonts w:hint="eastAsia"/>
        </w:rPr>
        <w:t xml:space="preserve"> </w:t>
      </w:r>
      <w:bookmarkStart w:id="12" w:name="_Toc103640965"/>
      <w:r>
        <w:t xml:space="preserve">1.3 </w:t>
      </w:r>
      <w:r>
        <w:rPr>
          <w:rFonts w:hint="eastAsia"/>
        </w:rPr>
        <w:t>研究内容与技术路线</w:t>
      </w:r>
      <w:bookmarkEnd w:id="12"/>
    </w:p>
    <w:p w14:paraId="1E0D028B" w14:textId="77777777" w:rsidR="00F85265" w:rsidRPr="000A1443" w:rsidRDefault="00F85265" w:rsidP="00F85265">
      <w:pPr>
        <w:pStyle w:val="3"/>
        <w:rPr>
          <w:rFonts w:ascii="Calibri" w:hAnsi="Calibri"/>
        </w:rPr>
      </w:pPr>
      <w:bookmarkStart w:id="13" w:name="_Toc103640966"/>
      <w:r>
        <w:t>1.3.1</w:t>
      </w:r>
      <w:r w:rsidRPr="000A1443">
        <w:rPr>
          <w:rFonts w:hint="eastAsia"/>
        </w:rPr>
        <w:t>研究内容</w:t>
      </w:r>
      <w:bookmarkEnd w:id="13"/>
    </w:p>
    <w:p w14:paraId="74274929" w14:textId="77777777" w:rsidR="00F85265" w:rsidRPr="000F44EA" w:rsidRDefault="00F85265" w:rsidP="000F44EA">
      <w:pPr>
        <w:ind w:firstLineChars="200" w:firstLine="480"/>
        <w:rPr>
          <w:rFonts w:ascii="宋体" w:eastAsia="宋体" w:hAnsi="宋体" w:cs="Times New Roman"/>
          <w:sz w:val="24"/>
          <w:szCs w:val="24"/>
        </w:rPr>
      </w:pPr>
      <w:r w:rsidRPr="000F44EA">
        <w:rPr>
          <w:rFonts w:ascii="宋体" w:eastAsia="宋体" w:hAnsi="宋体" w:cs="Times New Roman" w:hint="eastAsia"/>
          <w:sz w:val="24"/>
          <w:szCs w:val="24"/>
        </w:rPr>
        <w:t>（1）绪论。这一部分主要阐明本文的研究背景，目的和意义，以及国内外相关文献综述和对文献的述评，研究内容和采用的方法。文献综述主要从企业融资策略研究出发，围绕房地产企业的融资路径，融资渠道，融资结构三个方面展开。</w:t>
      </w:r>
    </w:p>
    <w:p w14:paraId="222EB2B7" w14:textId="77777777" w:rsidR="00F85265" w:rsidRPr="000F44EA" w:rsidRDefault="00F85265" w:rsidP="000F44EA">
      <w:pPr>
        <w:ind w:firstLineChars="200" w:firstLine="480"/>
        <w:rPr>
          <w:rFonts w:ascii="宋体" w:eastAsia="宋体" w:hAnsi="宋体" w:cs="Times New Roman"/>
          <w:sz w:val="24"/>
          <w:szCs w:val="24"/>
        </w:rPr>
      </w:pPr>
      <w:r w:rsidRPr="000F44EA">
        <w:rPr>
          <w:rFonts w:ascii="宋体" w:eastAsia="宋体" w:hAnsi="宋体" w:cs="Times New Roman" w:hint="eastAsia"/>
          <w:sz w:val="24"/>
          <w:szCs w:val="24"/>
        </w:rPr>
        <w:t>（2）理论概述及制度背景。这一部分主要介绍了企业融资基本理论，房地产行业基本特征，房地产企业融资相关理论以及“三道红线”的具体实行步骤</w:t>
      </w:r>
    </w:p>
    <w:p w14:paraId="748AE407" w14:textId="77777777" w:rsidR="00F85265" w:rsidRPr="000F44EA" w:rsidRDefault="00F85265" w:rsidP="000F44EA">
      <w:pPr>
        <w:ind w:firstLineChars="200" w:firstLine="480"/>
        <w:rPr>
          <w:rFonts w:ascii="宋体" w:eastAsia="宋体" w:hAnsi="宋体" w:cs="Times New Roman"/>
          <w:sz w:val="24"/>
          <w:szCs w:val="24"/>
        </w:rPr>
      </w:pPr>
      <w:r w:rsidRPr="000F44EA">
        <w:rPr>
          <w:rFonts w:ascii="宋体" w:eastAsia="宋体" w:hAnsi="宋体" w:cs="Times New Roman" w:hint="eastAsia"/>
          <w:sz w:val="24"/>
          <w:szCs w:val="24"/>
        </w:rPr>
        <w:t>（3）房地产企业现状以及“三道红线”对房地产企业融资影响的理论分析。从房地产企业发展现状，“三道红香”政策具体的监管指标，“三道红线”对房地产企业的融资规模，融资结构，融资渠道的影响，三个方面进行分析。</w:t>
      </w:r>
    </w:p>
    <w:p w14:paraId="775C5BB0" w14:textId="25B8C9F1" w:rsidR="00F85265" w:rsidRPr="000A1443" w:rsidRDefault="00F85265" w:rsidP="000F44EA">
      <w:pPr>
        <w:ind w:firstLineChars="200" w:firstLine="480"/>
        <w:rPr>
          <w:rFonts w:ascii="Calibri" w:hAnsi="Calibri" w:cs="Times New Roman"/>
          <w:szCs w:val="21"/>
        </w:rPr>
      </w:pPr>
      <w:r w:rsidRPr="000F44EA">
        <w:rPr>
          <w:rFonts w:ascii="宋体" w:eastAsia="宋体" w:hAnsi="宋体" w:cs="Times New Roman" w:hint="eastAsia"/>
          <w:sz w:val="24"/>
          <w:szCs w:val="24"/>
        </w:rPr>
        <w:t>（4）实证研究结论与对策建议。根据科学可靠数据进行实证分析，结合实证分析的结果，从“三道红线”政策，房地产企业两个层面提出“三道红线”的应对建议。希望对相关部门科学有效的监管房地产企业，促进房地产企业的财务状况健康的发展能够有所贡献。</w:t>
      </w:r>
    </w:p>
    <w:p w14:paraId="2D365AE9" w14:textId="77777777" w:rsidR="00F85265" w:rsidRPr="000A1443" w:rsidRDefault="00F85265" w:rsidP="00F85265">
      <w:pPr>
        <w:pStyle w:val="3"/>
        <w:rPr>
          <w:rFonts w:ascii="Calibri" w:hAnsi="Calibri"/>
        </w:rPr>
      </w:pPr>
      <w:bookmarkStart w:id="14" w:name="_Toc103640967"/>
      <w:r>
        <w:rPr>
          <w:rFonts w:hint="eastAsia"/>
        </w:rPr>
        <w:t>1</w:t>
      </w:r>
      <w:r>
        <w:t>.3.2</w:t>
      </w:r>
      <w:r w:rsidRPr="000A1443">
        <w:rPr>
          <w:rFonts w:hint="eastAsia"/>
        </w:rPr>
        <w:t>技术路线</w:t>
      </w:r>
      <w:r>
        <w:rPr>
          <w:rFonts w:hint="eastAsia"/>
        </w:rPr>
        <w:t>：</w:t>
      </w:r>
      <w:bookmarkEnd w:id="14"/>
    </w:p>
    <w:p w14:paraId="194A6CBF" w14:textId="77777777" w:rsidR="00F85265" w:rsidRPr="000A1443" w:rsidRDefault="00F85265" w:rsidP="00F85265">
      <w:pPr>
        <w:rPr>
          <w:rFonts w:ascii="Calibri" w:hAnsi="Calibri" w:cs="Times New Roman"/>
          <w:szCs w:val="21"/>
        </w:rPr>
      </w:pPr>
      <w:r w:rsidRPr="000A1443">
        <w:rPr>
          <w:rFonts w:ascii="Calibri" w:hAnsi="Calibri" w:cs="Times New Roman" w:hint="eastAsia"/>
          <w:szCs w:val="21"/>
        </w:rPr>
        <w:t xml:space="preserve"> </w:t>
      </w:r>
    </w:p>
    <w:p w14:paraId="573A9588" w14:textId="77777777" w:rsidR="00F85265" w:rsidRPr="000A1443" w:rsidRDefault="00F85265" w:rsidP="00F85265">
      <w:pPr>
        <w:pStyle w:val="2"/>
        <w:rPr>
          <w:rFonts w:ascii="Calibri" w:hAnsi="Calibri"/>
        </w:rPr>
      </w:pPr>
      <w:bookmarkStart w:id="15" w:name="_Toc103640968"/>
      <w:r>
        <w:rPr>
          <w:rFonts w:hint="eastAsia"/>
        </w:rPr>
        <w:lastRenderedPageBreak/>
        <w:t>1</w:t>
      </w:r>
      <w:r>
        <w:t>.4</w:t>
      </w:r>
      <w:r w:rsidRPr="000A1443">
        <w:rPr>
          <w:rFonts w:hint="eastAsia"/>
        </w:rPr>
        <w:t>研究方法</w:t>
      </w:r>
      <w:bookmarkEnd w:id="15"/>
    </w:p>
    <w:p w14:paraId="7D875A72" w14:textId="77777777" w:rsidR="00F85265" w:rsidRPr="000A1443" w:rsidRDefault="00F85265" w:rsidP="00F85265">
      <w:pPr>
        <w:pStyle w:val="3"/>
        <w:rPr>
          <w:rFonts w:ascii="Calibri" w:hAnsi="Calibri"/>
        </w:rPr>
      </w:pPr>
      <w:bookmarkStart w:id="16" w:name="_Toc103640969"/>
      <w:r>
        <w:rPr>
          <w:rFonts w:hint="eastAsia"/>
        </w:rPr>
        <w:t>1</w:t>
      </w:r>
      <w:r>
        <w:t>.4.1</w:t>
      </w:r>
      <w:r w:rsidRPr="000A1443">
        <w:rPr>
          <w:rFonts w:hint="eastAsia"/>
        </w:rPr>
        <w:t>文献研究法</w:t>
      </w:r>
      <w:bookmarkEnd w:id="16"/>
    </w:p>
    <w:p w14:paraId="4CA5B1A9" w14:textId="77777777" w:rsidR="00F85265" w:rsidRPr="000A1443" w:rsidRDefault="00F85265" w:rsidP="000F44EA">
      <w:pPr>
        <w:ind w:firstLineChars="200" w:firstLine="480"/>
        <w:rPr>
          <w:rFonts w:ascii="Calibri" w:hAnsi="Calibri" w:cs="Times New Roman"/>
          <w:szCs w:val="21"/>
        </w:rPr>
      </w:pPr>
      <w:r w:rsidRPr="000F44EA">
        <w:rPr>
          <w:rFonts w:ascii="宋体" w:eastAsia="宋体" w:hAnsi="宋体" w:cs="Times New Roman" w:hint="eastAsia"/>
          <w:sz w:val="24"/>
          <w:szCs w:val="24"/>
        </w:rPr>
        <w:t>论文的研究建立在国内外对企业融资的文献基础之上，查阅并研读国内历年来权威杂志对房地产行业多轮调控政策的解读，并学习专业学者对于这些调控政策的研究，以期对我国目前的房地产行业发展现状有一定把握，对“三道红线”政策监管的根本指标有一定了解，查阅房地产上市企业的财务报表并收集整理具有研究价值的数据，在已经初步建立理论知识体系的基础上，结合相关文献的观点，展开对房地产企业融资的研究。</w:t>
      </w:r>
    </w:p>
    <w:p w14:paraId="0B9D901E" w14:textId="77777777" w:rsidR="00F85265" w:rsidRPr="000F1F23" w:rsidRDefault="00F85265" w:rsidP="00F85265">
      <w:pPr>
        <w:pStyle w:val="3"/>
      </w:pPr>
      <w:bookmarkStart w:id="17" w:name="_Toc103640970"/>
      <w:r>
        <w:rPr>
          <w:rFonts w:hint="eastAsia"/>
        </w:rPr>
        <w:t>1</w:t>
      </w:r>
      <w:r>
        <w:t>.4.2</w:t>
      </w:r>
      <w:r w:rsidRPr="000A1443">
        <w:rPr>
          <w:rFonts w:hint="eastAsia"/>
        </w:rPr>
        <w:t>实证分析相结合方法</w:t>
      </w:r>
      <w:bookmarkEnd w:id="17"/>
    </w:p>
    <w:p w14:paraId="36AE7BB5" w14:textId="562217F4" w:rsidR="00F85265" w:rsidRPr="000F44EA" w:rsidRDefault="00F85265" w:rsidP="00F85265">
      <w:pPr>
        <w:rPr>
          <w:rFonts w:ascii="宋体" w:eastAsia="宋体" w:hAnsi="宋体" w:cs="Times New Roman"/>
          <w:sz w:val="24"/>
          <w:szCs w:val="24"/>
        </w:rPr>
      </w:pPr>
      <w:r w:rsidRPr="000F44EA">
        <w:rPr>
          <w:rFonts w:ascii="宋体" w:eastAsia="宋体" w:hAnsi="宋体" w:cs="Times New Roman" w:hint="eastAsia"/>
          <w:sz w:val="24"/>
          <w:szCs w:val="24"/>
        </w:rPr>
        <w:t xml:space="preserve"> </w:t>
      </w:r>
      <w:r w:rsidR="000F44EA">
        <w:rPr>
          <w:rFonts w:ascii="宋体" w:eastAsia="宋体" w:hAnsi="宋体" w:cs="Times New Roman"/>
          <w:sz w:val="24"/>
          <w:szCs w:val="24"/>
        </w:rPr>
        <w:t xml:space="preserve">   </w:t>
      </w:r>
      <w:r w:rsidRPr="000F44EA">
        <w:rPr>
          <w:rFonts w:ascii="宋体" w:eastAsia="宋体" w:hAnsi="宋体" w:cs="Times New Roman" w:hint="eastAsia"/>
          <w:sz w:val="24"/>
          <w:szCs w:val="24"/>
        </w:rPr>
        <w:t>本文首先将对房地产企业各类融资方式的基础理论进行学习和归纳，总结出各类融资方式的特点，对相关变量进行区分和界定，建立“三道红线”政策对房地产企业融资影响的模型。收集房地产上市企业财务报表相关数据，运用E</w:t>
      </w:r>
      <w:r w:rsidRPr="000F44EA">
        <w:rPr>
          <w:rFonts w:ascii="宋体" w:eastAsia="宋体" w:hAnsi="宋体" w:cs="Times New Roman"/>
          <w:sz w:val="24"/>
          <w:szCs w:val="24"/>
        </w:rPr>
        <w:t>xcel</w:t>
      </w:r>
      <w:r w:rsidRPr="000F44EA">
        <w:rPr>
          <w:rFonts w:ascii="宋体" w:eastAsia="宋体" w:hAnsi="宋体" w:cs="Times New Roman" w:hint="eastAsia"/>
          <w:sz w:val="24"/>
          <w:szCs w:val="24"/>
        </w:rPr>
        <w:t>和Stata软件进行实证分析，最后针对实证结果得出结论，并依据结论提出对策建议。</w:t>
      </w:r>
    </w:p>
    <w:p w14:paraId="5ECC9A0E" w14:textId="77777777" w:rsidR="00F85265" w:rsidRPr="000A1443" w:rsidRDefault="00F85265" w:rsidP="00F85265">
      <w:pPr>
        <w:pStyle w:val="3"/>
        <w:rPr>
          <w:rFonts w:ascii="Calibri" w:hAnsi="Calibri"/>
        </w:rPr>
      </w:pPr>
      <w:bookmarkStart w:id="18" w:name="_Toc103640971"/>
      <w:r>
        <w:rPr>
          <w:rFonts w:hint="eastAsia"/>
        </w:rPr>
        <w:t>1</w:t>
      </w:r>
      <w:r>
        <w:t>.4.3</w:t>
      </w:r>
      <w:r w:rsidRPr="000A1443">
        <w:rPr>
          <w:rFonts w:hint="eastAsia"/>
        </w:rPr>
        <w:t>比较分析法</w:t>
      </w:r>
      <w:bookmarkEnd w:id="18"/>
    </w:p>
    <w:p w14:paraId="6A3EF9FA" w14:textId="77777777" w:rsidR="00F85265" w:rsidRPr="000F44EA" w:rsidRDefault="00F85265" w:rsidP="000F44EA">
      <w:pPr>
        <w:ind w:firstLineChars="200" w:firstLine="480"/>
        <w:rPr>
          <w:rFonts w:ascii="宋体" w:eastAsia="宋体" w:hAnsi="宋体" w:cs="Times New Roman"/>
          <w:sz w:val="24"/>
          <w:szCs w:val="24"/>
        </w:rPr>
      </w:pPr>
      <w:r w:rsidRPr="000F44EA">
        <w:rPr>
          <w:rFonts w:ascii="宋体" w:eastAsia="宋体" w:hAnsi="宋体" w:cs="Times New Roman" w:hint="eastAsia"/>
          <w:sz w:val="24"/>
          <w:szCs w:val="24"/>
        </w:rPr>
        <w:t>在理论分析和实证分析的基础之上，进行两个角度的比较分析。从同一时期内被分到不同档位的房企角度出发，对比各档位房地产企业之间的融资结构，评估“三道红线“政策的对房地产企业融资的影响。从政策实行的角度出发，对比同一档房地产企业在政策实行先后的融资结构和活动，评估“三道红线”政策对房地产企业的融资的影响。</w:t>
      </w:r>
    </w:p>
    <w:p w14:paraId="2CB649D8" w14:textId="77777777" w:rsidR="00F85265" w:rsidRDefault="00F85265" w:rsidP="00F85265"/>
    <w:p w14:paraId="7F8DDACB" w14:textId="77777777" w:rsidR="000F44EA" w:rsidRDefault="000F44EA" w:rsidP="00F85265"/>
    <w:p w14:paraId="37DB4138" w14:textId="77777777" w:rsidR="005727F1" w:rsidRDefault="005727F1" w:rsidP="00F85265"/>
    <w:p w14:paraId="58F587D7" w14:textId="23C2A5BF" w:rsidR="005727F1" w:rsidRPr="005727F1" w:rsidRDefault="005727F1" w:rsidP="005727F1">
      <w:pPr>
        <w:pStyle w:val="1"/>
        <w:jc w:val="center"/>
        <w:rPr>
          <w:rFonts w:ascii="Calibri" w:hAnsi="Calibri"/>
        </w:rPr>
      </w:pPr>
      <w:bookmarkStart w:id="19" w:name="_Toc103640972"/>
      <w:r>
        <w:rPr>
          <w:rFonts w:hint="eastAsia"/>
        </w:rPr>
        <w:t xml:space="preserve">第2章 </w:t>
      </w:r>
      <w:r w:rsidRPr="000A1443">
        <w:rPr>
          <w:rFonts w:hint="eastAsia"/>
        </w:rPr>
        <w:t>理论概述及制度背景</w:t>
      </w:r>
      <w:bookmarkEnd w:id="19"/>
      <w:r w:rsidRPr="000A1443">
        <w:rPr>
          <w:rFonts w:ascii="Calibri" w:hAnsi="Calibri" w:cs="Times New Roman" w:hint="eastAsia"/>
          <w:sz w:val="21"/>
          <w:szCs w:val="21"/>
        </w:rPr>
        <w:t xml:space="preserve"> </w:t>
      </w:r>
    </w:p>
    <w:p w14:paraId="041D63D8" w14:textId="7D5D43DC" w:rsidR="005727F1" w:rsidRPr="005727F1" w:rsidRDefault="005727F1" w:rsidP="005727F1">
      <w:pPr>
        <w:pStyle w:val="2"/>
        <w:rPr>
          <w:rFonts w:ascii="Calibri" w:hAnsi="Calibri"/>
        </w:rPr>
      </w:pPr>
      <w:bookmarkStart w:id="20" w:name="_Toc103640973"/>
      <w:r>
        <w:rPr>
          <w:rFonts w:hint="eastAsia"/>
        </w:rPr>
        <w:t>2</w:t>
      </w:r>
      <w:r>
        <w:t>.1</w:t>
      </w:r>
      <w:r w:rsidRPr="000A1443">
        <w:rPr>
          <w:rFonts w:hint="eastAsia"/>
        </w:rPr>
        <w:t>上市公司融资结构相关理论</w:t>
      </w:r>
      <w:bookmarkEnd w:id="20"/>
      <w:r w:rsidRPr="000A1443">
        <w:rPr>
          <w:rFonts w:ascii="Calibri" w:hAnsi="Calibri" w:cs="Times New Roman" w:hint="eastAsia"/>
          <w:sz w:val="21"/>
          <w:szCs w:val="21"/>
        </w:rPr>
        <w:t xml:space="preserve"> </w:t>
      </w:r>
    </w:p>
    <w:p w14:paraId="768C13BB" w14:textId="77777777" w:rsidR="005727F1" w:rsidRPr="000A1443" w:rsidRDefault="005727F1" w:rsidP="005727F1">
      <w:pPr>
        <w:pStyle w:val="3"/>
        <w:rPr>
          <w:rFonts w:ascii="Calibri" w:hAnsi="Calibri"/>
        </w:rPr>
      </w:pPr>
      <w:bookmarkStart w:id="21" w:name="_Toc103640974"/>
      <w:r>
        <w:rPr>
          <w:rFonts w:ascii="Calibri" w:hAnsi="Calibri" w:cs="Calibri"/>
        </w:rPr>
        <w:t>2.1.1</w:t>
      </w:r>
      <w:r w:rsidRPr="000A1443">
        <w:rPr>
          <w:rFonts w:ascii="Calibri" w:hAnsi="Calibri" w:cs="Calibri" w:hint="eastAsia"/>
        </w:rPr>
        <w:t xml:space="preserve"> </w:t>
      </w:r>
      <w:r w:rsidRPr="000A1443">
        <w:rPr>
          <w:rFonts w:hint="eastAsia"/>
        </w:rPr>
        <w:t>股权融资理论</w:t>
      </w:r>
      <w:bookmarkEnd w:id="21"/>
    </w:p>
    <w:p w14:paraId="76DDEAF6" w14:textId="063E4848" w:rsidR="005727F1" w:rsidRPr="005727F1" w:rsidRDefault="005727F1" w:rsidP="005727F1">
      <w:pPr>
        <w:rPr>
          <w:rFonts w:ascii="宋体" w:eastAsia="宋体" w:hAnsi="宋体" w:cs="Times New Roman"/>
          <w:sz w:val="24"/>
          <w:szCs w:val="24"/>
        </w:rPr>
      </w:pPr>
      <w:r w:rsidRPr="000A1443">
        <w:rPr>
          <w:rFonts w:ascii="Calibri" w:hAnsi="Calibri" w:cs="Times New Roman" w:hint="eastAsia"/>
          <w:szCs w:val="21"/>
        </w:rPr>
        <w:t xml:space="preserve">   </w:t>
      </w:r>
      <w:r>
        <w:rPr>
          <w:rFonts w:ascii="Calibri" w:hAnsi="Calibri" w:cs="Times New Roman"/>
          <w:szCs w:val="21"/>
        </w:rPr>
        <w:t xml:space="preserve">  </w:t>
      </w:r>
      <w:r w:rsidRPr="005727F1">
        <w:rPr>
          <w:rFonts w:ascii="宋体" w:eastAsia="宋体" w:hAnsi="宋体" w:cs="Times New Roman" w:hint="eastAsia"/>
          <w:sz w:val="24"/>
          <w:szCs w:val="24"/>
        </w:rPr>
        <w:t>上市公司的股权融资，一般指股东出让一部分企业所有权，私营新股东以增资的方式加入本公司，总股本也会因此增加。 股权融资属于私募的一种，以此</w:t>
      </w:r>
      <w:r w:rsidRPr="005727F1">
        <w:rPr>
          <w:rFonts w:ascii="宋体" w:eastAsia="宋体" w:hAnsi="宋体" w:cs="Times New Roman" w:hint="eastAsia"/>
          <w:sz w:val="24"/>
          <w:szCs w:val="24"/>
        </w:rPr>
        <w:lastRenderedPageBreak/>
        <w:t>方式获得的资金，企业无须还本付息，但是新加入的股东享受本企业的盈利与分红。</w:t>
      </w:r>
    </w:p>
    <w:p w14:paraId="3A8BCD4A" w14:textId="090DAC3E" w:rsidR="005727F1" w:rsidRPr="005727F1" w:rsidRDefault="005727F1" w:rsidP="005727F1">
      <w:pPr>
        <w:rPr>
          <w:rFonts w:ascii="宋体" w:eastAsia="宋体" w:hAnsi="宋体" w:cs="Times New Roman"/>
          <w:sz w:val="24"/>
          <w:szCs w:val="24"/>
        </w:rPr>
      </w:pPr>
      <w:r w:rsidRPr="005727F1">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Pr="005727F1">
        <w:rPr>
          <w:rFonts w:ascii="宋体" w:eastAsia="宋体" w:hAnsi="宋体" w:cs="Times New Roman" w:hint="eastAsia"/>
          <w:sz w:val="24"/>
          <w:szCs w:val="24"/>
        </w:rPr>
        <w:t>一般来说，股权融资具有三个特点：</w:t>
      </w:r>
    </w:p>
    <w:p w14:paraId="204F5558" w14:textId="77777777" w:rsidR="005727F1" w:rsidRPr="005727F1" w:rsidRDefault="005727F1" w:rsidP="005727F1">
      <w:pPr>
        <w:numPr>
          <w:ilvl w:val="0"/>
          <w:numId w:val="15"/>
        </w:numPr>
        <w:rPr>
          <w:rFonts w:ascii="宋体" w:eastAsia="宋体" w:hAnsi="宋体" w:cs="Times New Roman"/>
          <w:sz w:val="24"/>
          <w:szCs w:val="24"/>
        </w:rPr>
      </w:pPr>
      <w:r w:rsidRPr="005727F1">
        <w:rPr>
          <w:rFonts w:ascii="宋体" w:eastAsia="宋体" w:hAnsi="宋体" w:cs="Times New Roman" w:hint="eastAsia"/>
          <w:sz w:val="24"/>
          <w:szCs w:val="24"/>
        </w:rPr>
        <w:t>投资方获得的股权是企业的初始产权，它意味着投资方对企业享有控制权和利润分配权。</w:t>
      </w:r>
    </w:p>
    <w:p w14:paraId="1E89D30F" w14:textId="77777777" w:rsidR="005727F1" w:rsidRPr="005727F1" w:rsidRDefault="005727F1" w:rsidP="005727F1">
      <w:pPr>
        <w:numPr>
          <w:ilvl w:val="0"/>
          <w:numId w:val="15"/>
        </w:numPr>
        <w:rPr>
          <w:rFonts w:ascii="宋体" w:eastAsia="宋体" w:hAnsi="宋体" w:cs="Times New Roman"/>
          <w:sz w:val="24"/>
          <w:szCs w:val="24"/>
        </w:rPr>
      </w:pPr>
      <w:r w:rsidRPr="005727F1">
        <w:rPr>
          <w:rFonts w:ascii="宋体" w:eastAsia="宋体" w:hAnsi="宋体" w:cs="Times New Roman" w:hint="eastAsia"/>
          <w:sz w:val="24"/>
          <w:szCs w:val="24"/>
        </w:rPr>
        <w:t>股权融资是上市公司向外部举债的一个重要途径</w:t>
      </w:r>
    </w:p>
    <w:p w14:paraId="2872A1DE" w14:textId="77777777" w:rsidR="005727F1" w:rsidRPr="005727F1" w:rsidRDefault="005727F1" w:rsidP="005727F1">
      <w:pPr>
        <w:numPr>
          <w:ilvl w:val="0"/>
          <w:numId w:val="15"/>
        </w:numPr>
        <w:rPr>
          <w:rFonts w:ascii="宋体" w:eastAsia="宋体" w:hAnsi="宋体" w:cs="Times New Roman"/>
          <w:sz w:val="24"/>
          <w:szCs w:val="24"/>
        </w:rPr>
      </w:pPr>
      <w:r w:rsidRPr="005727F1">
        <w:rPr>
          <w:rFonts w:ascii="宋体" w:eastAsia="宋体" w:hAnsi="宋体" w:cs="Times New Roman" w:hint="eastAsia"/>
          <w:sz w:val="24"/>
          <w:szCs w:val="24"/>
        </w:rPr>
        <w:t>股权融资形成的所有权资金的分布特点，及股本额的大小和股东分散程度，决定一个企业的控制权，监督权和剩余价值索取权的分配结构，反映的是一种产权关系。</w:t>
      </w:r>
    </w:p>
    <w:p w14:paraId="50B89D0F" w14:textId="77777777" w:rsidR="005727F1" w:rsidRPr="000A1443" w:rsidRDefault="005727F1" w:rsidP="005727F1">
      <w:pPr>
        <w:pStyle w:val="3"/>
        <w:rPr>
          <w:rFonts w:ascii="Calibri" w:hAnsi="Calibri"/>
        </w:rPr>
      </w:pPr>
      <w:bookmarkStart w:id="22" w:name="_Toc103640975"/>
      <w:r>
        <w:rPr>
          <w:rFonts w:ascii="Calibri" w:hAnsi="Calibri" w:cs="Calibri"/>
        </w:rPr>
        <w:t>2.1.2</w:t>
      </w:r>
      <w:r w:rsidRPr="000A1443">
        <w:rPr>
          <w:rFonts w:ascii="Calibri" w:hAnsi="Calibri"/>
        </w:rPr>
        <w:t xml:space="preserve"> </w:t>
      </w:r>
      <w:r w:rsidRPr="000A1443">
        <w:rPr>
          <w:rFonts w:hint="eastAsia"/>
        </w:rPr>
        <w:t>商业信用融资理论</w:t>
      </w:r>
      <w:bookmarkEnd w:id="22"/>
    </w:p>
    <w:p w14:paraId="556E395D" w14:textId="77777777" w:rsidR="005727F1" w:rsidRPr="005727F1" w:rsidRDefault="005727F1" w:rsidP="005727F1">
      <w:pPr>
        <w:rPr>
          <w:rFonts w:ascii="宋体" w:eastAsia="宋体" w:hAnsi="宋体" w:cs="Times New Roman"/>
          <w:sz w:val="24"/>
          <w:szCs w:val="24"/>
        </w:rPr>
      </w:pPr>
      <w:r w:rsidRPr="000A1443">
        <w:rPr>
          <w:rFonts w:ascii="Calibri" w:hAnsi="Calibri" w:cs="Times New Roman" w:hint="eastAsia"/>
          <w:szCs w:val="21"/>
        </w:rPr>
        <w:t xml:space="preserve">   </w:t>
      </w:r>
      <w:r w:rsidRPr="005727F1">
        <w:rPr>
          <w:rFonts w:ascii="宋体" w:eastAsia="宋体" w:hAnsi="宋体" w:cs="Times New Roman" w:hint="eastAsia"/>
          <w:sz w:val="24"/>
          <w:szCs w:val="24"/>
        </w:rPr>
        <w:t xml:space="preserve"> 上市公司之间在进行买卖商品时，以商品形式提供的借贷活动，被称作商业信用融资率。是一种在经济活动中普遍存在的债权债务关系，商业信用融资有利于企业扩大生产和促进流通，但会有融资成本较高的弊端，有时企业为了放弃现金折扣，必须付出非常高的资金成本。</w:t>
      </w:r>
    </w:p>
    <w:p w14:paraId="009B9ABA" w14:textId="77777777" w:rsidR="005727F1" w:rsidRPr="005727F1" w:rsidRDefault="005727F1" w:rsidP="005727F1">
      <w:pPr>
        <w:rPr>
          <w:rFonts w:ascii="宋体" w:eastAsia="宋体" w:hAnsi="宋体" w:cs="Times New Roman"/>
          <w:sz w:val="24"/>
          <w:szCs w:val="24"/>
        </w:rPr>
      </w:pPr>
      <w:r w:rsidRPr="005727F1">
        <w:rPr>
          <w:rFonts w:ascii="宋体" w:eastAsia="宋体" w:hAnsi="宋体" w:cs="Times New Roman" w:hint="eastAsia"/>
          <w:sz w:val="24"/>
          <w:szCs w:val="24"/>
        </w:rPr>
        <w:t xml:space="preserve">    商业信用融资的方式有三种：</w:t>
      </w:r>
    </w:p>
    <w:p w14:paraId="6C8B814C" w14:textId="77777777" w:rsidR="005727F1" w:rsidRPr="005727F1" w:rsidRDefault="005727F1" w:rsidP="005727F1">
      <w:pPr>
        <w:numPr>
          <w:ilvl w:val="0"/>
          <w:numId w:val="16"/>
        </w:numPr>
        <w:rPr>
          <w:rFonts w:ascii="宋体" w:eastAsia="宋体" w:hAnsi="宋体" w:cs="Times New Roman"/>
          <w:sz w:val="24"/>
          <w:szCs w:val="24"/>
        </w:rPr>
      </w:pPr>
      <w:r w:rsidRPr="005727F1">
        <w:rPr>
          <w:rFonts w:ascii="宋体" w:eastAsia="宋体" w:hAnsi="宋体" w:cs="Times New Roman" w:hint="eastAsia"/>
          <w:sz w:val="24"/>
          <w:szCs w:val="24"/>
        </w:rPr>
        <w:t>应付账款融资，对于采用这种方式的融资企业而言，这意味着放弃了现金交易的折扣，同时还需要负担一定的成本。</w:t>
      </w:r>
    </w:p>
    <w:p w14:paraId="3EEC3580" w14:textId="77777777" w:rsidR="005727F1" w:rsidRPr="005727F1" w:rsidRDefault="005727F1" w:rsidP="005727F1">
      <w:pPr>
        <w:numPr>
          <w:ilvl w:val="0"/>
          <w:numId w:val="16"/>
        </w:numPr>
        <w:rPr>
          <w:rFonts w:ascii="宋体" w:eastAsia="宋体" w:hAnsi="宋体" w:cs="Times New Roman"/>
          <w:sz w:val="24"/>
          <w:szCs w:val="24"/>
        </w:rPr>
      </w:pPr>
      <w:r w:rsidRPr="005727F1">
        <w:rPr>
          <w:rFonts w:ascii="宋体" w:eastAsia="宋体" w:hAnsi="宋体" w:cs="Times New Roman" w:hint="eastAsia"/>
          <w:sz w:val="24"/>
          <w:szCs w:val="24"/>
        </w:rPr>
        <w:t>商业票据融资，是指企业在延期付款交易时开具的债权债务票据。对于一些资金流健康且声誉良好的企业，其发行的商业票据可以直接从货币市场上筹集到窜起货币资金。</w:t>
      </w:r>
    </w:p>
    <w:p w14:paraId="06CD3C4E" w14:textId="77777777" w:rsidR="005727F1" w:rsidRPr="005727F1" w:rsidRDefault="005727F1" w:rsidP="005727F1">
      <w:pPr>
        <w:numPr>
          <w:ilvl w:val="0"/>
          <w:numId w:val="16"/>
        </w:numPr>
        <w:rPr>
          <w:rFonts w:ascii="宋体" w:eastAsia="宋体" w:hAnsi="宋体" w:cs="Times New Roman"/>
          <w:sz w:val="24"/>
          <w:szCs w:val="24"/>
        </w:rPr>
      </w:pPr>
      <w:r w:rsidRPr="005727F1">
        <w:rPr>
          <w:rFonts w:ascii="宋体" w:eastAsia="宋体" w:hAnsi="宋体" w:cs="Times New Roman" w:hint="eastAsia"/>
          <w:sz w:val="24"/>
          <w:szCs w:val="24"/>
        </w:rPr>
        <w:t>预收货款融资，这种方式特指买方企业对卖方企业提供的商业信用，最后的融资结果是卖房获得的一种短期资金。由于这种信用形式非常有限，一般适用于生产周期较长且投入较大的建筑业，重型制造业等。</w:t>
      </w:r>
    </w:p>
    <w:p w14:paraId="0A8F36C9" w14:textId="77777777" w:rsidR="005727F1" w:rsidRPr="000A1443" w:rsidRDefault="005727F1" w:rsidP="005727F1">
      <w:pPr>
        <w:pStyle w:val="3"/>
        <w:rPr>
          <w:rFonts w:ascii="Calibri" w:hAnsi="Calibri"/>
        </w:rPr>
      </w:pPr>
      <w:bookmarkStart w:id="23" w:name="_Toc103640976"/>
      <w:r>
        <w:rPr>
          <w:rFonts w:ascii="Calibri" w:hAnsi="Calibri" w:cs="Calibri"/>
        </w:rPr>
        <w:t>2.1.3</w:t>
      </w:r>
      <w:r w:rsidRPr="000A1443">
        <w:rPr>
          <w:rFonts w:hint="eastAsia"/>
        </w:rPr>
        <w:t>内源融资理论</w:t>
      </w:r>
      <w:bookmarkEnd w:id="23"/>
    </w:p>
    <w:p w14:paraId="33356435" w14:textId="76446992" w:rsidR="005727F1" w:rsidRPr="005727F1" w:rsidRDefault="005727F1" w:rsidP="005727F1">
      <w:pPr>
        <w:rPr>
          <w:rFonts w:ascii="宋体" w:eastAsia="宋体" w:hAnsi="宋体" w:cs="Times New Roman"/>
          <w:sz w:val="24"/>
          <w:szCs w:val="24"/>
        </w:rPr>
      </w:pPr>
      <w:r w:rsidRPr="000A1443">
        <w:rPr>
          <w:rFonts w:ascii="Calibri" w:hAnsi="Calibri" w:cs="Times New Roman" w:hint="eastAsia"/>
          <w:szCs w:val="21"/>
        </w:rPr>
        <w:t xml:space="preserve">   </w:t>
      </w:r>
      <w:r>
        <w:rPr>
          <w:rFonts w:ascii="Calibri" w:hAnsi="Calibri" w:cs="Times New Roman"/>
          <w:szCs w:val="21"/>
        </w:rPr>
        <w:t xml:space="preserve"> </w:t>
      </w:r>
      <w:r w:rsidRPr="005727F1">
        <w:rPr>
          <w:rFonts w:ascii="宋体" w:eastAsia="宋体" w:hAnsi="宋体" w:cs="Times New Roman" w:hint="eastAsia"/>
          <w:sz w:val="24"/>
          <w:szCs w:val="24"/>
        </w:rPr>
        <w:t>内源融资即公司内部融通的资金，是由公司的生产经营活动结果产生的资金，主要由财务报表中的留存收益，折旧等构成，是企业不断的将自己的储蓄转化为投资的过程。这种融资防护对企业的资本形成具有原始性，自主性，低成本和康风险的特点，。在国外一些市场经济较为发达的国家，内源融资是很多企业首选的融资方式，能够为企业提供重要的资金来源。</w:t>
      </w:r>
    </w:p>
    <w:p w14:paraId="22521F05" w14:textId="466D9D9D" w:rsidR="005727F1" w:rsidRPr="005727F1" w:rsidRDefault="005727F1" w:rsidP="005727F1">
      <w:pPr>
        <w:rPr>
          <w:rFonts w:ascii="宋体" w:eastAsia="宋体" w:hAnsi="宋体" w:cs="Times New Roman"/>
          <w:sz w:val="24"/>
          <w:szCs w:val="24"/>
        </w:rPr>
      </w:pPr>
      <w:r w:rsidRPr="005727F1">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Pr="005727F1">
        <w:rPr>
          <w:rFonts w:ascii="宋体" w:eastAsia="宋体" w:hAnsi="宋体" w:cs="Times New Roman" w:hint="eastAsia"/>
          <w:sz w:val="24"/>
          <w:szCs w:val="24"/>
        </w:rPr>
        <w:t>企业内源融资一般具有以下几个特点</w:t>
      </w:r>
    </w:p>
    <w:p w14:paraId="437CCD85" w14:textId="77777777" w:rsidR="005727F1" w:rsidRPr="005727F1" w:rsidRDefault="005727F1" w:rsidP="005727F1">
      <w:pPr>
        <w:numPr>
          <w:ilvl w:val="0"/>
          <w:numId w:val="17"/>
        </w:numPr>
        <w:rPr>
          <w:rFonts w:ascii="宋体" w:eastAsia="宋体" w:hAnsi="宋体" w:cs="Times New Roman"/>
          <w:sz w:val="24"/>
          <w:szCs w:val="24"/>
        </w:rPr>
      </w:pPr>
      <w:r w:rsidRPr="005727F1">
        <w:rPr>
          <w:rFonts w:ascii="宋体" w:eastAsia="宋体" w:hAnsi="宋体" w:cs="Times New Roman" w:hint="eastAsia"/>
          <w:sz w:val="24"/>
          <w:szCs w:val="24"/>
        </w:rPr>
        <w:t>自主性较高。内源融资从财务角度看来自于企业的自由资金，因此上市公司在进行内源融资时具有很强的自主性，只要经过股东大会的正常审批即可使用，基本不会受到外部的影响。</w:t>
      </w:r>
    </w:p>
    <w:p w14:paraId="25E544D4" w14:textId="77777777" w:rsidR="005727F1" w:rsidRPr="005727F1" w:rsidRDefault="005727F1" w:rsidP="005727F1">
      <w:pPr>
        <w:numPr>
          <w:ilvl w:val="0"/>
          <w:numId w:val="17"/>
        </w:numPr>
        <w:rPr>
          <w:rFonts w:ascii="宋体" w:eastAsia="宋体" w:hAnsi="宋体" w:cs="Times New Roman"/>
          <w:sz w:val="24"/>
          <w:szCs w:val="24"/>
        </w:rPr>
      </w:pPr>
      <w:r w:rsidRPr="005727F1">
        <w:rPr>
          <w:rFonts w:ascii="宋体" w:eastAsia="宋体" w:hAnsi="宋体" w:cs="Times New Roman" w:hint="eastAsia"/>
          <w:sz w:val="24"/>
          <w:szCs w:val="24"/>
        </w:rPr>
        <w:t>融资成本较低。上市公司在进行内源融资时，无需支付额外的中介费用，因此上市公司利用为分配利润融资是一个非常不错的选择。</w:t>
      </w:r>
    </w:p>
    <w:p w14:paraId="678E46DD" w14:textId="77777777" w:rsidR="005727F1" w:rsidRPr="005727F1" w:rsidRDefault="005727F1" w:rsidP="005727F1">
      <w:pPr>
        <w:numPr>
          <w:ilvl w:val="0"/>
          <w:numId w:val="17"/>
        </w:numPr>
        <w:rPr>
          <w:rFonts w:ascii="宋体" w:eastAsia="宋体" w:hAnsi="宋体" w:cs="Times New Roman"/>
          <w:sz w:val="24"/>
          <w:szCs w:val="24"/>
        </w:rPr>
      </w:pPr>
      <w:r w:rsidRPr="005727F1">
        <w:rPr>
          <w:rFonts w:ascii="宋体" w:eastAsia="宋体" w:hAnsi="宋体" w:cs="Times New Roman" w:hint="eastAsia"/>
          <w:sz w:val="24"/>
          <w:szCs w:val="24"/>
        </w:rPr>
        <w:t>不稀释原有股东对企业的控制权和每股收益。上市公司利用为分配利润融资而增加的权益资本不会稀释原有股东的股份的同时，增加了公司的净资产，为公司开展其他融资方案打下了良好基础。</w:t>
      </w:r>
    </w:p>
    <w:p w14:paraId="584181EC" w14:textId="77777777" w:rsidR="005727F1" w:rsidRPr="000A1443" w:rsidRDefault="005727F1" w:rsidP="005727F1">
      <w:pPr>
        <w:rPr>
          <w:rFonts w:ascii="Calibri" w:hAnsi="Calibri" w:cs="Times New Roman"/>
          <w:szCs w:val="21"/>
        </w:rPr>
      </w:pPr>
      <w:r w:rsidRPr="000A1443">
        <w:rPr>
          <w:rFonts w:ascii="Calibri" w:hAnsi="Calibri" w:cs="Times New Roman" w:hint="eastAsia"/>
          <w:szCs w:val="21"/>
        </w:rPr>
        <w:t xml:space="preserve"> </w:t>
      </w:r>
    </w:p>
    <w:p w14:paraId="64221B51" w14:textId="77777777" w:rsidR="005727F1" w:rsidRPr="000A1443" w:rsidRDefault="005727F1" w:rsidP="005727F1">
      <w:pPr>
        <w:pStyle w:val="2"/>
        <w:rPr>
          <w:rFonts w:ascii="Calibri" w:hAnsi="Calibri"/>
        </w:rPr>
      </w:pPr>
      <w:bookmarkStart w:id="24" w:name="_Toc103640977"/>
      <w:r>
        <w:rPr>
          <w:rFonts w:ascii="Calibri" w:hAnsi="Calibri" w:cs="Calibri"/>
        </w:rPr>
        <w:lastRenderedPageBreak/>
        <w:t>2.1.4</w:t>
      </w:r>
      <w:r w:rsidRPr="000A1443">
        <w:rPr>
          <w:rFonts w:hint="eastAsia"/>
        </w:rPr>
        <w:t>财政融资理论</w:t>
      </w:r>
      <w:bookmarkEnd w:id="24"/>
    </w:p>
    <w:p w14:paraId="0B7ED170" w14:textId="77777777" w:rsidR="005727F1" w:rsidRPr="00AD7BDC" w:rsidRDefault="005727F1" w:rsidP="005727F1">
      <w:pPr>
        <w:rPr>
          <w:rFonts w:ascii="宋体" w:eastAsia="宋体" w:hAnsi="宋体" w:cs="Times New Roman"/>
          <w:sz w:val="24"/>
          <w:szCs w:val="24"/>
        </w:rPr>
      </w:pPr>
      <w:r w:rsidRPr="000A1443">
        <w:rPr>
          <w:rFonts w:ascii="Calibri" w:hAnsi="Calibri" w:cs="Times New Roman" w:hint="eastAsia"/>
          <w:szCs w:val="21"/>
        </w:rPr>
        <w:t xml:space="preserve">    </w:t>
      </w:r>
      <w:r w:rsidRPr="00AD7BDC">
        <w:rPr>
          <w:rFonts w:ascii="宋体" w:eastAsia="宋体" w:hAnsi="宋体" w:cs="Times New Roman" w:hint="eastAsia"/>
          <w:sz w:val="24"/>
          <w:szCs w:val="24"/>
        </w:rPr>
        <w:t xml:space="preserve"> 财政融资一般指作为资金供给方的财政部门，向作为资金需求方的企业，融出资金的一种融资方式。财政部门包括国家财政部门，中央财政部门和地方财政部门。融出的途径包含政策性放款，税收减免或返还，政策优惠扶持资金等。</w:t>
      </w:r>
    </w:p>
    <w:p w14:paraId="1B357574" w14:textId="77777777" w:rsidR="005727F1" w:rsidRPr="00AD7BDC" w:rsidRDefault="005727F1" w:rsidP="005727F1">
      <w:pPr>
        <w:rPr>
          <w:rFonts w:ascii="宋体" w:eastAsia="宋体" w:hAnsi="宋体" w:cs="Times New Roman"/>
          <w:sz w:val="24"/>
          <w:szCs w:val="24"/>
        </w:rPr>
      </w:pPr>
      <w:r w:rsidRPr="00AD7BDC">
        <w:rPr>
          <w:rFonts w:ascii="宋体" w:eastAsia="宋体" w:hAnsi="宋体" w:cs="Times New Roman" w:hint="eastAsia"/>
          <w:sz w:val="24"/>
          <w:szCs w:val="24"/>
        </w:rPr>
        <w:t xml:space="preserve">    财政融资由于其资金来源比较独特，资金运用比较专一，因此财政融资具有以下几个特点：</w:t>
      </w:r>
    </w:p>
    <w:p w14:paraId="6CE7ACB8" w14:textId="77777777" w:rsidR="005727F1" w:rsidRPr="00AD7BDC" w:rsidRDefault="005727F1" w:rsidP="005727F1">
      <w:pPr>
        <w:numPr>
          <w:ilvl w:val="0"/>
          <w:numId w:val="18"/>
        </w:numPr>
        <w:rPr>
          <w:rFonts w:ascii="宋体" w:eastAsia="宋体" w:hAnsi="宋体" w:cs="Times New Roman"/>
          <w:sz w:val="24"/>
          <w:szCs w:val="24"/>
        </w:rPr>
      </w:pPr>
      <w:r w:rsidRPr="00AD7BDC">
        <w:rPr>
          <w:rFonts w:ascii="宋体" w:eastAsia="宋体" w:hAnsi="宋体" w:cs="Times New Roman" w:hint="eastAsia"/>
          <w:sz w:val="24"/>
          <w:szCs w:val="24"/>
        </w:rPr>
        <w:t>财政融资的基本性质在于无偿性，但是特殊情况下也具有有偿性。财政资金的来源有很多，包括税收收入，国有企业收入，公有财产收入，行政收入，公债收入等。这种类型的收入和应用，体现出国家凭借其权利参与社会分配的是指，从而使其具有了主要的无偿性和次要的有偿性。</w:t>
      </w:r>
    </w:p>
    <w:p w14:paraId="0ED9F6EC" w14:textId="77777777" w:rsidR="005727F1" w:rsidRPr="00AD7BDC" w:rsidRDefault="005727F1" w:rsidP="005727F1">
      <w:pPr>
        <w:numPr>
          <w:ilvl w:val="0"/>
          <w:numId w:val="18"/>
        </w:numPr>
        <w:rPr>
          <w:rFonts w:ascii="宋体" w:eastAsia="宋体" w:hAnsi="宋体" w:cs="Times New Roman"/>
          <w:sz w:val="24"/>
          <w:szCs w:val="24"/>
        </w:rPr>
      </w:pPr>
      <w:r w:rsidRPr="00AD7BDC">
        <w:rPr>
          <w:rFonts w:ascii="宋体" w:eastAsia="宋体" w:hAnsi="宋体" w:cs="Times New Roman" w:hint="eastAsia"/>
          <w:sz w:val="24"/>
          <w:szCs w:val="24"/>
        </w:rPr>
        <w:t>财政融资一般出现在需要由政府参与承担投资风险的产业里。基于我国市场经济不断完善，经济体量不断扩大的环境下，很多行业的高速发展往往伴随着需要政府共同承担风险的情况，比如房地产行业，基础建设行业等。一般的融资方式无法解决此类情况，于是政府就会采取财政融资这种用途和条件高度精细化的融资方式。</w:t>
      </w:r>
    </w:p>
    <w:p w14:paraId="3D8BE860" w14:textId="08450D2D" w:rsidR="005727F1" w:rsidRPr="00AD7BDC" w:rsidRDefault="005727F1" w:rsidP="005727F1">
      <w:pPr>
        <w:numPr>
          <w:ilvl w:val="0"/>
          <w:numId w:val="18"/>
        </w:numPr>
        <w:rPr>
          <w:rFonts w:ascii="宋体" w:eastAsia="宋体" w:hAnsi="宋体" w:cs="Times New Roman"/>
          <w:sz w:val="24"/>
          <w:szCs w:val="24"/>
        </w:rPr>
      </w:pPr>
      <w:r w:rsidRPr="00AD7BDC">
        <w:rPr>
          <w:rFonts w:ascii="宋体" w:eastAsia="宋体" w:hAnsi="宋体" w:cs="Times New Roman" w:hint="eastAsia"/>
          <w:sz w:val="24"/>
          <w:szCs w:val="24"/>
        </w:rPr>
        <w:t>财政融资具有很强的政策导向性。国家财政资金是根据国民经济计划的合理安排后制定的收支计划，具有非常准确的预算。预算内资金一般实行指令性计划，预算外资金实行指导性计划。两种计划都要列入国家的综合财政信贷计划中，而国家计划中的财政资金发放是通过各项投资政策实施的，因此财政融资具有很强的政策导向性。</w:t>
      </w:r>
      <w:r w:rsidRPr="00AD7BDC">
        <w:rPr>
          <w:rFonts w:ascii="Calibri" w:hAnsi="Calibri" w:cs="Times New Roman" w:hint="eastAsia"/>
          <w:szCs w:val="21"/>
        </w:rPr>
        <w:t xml:space="preserve"> </w:t>
      </w:r>
    </w:p>
    <w:p w14:paraId="30E5D6E2" w14:textId="003FED6A" w:rsidR="005727F1" w:rsidRPr="00AD7BDC" w:rsidRDefault="005727F1" w:rsidP="00AD7BDC">
      <w:pPr>
        <w:pStyle w:val="3"/>
        <w:rPr>
          <w:rFonts w:ascii="Calibri" w:hAnsi="Calibri"/>
        </w:rPr>
      </w:pPr>
      <w:bookmarkStart w:id="25" w:name="_Toc103640978"/>
      <w:r>
        <w:rPr>
          <w:rFonts w:ascii="Calibri" w:hAnsi="Calibri" w:cs="Calibri"/>
        </w:rPr>
        <w:t>2.1.5</w:t>
      </w:r>
      <w:r w:rsidRPr="000A1443">
        <w:rPr>
          <w:rFonts w:hint="eastAsia"/>
        </w:rPr>
        <w:t>债券融资理论</w:t>
      </w:r>
      <w:bookmarkEnd w:id="25"/>
    </w:p>
    <w:p w14:paraId="7C71629B" w14:textId="77777777" w:rsidR="005727F1" w:rsidRPr="00AD7BDC" w:rsidRDefault="005727F1" w:rsidP="005727F1">
      <w:pPr>
        <w:rPr>
          <w:rFonts w:ascii="宋体" w:eastAsia="宋体" w:hAnsi="宋体" w:cs="Times New Roman"/>
          <w:sz w:val="24"/>
          <w:szCs w:val="24"/>
        </w:rPr>
      </w:pPr>
      <w:r w:rsidRPr="000A1443">
        <w:rPr>
          <w:rFonts w:ascii="Calibri" w:hAnsi="Calibri" w:cs="Times New Roman" w:hint="eastAsia"/>
          <w:szCs w:val="21"/>
        </w:rPr>
        <w:t xml:space="preserve">   </w:t>
      </w:r>
      <w:r w:rsidRPr="00AD7BDC">
        <w:rPr>
          <w:rFonts w:ascii="宋体" w:eastAsia="宋体" w:hAnsi="宋体" w:cs="Times New Roman" w:hint="eastAsia"/>
          <w:sz w:val="24"/>
          <w:szCs w:val="24"/>
        </w:rPr>
        <w:t>债券融资也成为债权融资，作为企业使用外部资金的重要联系方式，债券融资有很多种方式。包括不限于：银行贷款，银行商业票据，银行应收账款，企业金融租赁，政府贴息贷款等。</w:t>
      </w:r>
    </w:p>
    <w:p w14:paraId="24E0D197" w14:textId="77777777" w:rsidR="005727F1" w:rsidRPr="00AD7BDC" w:rsidRDefault="005727F1" w:rsidP="005727F1">
      <w:pPr>
        <w:rPr>
          <w:rFonts w:ascii="宋体" w:eastAsia="宋体" w:hAnsi="宋体" w:cs="Times New Roman"/>
          <w:sz w:val="24"/>
          <w:szCs w:val="24"/>
        </w:rPr>
      </w:pPr>
      <w:r w:rsidRPr="00AD7BDC">
        <w:rPr>
          <w:rFonts w:ascii="宋体" w:eastAsia="宋体" w:hAnsi="宋体" w:cs="Times New Roman" w:hint="eastAsia"/>
          <w:sz w:val="24"/>
          <w:szCs w:val="24"/>
        </w:rPr>
        <w:t xml:space="preserve">   企业通过债券融资所获得的资金，在款项到期后不仅需要向债券人偿还资金的本金，还需要承担资金的利息。企业一般通过债券融资来解决内部营运资金短缺的问题，债券融资一般不用于企业资本项的开支。债券融资可以根据融资渠道分成三类：银行贷款，发行债券和民间借款。民间借款在上市公司的融资活动中比较少见，因为民间借款在我国现存的法律体系内是不受法律保护的。发行债券和银行借款在上市公司的融资活动中比较常见，其中我国对发行企业债券采取较为严格的监管，不但对发行债券的主体提出了很高的条件要求，而且发行的过程也需要经过严格的审批，因此上市公司的债券融资很大一部分来自银行借款。</w:t>
      </w:r>
    </w:p>
    <w:p w14:paraId="5FD55C4E" w14:textId="77777777" w:rsidR="005727F1" w:rsidRPr="00AD7BDC" w:rsidRDefault="005727F1" w:rsidP="005727F1">
      <w:pPr>
        <w:rPr>
          <w:rFonts w:ascii="宋体" w:eastAsia="宋体" w:hAnsi="宋体" w:cs="Times New Roman"/>
          <w:sz w:val="24"/>
          <w:szCs w:val="24"/>
        </w:rPr>
      </w:pPr>
      <w:r w:rsidRPr="00AD7BDC">
        <w:rPr>
          <w:rFonts w:ascii="宋体" w:eastAsia="宋体" w:hAnsi="宋体" w:cs="Times New Roman" w:hint="eastAsia"/>
          <w:sz w:val="24"/>
          <w:szCs w:val="24"/>
        </w:rPr>
        <w:t xml:space="preserve">    债券融资具有以下几个特点：</w:t>
      </w:r>
    </w:p>
    <w:p w14:paraId="1742FCFF" w14:textId="77777777" w:rsidR="005727F1" w:rsidRPr="00AD7BDC" w:rsidRDefault="005727F1" w:rsidP="005727F1">
      <w:pPr>
        <w:numPr>
          <w:ilvl w:val="0"/>
          <w:numId w:val="19"/>
        </w:numPr>
        <w:rPr>
          <w:rFonts w:ascii="宋体" w:eastAsia="宋体" w:hAnsi="宋体" w:cs="Times New Roman"/>
          <w:sz w:val="24"/>
          <w:szCs w:val="24"/>
        </w:rPr>
      </w:pPr>
      <w:r w:rsidRPr="00AD7BDC">
        <w:rPr>
          <w:rFonts w:ascii="宋体" w:eastAsia="宋体" w:hAnsi="宋体" w:cs="Times New Roman" w:hint="eastAsia"/>
          <w:sz w:val="24"/>
          <w:szCs w:val="24"/>
        </w:rPr>
        <w:t>企业通过债券融资获得的资金，指拥有对其的使用权，而非所有权，所有的负债类资金都是有成本的，企业需在债务到期时归还本金支付利息。</w:t>
      </w:r>
    </w:p>
    <w:p w14:paraId="7FF0823F" w14:textId="77777777" w:rsidR="005727F1" w:rsidRPr="00AD7BDC" w:rsidRDefault="005727F1" w:rsidP="005727F1">
      <w:pPr>
        <w:numPr>
          <w:ilvl w:val="0"/>
          <w:numId w:val="19"/>
        </w:numPr>
        <w:rPr>
          <w:rFonts w:ascii="宋体" w:eastAsia="宋体" w:hAnsi="宋体" w:cs="Times New Roman"/>
          <w:sz w:val="24"/>
          <w:szCs w:val="24"/>
        </w:rPr>
      </w:pPr>
      <w:r w:rsidRPr="00AD7BDC">
        <w:rPr>
          <w:rFonts w:ascii="宋体" w:eastAsia="宋体" w:hAnsi="宋体" w:cs="Times New Roman" w:hint="eastAsia"/>
          <w:sz w:val="24"/>
          <w:szCs w:val="24"/>
        </w:rPr>
        <w:t>企业通过债券融资获得的资金，可以帮助企业提升自有资金的回报率，具有财务杠杆的作用。</w:t>
      </w:r>
    </w:p>
    <w:p w14:paraId="4A06B4EE" w14:textId="339152ED" w:rsidR="005727F1" w:rsidRPr="00AD7BDC" w:rsidRDefault="005727F1" w:rsidP="005727F1">
      <w:pPr>
        <w:numPr>
          <w:ilvl w:val="0"/>
          <w:numId w:val="19"/>
        </w:numPr>
        <w:rPr>
          <w:rFonts w:ascii="Calibri" w:hAnsi="Calibri" w:cs="Times New Roman"/>
          <w:szCs w:val="21"/>
        </w:rPr>
      </w:pPr>
      <w:r w:rsidRPr="00AD7BDC">
        <w:rPr>
          <w:rFonts w:ascii="宋体" w:eastAsia="宋体" w:hAnsi="宋体" w:cs="Times New Roman" w:hint="eastAsia"/>
          <w:sz w:val="24"/>
          <w:szCs w:val="24"/>
        </w:rPr>
        <w:t>债券融资只会在一些特殊情况下才可能带来债权人对企业的控制和敢于问题，一般不会出现企业控制权方面的问题。</w:t>
      </w:r>
      <w:r w:rsidRPr="000A1443">
        <w:rPr>
          <w:rFonts w:ascii="Calibri" w:hAnsi="Calibri" w:cs="Times New Roman" w:hint="eastAsia"/>
          <w:szCs w:val="21"/>
        </w:rPr>
        <w:t xml:space="preserve"> </w:t>
      </w:r>
    </w:p>
    <w:p w14:paraId="7E57F303" w14:textId="77777777" w:rsidR="005727F1" w:rsidRPr="005F0DA6" w:rsidRDefault="005727F1" w:rsidP="005727F1">
      <w:pPr>
        <w:pStyle w:val="2"/>
        <w:rPr>
          <w:rFonts w:ascii="Calibri" w:hAnsi="Calibri"/>
        </w:rPr>
      </w:pPr>
      <w:bookmarkStart w:id="26" w:name="_Toc103640979"/>
      <w:r>
        <w:lastRenderedPageBreak/>
        <w:t>2.2</w:t>
      </w:r>
      <w:r w:rsidRPr="000A1443">
        <w:rPr>
          <w:rFonts w:hint="eastAsia"/>
        </w:rPr>
        <w:t>房地产企业特点理论研究</w:t>
      </w:r>
      <w:bookmarkEnd w:id="26"/>
    </w:p>
    <w:p w14:paraId="0F12B127" w14:textId="77777777" w:rsidR="005727F1" w:rsidRPr="000A1443" w:rsidRDefault="005727F1" w:rsidP="005727F1">
      <w:pPr>
        <w:pStyle w:val="3"/>
        <w:rPr>
          <w:rFonts w:ascii="Calibri" w:hAnsi="Calibri"/>
        </w:rPr>
      </w:pPr>
      <w:bookmarkStart w:id="27" w:name="_Toc103640980"/>
      <w:r>
        <w:rPr>
          <w:rFonts w:hint="eastAsia"/>
        </w:rPr>
        <w:t>2</w:t>
      </w:r>
      <w:r>
        <w:t>.2.1</w:t>
      </w:r>
      <w:r w:rsidRPr="000A1443">
        <w:rPr>
          <w:rFonts w:hint="eastAsia"/>
        </w:rPr>
        <w:t>房地产企业特性</w:t>
      </w:r>
      <w:bookmarkEnd w:id="27"/>
    </w:p>
    <w:p w14:paraId="5B22F0C5" w14:textId="77777777" w:rsidR="005727F1" w:rsidRPr="00AD7BDC" w:rsidRDefault="005727F1" w:rsidP="00AD7BDC">
      <w:pPr>
        <w:ind w:firstLineChars="200" w:firstLine="480"/>
        <w:rPr>
          <w:rFonts w:ascii="宋体" w:eastAsia="宋体" w:hAnsi="宋体" w:cs="Times New Roman"/>
          <w:sz w:val="24"/>
          <w:szCs w:val="24"/>
        </w:rPr>
      </w:pPr>
      <w:r w:rsidRPr="00AD7BDC">
        <w:rPr>
          <w:rFonts w:ascii="宋体" w:eastAsia="宋体" w:hAnsi="宋体" w:cs="Times New Roman" w:hint="eastAsia"/>
          <w:sz w:val="24"/>
          <w:szCs w:val="24"/>
        </w:rPr>
        <w:t>房地产业是一个体量非常庞大的产业，是我国国民经济重要的支柱之一，具体是指以开发工业用地，商用住宅等房地产项目为主营业务的企业。这类企业和其他行业的企业相比存在五个比较鲜明的特点。</w:t>
      </w:r>
    </w:p>
    <w:p w14:paraId="667B99F8" w14:textId="71DDE6BA" w:rsidR="005727F1" w:rsidRPr="00AD7BDC" w:rsidRDefault="005727F1" w:rsidP="005727F1">
      <w:pPr>
        <w:rPr>
          <w:rFonts w:ascii="宋体" w:eastAsia="宋体" w:hAnsi="宋体" w:cs="Times New Roman"/>
          <w:sz w:val="24"/>
          <w:szCs w:val="24"/>
        </w:rPr>
      </w:pPr>
      <w:r w:rsidRPr="00AD7BDC">
        <w:rPr>
          <w:rFonts w:ascii="宋体" w:eastAsia="宋体" w:hAnsi="宋体" w:cs="Times New Roman" w:hint="eastAsia"/>
          <w:sz w:val="24"/>
          <w:szCs w:val="24"/>
        </w:rPr>
        <w:t xml:space="preserve">  </w:t>
      </w:r>
      <w:r w:rsidR="00AD7BDC">
        <w:rPr>
          <w:rFonts w:ascii="宋体" w:eastAsia="宋体" w:hAnsi="宋体" w:cs="Times New Roman"/>
          <w:sz w:val="24"/>
          <w:szCs w:val="24"/>
        </w:rPr>
        <w:t xml:space="preserve">  </w:t>
      </w:r>
      <w:r w:rsidRPr="00AD7BDC">
        <w:rPr>
          <w:rFonts w:ascii="宋体" w:eastAsia="宋体" w:hAnsi="宋体" w:cs="Times New Roman" w:hint="eastAsia"/>
          <w:sz w:val="24"/>
          <w:szCs w:val="24"/>
        </w:rPr>
        <w:t>第一，房地产行业的资金密集程度极高，对外部资金有比较强的依赖性。房地产企业的主营业务是房地产开发，而房地产开发项目对资金需求很大，项目周期比较长，那么为了保证房企能够正常维系自身的主营业务，合理的运用外来资金就显得十分重要。正是由于这种特性，导致房地产企业对外部资金的依赖性比较高，致使整个行业的资产负债率都出在一个非常高的状态。我国房地产开发投资额自</w:t>
      </w:r>
      <w:r w:rsidRPr="00AD7BDC">
        <w:rPr>
          <w:rFonts w:ascii="宋体" w:eastAsia="宋体" w:hAnsi="宋体" w:cs="Calibri" w:hint="eastAsia"/>
          <w:sz w:val="24"/>
          <w:szCs w:val="24"/>
        </w:rPr>
        <w:t>2016</w:t>
      </w:r>
      <w:r w:rsidRPr="00AD7BDC">
        <w:rPr>
          <w:rFonts w:ascii="宋体" w:eastAsia="宋体" w:hAnsi="宋体" w:cs="Times New Roman" w:hint="eastAsia"/>
          <w:sz w:val="24"/>
          <w:szCs w:val="24"/>
        </w:rPr>
        <w:t>年起就已经达到了</w:t>
      </w:r>
      <w:r w:rsidRPr="00AD7BDC">
        <w:rPr>
          <w:rFonts w:ascii="宋体" w:eastAsia="宋体" w:hAnsi="宋体" w:cs="Calibri" w:hint="eastAsia"/>
          <w:sz w:val="24"/>
          <w:szCs w:val="24"/>
        </w:rPr>
        <w:t>100000</w:t>
      </w:r>
      <w:r w:rsidRPr="00AD7BDC">
        <w:rPr>
          <w:rFonts w:ascii="宋体" w:eastAsia="宋体" w:hAnsi="宋体" w:cs="Times New Roman" w:hint="eastAsia"/>
          <w:sz w:val="24"/>
          <w:szCs w:val="24"/>
        </w:rPr>
        <w:t>亿的数额，并且逐年增加。</w:t>
      </w:r>
    </w:p>
    <w:p w14:paraId="2ECEA838" w14:textId="5C08AEFD" w:rsidR="005727F1" w:rsidRPr="00AD7BDC" w:rsidRDefault="005727F1" w:rsidP="005727F1">
      <w:pPr>
        <w:rPr>
          <w:rFonts w:ascii="宋体" w:eastAsia="宋体" w:hAnsi="宋体" w:cs="Times New Roman"/>
          <w:sz w:val="24"/>
          <w:szCs w:val="24"/>
        </w:rPr>
      </w:pPr>
      <w:r w:rsidRPr="00AD7BDC">
        <w:rPr>
          <w:rFonts w:ascii="宋体" w:eastAsia="宋体" w:hAnsi="宋体" w:cs="Times New Roman" w:hint="eastAsia"/>
          <w:sz w:val="24"/>
          <w:szCs w:val="24"/>
        </w:rPr>
        <w:t xml:space="preserve">  </w:t>
      </w:r>
      <w:r w:rsidR="00AD7BDC">
        <w:rPr>
          <w:rFonts w:ascii="宋体" w:eastAsia="宋体" w:hAnsi="宋体" w:cs="Times New Roman"/>
          <w:sz w:val="24"/>
          <w:szCs w:val="24"/>
        </w:rPr>
        <w:t xml:space="preserve">  </w:t>
      </w:r>
      <w:r w:rsidRPr="00AD7BDC">
        <w:rPr>
          <w:rFonts w:ascii="宋体" w:eastAsia="宋体" w:hAnsi="宋体" w:cs="Times New Roman" w:hint="eastAsia"/>
          <w:sz w:val="24"/>
          <w:szCs w:val="24"/>
        </w:rPr>
        <w:t>第二，政府政策会给房地产行业的发展带来较大的影响。房地产开发的过程中，涉及到很多缓解，包括土地竞拍，土地规划，动工开发，竣工交付等各个环节，全国各地对每个环节的都有较为详细的政策规定，这些政策的改动和实行都会给房地产企业的运营层面带来非常大的影响。例如房地产行业的经营情况和我国的货币政策就具有高度相关性，经济发展形势较好时，我国采取较为宽松的货币政策，放款居民贷款的比例，此时房地产企业就能获得非常好的销售业绩，经济发展较为低迷时，我国会采取像对紧缩的货币政策，缩紧居民贷款的比例，此时房地产企业的销售端就会出现疲软的现象。</w:t>
      </w:r>
    </w:p>
    <w:p w14:paraId="42607539" w14:textId="282FB245" w:rsidR="005727F1" w:rsidRPr="00AD7BDC" w:rsidRDefault="005727F1" w:rsidP="005727F1">
      <w:pPr>
        <w:rPr>
          <w:rFonts w:ascii="宋体" w:eastAsia="宋体" w:hAnsi="宋体" w:cs="Times New Roman"/>
          <w:sz w:val="24"/>
          <w:szCs w:val="24"/>
        </w:rPr>
      </w:pPr>
      <w:r w:rsidRPr="00AD7BDC">
        <w:rPr>
          <w:rFonts w:ascii="宋体" w:eastAsia="宋体" w:hAnsi="宋体" w:cs="Times New Roman" w:hint="eastAsia"/>
          <w:sz w:val="24"/>
          <w:szCs w:val="24"/>
        </w:rPr>
        <w:t xml:space="preserve">  </w:t>
      </w:r>
      <w:r w:rsidR="00AD7BDC">
        <w:rPr>
          <w:rFonts w:ascii="宋体" w:eastAsia="宋体" w:hAnsi="宋体" w:cs="Times New Roman"/>
          <w:sz w:val="24"/>
          <w:szCs w:val="24"/>
        </w:rPr>
        <w:t xml:space="preserve">  </w:t>
      </w:r>
      <w:r w:rsidRPr="00AD7BDC">
        <w:rPr>
          <w:rFonts w:ascii="宋体" w:eastAsia="宋体" w:hAnsi="宋体" w:cs="Times New Roman" w:hint="eastAsia"/>
          <w:sz w:val="24"/>
          <w:szCs w:val="24"/>
        </w:rPr>
        <w:t>第三 房地产企业具有不易变动性。 房地产企业的服务都想都是以不动产作为核心，因此不动产的固定性和不易变动性对房地产企业的经营产生了不可忽视的影响。因为房地产企业拥有较多数量的不动产，相较于其他产业来说，房地产企业在资本市场中更容易获得大额的融资，不动产具有较大产品价值的同时，也具有运营周转周期长的特点，因此房地产企业在进行融资时应当充分考虑汇款周期的影响。</w:t>
      </w:r>
    </w:p>
    <w:p w14:paraId="097DD9A3" w14:textId="77777777" w:rsidR="005727F1" w:rsidRPr="000A1443" w:rsidRDefault="005727F1" w:rsidP="005727F1">
      <w:pPr>
        <w:pStyle w:val="3"/>
        <w:rPr>
          <w:rFonts w:ascii="Calibri" w:hAnsi="Calibri"/>
        </w:rPr>
      </w:pPr>
      <w:bookmarkStart w:id="28" w:name="_Toc103640981"/>
      <w:r>
        <w:rPr>
          <w:rFonts w:hint="eastAsia"/>
        </w:rPr>
        <w:t>2</w:t>
      </w:r>
      <w:r>
        <w:t>.2.2</w:t>
      </w:r>
      <w:r w:rsidRPr="000A1443">
        <w:rPr>
          <w:rFonts w:hint="eastAsia"/>
        </w:rPr>
        <w:t>“三道红线”政策理论研究</w:t>
      </w:r>
      <w:bookmarkEnd w:id="28"/>
    </w:p>
    <w:p w14:paraId="3C12F218" w14:textId="77777777" w:rsidR="005727F1" w:rsidRPr="000A1443" w:rsidRDefault="005727F1" w:rsidP="005727F1">
      <w:pPr>
        <w:pStyle w:val="4"/>
        <w:rPr>
          <w:rFonts w:ascii="Calibri" w:hAnsi="Calibri"/>
        </w:rPr>
      </w:pPr>
      <w:r>
        <w:rPr>
          <w:rFonts w:ascii="Calibri" w:hAnsi="Calibri" w:cs="Calibri"/>
        </w:rPr>
        <w:t>2.2.2.1</w:t>
      </w:r>
      <w:r w:rsidRPr="000A1443">
        <w:rPr>
          <w:rFonts w:hint="eastAsia"/>
        </w:rPr>
        <w:t>“三道红线”政策内容概括：</w:t>
      </w:r>
    </w:p>
    <w:p w14:paraId="3DDE5F2E" w14:textId="6CD84EEA" w:rsidR="005727F1" w:rsidRPr="00D072D4" w:rsidRDefault="005727F1" w:rsidP="005727F1">
      <w:pPr>
        <w:rPr>
          <w:rFonts w:ascii="宋体" w:eastAsia="宋体" w:hAnsi="宋体" w:cs="Times New Roman"/>
          <w:sz w:val="24"/>
          <w:szCs w:val="24"/>
        </w:rPr>
      </w:pPr>
      <w:r w:rsidRPr="000A1443">
        <w:rPr>
          <w:rFonts w:ascii="Calibri" w:hAnsi="Calibri" w:cs="Times New Roman" w:hint="eastAsia"/>
          <w:szCs w:val="21"/>
        </w:rPr>
        <w:t xml:space="preserve"> </w:t>
      </w:r>
      <w:r w:rsidR="00D072D4">
        <w:rPr>
          <w:rFonts w:ascii="Calibri" w:hAnsi="Calibri" w:cs="Times New Roman"/>
          <w:szCs w:val="21"/>
        </w:rPr>
        <w:t xml:space="preserve">  </w:t>
      </w:r>
      <w:r w:rsidR="00D072D4" w:rsidRPr="00D072D4">
        <w:rPr>
          <w:rFonts w:ascii="宋体" w:eastAsia="宋体" w:hAnsi="宋体" w:cs="Times New Roman"/>
          <w:sz w:val="24"/>
          <w:szCs w:val="24"/>
        </w:rPr>
        <w:t xml:space="preserve"> </w:t>
      </w:r>
      <w:r w:rsidRPr="00D072D4">
        <w:rPr>
          <w:rFonts w:ascii="宋体" w:eastAsia="宋体" w:hAnsi="宋体" w:cs="Calibri" w:hint="eastAsia"/>
          <w:sz w:val="24"/>
          <w:szCs w:val="24"/>
        </w:rPr>
        <w:t>2020</w:t>
      </w:r>
      <w:r w:rsidRPr="00D072D4">
        <w:rPr>
          <w:rFonts w:ascii="宋体" w:eastAsia="宋体" w:hAnsi="宋体" w:cs="Times New Roman" w:hint="eastAsia"/>
          <w:sz w:val="24"/>
          <w:szCs w:val="24"/>
        </w:rPr>
        <w:t>年</w:t>
      </w:r>
      <w:r w:rsidRPr="00D072D4">
        <w:rPr>
          <w:rFonts w:ascii="宋体" w:eastAsia="宋体" w:hAnsi="宋体" w:cs="Calibri" w:hint="eastAsia"/>
          <w:sz w:val="24"/>
          <w:szCs w:val="24"/>
        </w:rPr>
        <w:t>8</w:t>
      </w:r>
      <w:r w:rsidRPr="00D072D4">
        <w:rPr>
          <w:rFonts w:ascii="宋体" w:eastAsia="宋体" w:hAnsi="宋体" w:cs="Times New Roman" w:hint="eastAsia"/>
          <w:sz w:val="24"/>
          <w:szCs w:val="24"/>
        </w:rPr>
        <w:t>月</w:t>
      </w:r>
      <w:r w:rsidRPr="00D072D4">
        <w:rPr>
          <w:rFonts w:ascii="宋体" w:eastAsia="宋体" w:hAnsi="宋体" w:cs="Calibri" w:hint="eastAsia"/>
          <w:sz w:val="24"/>
          <w:szCs w:val="24"/>
        </w:rPr>
        <w:t>20</w:t>
      </w:r>
      <w:r w:rsidRPr="00D072D4">
        <w:rPr>
          <w:rFonts w:ascii="宋体" w:eastAsia="宋体" w:hAnsi="宋体" w:cs="Times New Roman" w:hint="eastAsia"/>
          <w:sz w:val="24"/>
          <w:szCs w:val="24"/>
        </w:rPr>
        <w:t>日，我国住房城乡建设部。人民银行联合召开地产企业座谈会，会议再次强调了“房住不炒”，实现房地产企业融资方案规则化方针，力图推动房地产行业长期稳健发展。随即制定了“三道红线”政策，并于</w:t>
      </w:r>
      <w:r w:rsidRPr="00D072D4">
        <w:rPr>
          <w:rFonts w:ascii="宋体" w:eastAsia="宋体" w:hAnsi="宋体" w:cs="Calibri" w:hint="eastAsia"/>
          <w:sz w:val="24"/>
          <w:szCs w:val="24"/>
        </w:rPr>
        <w:t>2021</w:t>
      </w:r>
      <w:r w:rsidRPr="00D072D4">
        <w:rPr>
          <w:rFonts w:ascii="宋体" w:eastAsia="宋体" w:hAnsi="宋体" w:cs="Times New Roman" w:hint="eastAsia"/>
          <w:sz w:val="24"/>
          <w:szCs w:val="24"/>
        </w:rPr>
        <w:t>年</w:t>
      </w:r>
      <w:r w:rsidRPr="00D072D4">
        <w:rPr>
          <w:rFonts w:ascii="宋体" w:eastAsia="宋体" w:hAnsi="宋体" w:cs="Calibri" w:hint="eastAsia"/>
          <w:sz w:val="24"/>
          <w:szCs w:val="24"/>
        </w:rPr>
        <w:t>1</w:t>
      </w:r>
      <w:r w:rsidRPr="00D072D4">
        <w:rPr>
          <w:rFonts w:ascii="宋体" w:eastAsia="宋体" w:hAnsi="宋体" w:cs="Times New Roman" w:hint="eastAsia"/>
          <w:sz w:val="24"/>
          <w:szCs w:val="24"/>
        </w:rPr>
        <w:t>月</w:t>
      </w:r>
      <w:r w:rsidRPr="00D072D4">
        <w:rPr>
          <w:rFonts w:ascii="宋体" w:eastAsia="宋体" w:hAnsi="宋体" w:cs="Calibri" w:hint="eastAsia"/>
          <w:sz w:val="24"/>
          <w:szCs w:val="24"/>
        </w:rPr>
        <w:t>1</w:t>
      </w:r>
      <w:r w:rsidRPr="00D072D4">
        <w:rPr>
          <w:rFonts w:ascii="宋体" w:eastAsia="宋体" w:hAnsi="宋体" w:cs="Times New Roman" w:hint="eastAsia"/>
          <w:sz w:val="24"/>
          <w:szCs w:val="24"/>
        </w:rPr>
        <w:t>日起全面实施。 “三道红线”管理标准包括以下三项指标硬性要求：房企剔除预收款后的资产负债率不得大于</w:t>
      </w:r>
      <w:r w:rsidRPr="00D072D4">
        <w:rPr>
          <w:rFonts w:ascii="宋体" w:eastAsia="宋体" w:hAnsi="宋体" w:cs="Calibri" w:hint="eastAsia"/>
          <w:sz w:val="24"/>
          <w:szCs w:val="24"/>
        </w:rPr>
        <w:t>70%</w:t>
      </w:r>
      <w:r w:rsidRPr="00D072D4">
        <w:rPr>
          <w:rFonts w:ascii="宋体" w:eastAsia="宋体" w:hAnsi="宋体" w:cs="Times New Roman" w:hint="eastAsia"/>
          <w:sz w:val="24"/>
          <w:szCs w:val="24"/>
        </w:rPr>
        <w:t>，房企净负债率不得大于</w:t>
      </w:r>
      <w:r w:rsidRPr="00D072D4">
        <w:rPr>
          <w:rFonts w:ascii="宋体" w:eastAsia="宋体" w:hAnsi="宋体" w:cs="Calibri" w:hint="eastAsia"/>
          <w:sz w:val="24"/>
          <w:szCs w:val="24"/>
        </w:rPr>
        <w:t>100%</w:t>
      </w:r>
      <w:r w:rsidRPr="00D072D4">
        <w:rPr>
          <w:rFonts w:ascii="宋体" w:eastAsia="宋体" w:hAnsi="宋体" w:cs="Times New Roman" w:hint="eastAsia"/>
          <w:sz w:val="24"/>
          <w:szCs w:val="24"/>
        </w:rPr>
        <w:t>，房企现金短债比不得小于</w:t>
      </w:r>
      <w:r w:rsidRPr="00D072D4">
        <w:rPr>
          <w:rFonts w:ascii="宋体" w:eastAsia="宋体" w:hAnsi="宋体" w:cs="Calibri" w:hint="eastAsia"/>
          <w:sz w:val="24"/>
          <w:szCs w:val="24"/>
        </w:rPr>
        <w:t>1</w:t>
      </w:r>
      <w:r w:rsidRPr="00D072D4">
        <w:rPr>
          <w:rFonts w:ascii="宋体" w:eastAsia="宋体" w:hAnsi="宋体" w:cs="Times New Roman" w:hint="eastAsia"/>
          <w:sz w:val="24"/>
          <w:szCs w:val="24"/>
        </w:rPr>
        <w:t>，若部份房企出现指标超过阈值，有息负债规模年增速将会受到不同程度的限制；共划分出如下四档管理模式</w:t>
      </w:r>
    </w:p>
    <w:p w14:paraId="16F64719" w14:textId="77777777" w:rsidR="005727F1" w:rsidRPr="000A1443" w:rsidRDefault="005727F1" w:rsidP="005727F1">
      <w:pPr>
        <w:rPr>
          <w:rFonts w:ascii="Calibri" w:hAnsi="Calibri" w:cs="Times New Roman"/>
          <w:szCs w:val="21"/>
        </w:rPr>
      </w:pPr>
      <w:r w:rsidRPr="000A1443">
        <w:rPr>
          <w:rFonts w:ascii="Calibri" w:hAnsi="Calibri" w:cs="Times New Roman" w:hint="eastAsia"/>
          <w:szCs w:val="21"/>
        </w:rPr>
        <w:t xml:space="preserve"> </w:t>
      </w:r>
    </w:p>
    <w:tbl>
      <w:tblPr>
        <w:tblW w:w="8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0"/>
        <w:gridCol w:w="3110"/>
        <w:gridCol w:w="3810"/>
      </w:tblGrid>
      <w:tr w:rsidR="005727F1" w:rsidRPr="00D22CE9" w14:paraId="0E5DDA9F" w14:textId="77777777" w:rsidTr="00B82E8C">
        <w:trPr>
          <w:trHeight w:val="280"/>
        </w:trPr>
        <w:tc>
          <w:tcPr>
            <w:tcW w:w="1700" w:type="dxa"/>
            <w:shd w:val="clear" w:color="auto" w:fill="auto"/>
            <w:noWrap/>
            <w:vAlign w:val="center"/>
            <w:hideMark/>
          </w:tcPr>
          <w:p w14:paraId="01124654" w14:textId="77777777" w:rsidR="005727F1" w:rsidRPr="00D22CE9" w:rsidRDefault="005727F1" w:rsidP="00B82E8C">
            <w:pPr>
              <w:widowControl/>
              <w:jc w:val="center"/>
              <w:rPr>
                <w:rFonts w:ascii="宋体" w:hAnsi="宋体" w:cs="宋体"/>
                <w:b/>
                <w:bCs/>
                <w:color w:val="000000"/>
                <w:kern w:val="0"/>
                <w:sz w:val="22"/>
              </w:rPr>
            </w:pPr>
            <w:r w:rsidRPr="00D22CE9">
              <w:rPr>
                <w:rFonts w:ascii="宋体" w:hAnsi="宋体" w:cs="宋体" w:hint="eastAsia"/>
                <w:b/>
                <w:bCs/>
                <w:color w:val="000000"/>
                <w:kern w:val="0"/>
                <w:sz w:val="22"/>
              </w:rPr>
              <w:t>规制档位</w:t>
            </w:r>
          </w:p>
        </w:tc>
        <w:tc>
          <w:tcPr>
            <w:tcW w:w="3110" w:type="dxa"/>
            <w:shd w:val="clear" w:color="auto" w:fill="auto"/>
            <w:noWrap/>
            <w:vAlign w:val="center"/>
            <w:hideMark/>
          </w:tcPr>
          <w:p w14:paraId="3520B97E" w14:textId="77777777" w:rsidR="005727F1" w:rsidRPr="00D22CE9" w:rsidRDefault="005727F1" w:rsidP="00B82E8C">
            <w:pPr>
              <w:widowControl/>
              <w:jc w:val="center"/>
              <w:rPr>
                <w:rFonts w:ascii="宋体" w:hAnsi="宋体" w:cs="宋体"/>
                <w:b/>
                <w:bCs/>
                <w:color w:val="000000"/>
                <w:kern w:val="0"/>
                <w:sz w:val="22"/>
              </w:rPr>
            </w:pPr>
            <w:r w:rsidRPr="00D22CE9">
              <w:rPr>
                <w:rFonts w:ascii="宋体" w:hAnsi="宋体" w:cs="宋体" w:hint="eastAsia"/>
                <w:b/>
                <w:bCs/>
                <w:color w:val="000000"/>
                <w:kern w:val="0"/>
                <w:sz w:val="22"/>
              </w:rPr>
              <w:t>规制标准</w:t>
            </w:r>
          </w:p>
        </w:tc>
        <w:tc>
          <w:tcPr>
            <w:tcW w:w="3810" w:type="dxa"/>
            <w:shd w:val="clear" w:color="auto" w:fill="auto"/>
            <w:noWrap/>
            <w:vAlign w:val="center"/>
            <w:hideMark/>
          </w:tcPr>
          <w:p w14:paraId="4378DA5C" w14:textId="77777777" w:rsidR="005727F1" w:rsidRPr="00D22CE9" w:rsidRDefault="005727F1" w:rsidP="00B82E8C">
            <w:pPr>
              <w:widowControl/>
              <w:jc w:val="center"/>
              <w:rPr>
                <w:rFonts w:ascii="宋体" w:hAnsi="宋体" w:cs="宋体"/>
                <w:b/>
                <w:bCs/>
                <w:color w:val="000000"/>
                <w:kern w:val="0"/>
                <w:sz w:val="22"/>
              </w:rPr>
            </w:pPr>
            <w:r w:rsidRPr="00D22CE9">
              <w:rPr>
                <w:rFonts w:ascii="宋体" w:hAnsi="宋体" w:cs="宋体" w:hint="eastAsia"/>
                <w:b/>
                <w:bCs/>
                <w:color w:val="000000"/>
                <w:kern w:val="0"/>
                <w:sz w:val="22"/>
              </w:rPr>
              <w:t>规制政策</w:t>
            </w:r>
          </w:p>
        </w:tc>
      </w:tr>
      <w:tr w:rsidR="005727F1" w:rsidRPr="00D22CE9" w14:paraId="492FAE62" w14:textId="77777777" w:rsidTr="00B82E8C">
        <w:trPr>
          <w:trHeight w:val="280"/>
        </w:trPr>
        <w:tc>
          <w:tcPr>
            <w:tcW w:w="1700" w:type="dxa"/>
            <w:shd w:val="clear" w:color="auto" w:fill="auto"/>
            <w:noWrap/>
            <w:vAlign w:val="center"/>
            <w:hideMark/>
          </w:tcPr>
          <w:p w14:paraId="4198C3CD" w14:textId="77777777" w:rsidR="005727F1" w:rsidRPr="00D22CE9" w:rsidRDefault="005727F1" w:rsidP="00B82E8C">
            <w:pPr>
              <w:widowControl/>
              <w:jc w:val="center"/>
              <w:rPr>
                <w:rFonts w:ascii="宋体" w:hAnsi="宋体" w:cs="宋体"/>
                <w:color w:val="000000"/>
                <w:kern w:val="0"/>
                <w:sz w:val="22"/>
              </w:rPr>
            </w:pPr>
            <w:r w:rsidRPr="00D22CE9">
              <w:rPr>
                <w:rFonts w:ascii="宋体" w:hAnsi="宋体" w:cs="宋体" w:hint="eastAsia"/>
                <w:color w:val="000000"/>
                <w:kern w:val="0"/>
                <w:sz w:val="22"/>
              </w:rPr>
              <w:lastRenderedPageBreak/>
              <w:t>绿色档</w:t>
            </w:r>
          </w:p>
        </w:tc>
        <w:tc>
          <w:tcPr>
            <w:tcW w:w="3110" w:type="dxa"/>
            <w:shd w:val="clear" w:color="auto" w:fill="auto"/>
            <w:noWrap/>
            <w:vAlign w:val="center"/>
            <w:hideMark/>
          </w:tcPr>
          <w:p w14:paraId="1C9C7899" w14:textId="77777777" w:rsidR="005727F1" w:rsidRPr="00D22CE9" w:rsidRDefault="005727F1" w:rsidP="00B82E8C">
            <w:pPr>
              <w:widowControl/>
              <w:jc w:val="center"/>
              <w:rPr>
                <w:rFonts w:ascii="宋体" w:hAnsi="宋体" w:cs="宋体"/>
                <w:color w:val="000000"/>
                <w:kern w:val="0"/>
                <w:sz w:val="22"/>
              </w:rPr>
            </w:pPr>
            <w:r w:rsidRPr="00D22CE9">
              <w:rPr>
                <w:rFonts w:ascii="宋体" w:hAnsi="宋体" w:cs="宋体" w:hint="eastAsia"/>
                <w:color w:val="000000"/>
                <w:kern w:val="0"/>
                <w:sz w:val="22"/>
              </w:rPr>
              <w:t>“三道红线”均超出要求</w:t>
            </w:r>
          </w:p>
        </w:tc>
        <w:tc>
          <w:tcPr>
            <w:tcW w:w="3810" w:type="dxa"/>
            <w:shd w:val="clear" w:color="auto" w:fill="auto"/>
            <w:noWrap/>
            <w:vAlign w:val="center"/>
            <w:hideMark/>
          </w:tcPr>
          <w:p w14:paraId="39CB595A" w14:textId="77777777" w:rsidR="005727F1" w:rsidRPr="00D22CE9" w:rsidRDefault="005727F1" w:rsidP="00B82E8C">
            <w:pPr>
              <w:widowControl/>
              <w:jc w:val="center"/>
              <w:rPr>
                <w:rFonts w:ascii="宋体" w:hAnsi="宋体" w:cs="宋体"/>
                <w:color w:val="000000"/>
                <w:kern w:val="0"/>
                <w:sz w:val="22"/>
              </w:rPr>
            </w:pPr>
            <w:r w:rsidRPr="00D22CE9">
              <w:rPr>
                <w:rFonts w:ascii="宋体" w:hAnsi="宋体" w:cs="宋体" w:hint="eastAsia"/>
                <w:color w:val="000000"/>
                <w:kern w:val="0"/>
                <w:sz w:val="22"/>
              </w:rPr>
              <w:t>有息负债年增速不得增加</w:t>
            </w:r>
          </w:p>
        </w:tc>
      </w:tr>
      <w:tr w:rsidR="005727F1" w:rsidRPr="00D22CE9" w14:paraId="17C37092" w14:textId="77777777" w:rsidTr="00B82E8C">
        <w:trPr>
          <w:trHeight w:val="280"/>
        </w:trPr>
        <w:tc>
          <w:tcPr>
            <w:tcW w:w="1700" w:type="dxa"/>
            <w:shd w:val="clear" w:color="auto" w:fill="auto"/>
            <w:noWrap/>
            <w:vAlign w:val="center"/>
            <w:hideMark/>
          </w:tcPr>
          <w:p w14:paraId="4541B387" w14:textId="77777777" w:rsidR="005727F1" w:rsidRPr="00D22CE9" w:rsidRDefault="005727F1" w:rsidP="00B82E8C">
            <w:pPr>
              <w:widowControl/>
              <w:jc w:val="center"/>
              <w:rPr>
                <w:rFonts w:ascii="宋体" w:hAnsi="宋体" w:cs="宋体"/>
                <w:color w:val="000000"/>
                <w:kern w:val="0"/>
                <w:sz w:val="22"/>
              </w:rPr>
            </w:pPr>
            <w:r w:rsidRPr="00D22CE9">
              <w:rPr>
                <w:rFonts w:ascii="宋体" w:hAnsi="宋体" w:cs="宋体" w:hint="eastAsia"/>
                <w:color w:val="000000"/>
                <w:kern w:val="0"/>
                <w:sz w:val="22"/>
              </w:rPr>
              <w:t>黄色档</w:t>
            </w:r>
          </w:p>
        </w:tc>
        <w:tc>
          <w:tcPr>
            <w:tcW w:w="3110" w:type="dxa"/>
            <w:shd w:val="clear" w:color="auto" w:fill="auto"/>
            <w:noWrap/>
            <w:vAlign w:val="center"/>
            <w:hideMark/>
          </w:tcPr>
          <w:p w14:paraId="0491184A" w14:textId="77777777" w:rsidR="005727F1" w:rsidRPr="00D22CE9" w:rsidRDefault="005727F1" w:rsidP="00B82E8C">
            <w:pPr>
              <w:widowControl/>
              <w:jc w:val="center"/>
              <w:rPr>
                <w:rFonts w:ascii="宋体" w:hAnsi="宋体" w:cs="宋体"/>
                <w:color w:val="000000"/>
                <w:kern w:val="0"/>
                <w:sz w:val="22"/>
              </w:rPr>
            </w:pPr>
            <w:r w:rsidRPr="00D22CE9">
              <w:rPr>
                <w:rFonts w:ascii="宋体" w:hAnsi="宋体" w:cs="宋体" w:hint="eastAsia"/>
                <w:color w:val="000000"/>
                <w:kern w:val="0"/>
                <w:sz w:val="22"/>
              </w:rPr>
              <w:t>“两道红线”超出要求</w:t>
            </w:r>
          </w:p>
        </w:tc>
        <w:tc>
          <w:tcPr>
            <w:tcW w:w="3810" w:type="dxa"/>
            <w:shd w:val="clear" w:color="auto" w:fill="auto"/>
            <w:noWrap/>
            <w:vAlign w:val="center"/>
            <w:hideMark/>
          </w:tcPr>
          <w:p w14:paraId="4D5D84FB" w14:textId="77777777" w:rsidR="005727F1" w:rsidRPr="00D22CE9" w:rsidRDefault="005727F1" w:rsidP="00B82E8C">
            <w:pPr>
              <w:widowControl/>
              <w:jc w:val="center"/>
              <w:rPr>
                <w:rFonts w:ascii="宋体" w:hAnsi="宋体" w:cs="宋体"/>
                <w:color w:val="000000"/>
                <w:kern w:val="0"/>
                <w:sz w:val="22"/>
              </w:rPr>
            </w:pPr>
            <w:r w:rsidRPr="00D22CE9">
              <w:rPr>
                <w:rFonts w:ascii="宋体" w:hAnsi="宋体" w:cs="宋体" w:hint="eastAsia"/>
                <w:color w:val="000000"/>
                <w:kern w:val="0"/>
                <w:sz w:val="22"/>
              </w:rPr>
              <w:t>有息负债年增速不得超过</w:t>
            </w:r>
            <w:r w:rsidRPr="00D22CE9">
              <w:rPr>
                <w:rFonts w:ascii="宋体" w:hAnsi="宋体" w:cs="宋体" w:hint="eastAsia"/>
                <w:color w:val="000000"/>
                <w:kern w:val="0"/>
                <w:sz w:val="22"/>
              </w:rPr>
              <w:t>5%</w:t>
            </w:r>
          </w:p>
        </w:tc>
      </w:tr>
      <w:tr w:rsidR="005727F1" w:rsidRPr="00D22CE9" w14:paraId="052C59E8" w14:textId="77777777" w:rsidTr="00B82E8C">
        <w:trPr>
          <w:trHeight w:val="280"/>
        </w:trPr>
        <w:tc>
          <w:tcPr>
            <w:tcW w:w="1700" w:type="dxa"/>
            <w:shd w:val="clear" w:color="auto" w:fill="auto"/>
            <w:noWrap/>
            <w:vAlign w:val="center"/>
            <w:hideMark/>
          </w:tcPr>
          <w:p w14:paraId="3FC24D48" w14:textId="77777777" w:rsidR="005727F1" w:rsidRPr="00D22CE9" w:rsidRDefault="005727F1" w:rsidP="00B82E8C">
            <w:pPr>
              <w:widowControl/>
              <w:jc w:val="center"/>
              <w:rPr>
                <w:rFonts w:ascii="宋体" w:hAnsi="宋体" w:cs="宋体"/>
                <w:color w:val="000000"/>
                <w:kern w:val="0"/>
                <w:sz w:val="22"/>
              </w:rPr>
            </w:pPr>
            <w:r w:rsidRPr="00D22CE9">
              <w:rPr>
                <w:rFonts w:ascii="宋体" w:hAnsi="宋体" w:cs="宋体" w:hint="eastAsia"/>
                <w:color w:val="000000"/>
                <w:kern w:val="0"/>
                <w:sz w:val="22"/>
              </w:rPr>
              <w:t>橙色档</w:t>
            </w:r>
          </w:p>
        </w:tc>
        <w:tc>
          <w:tcPr>
            <w:tcW w:w="3110" w:type="dxa"/>
            <w:shd w:val="clear" w:color="auto" w:fill="auto"/>
            <w:noWrap/>
            <w:vAlign w:val="center"/>
            <w:hideMark/>
          </w:tcPr>
          <w:p w14:paraId="1C1B9E7F" w14:textId="77777777" w:rsidR="005727F1" w:rsidRPr="00D22CE9" w:rsidRDefault="005727F1" w:rsidP="00B82E8C">
            <w:pPr>
              <w:widowControl/>
              <w:jc w:val="center"/>
              <w:rPr>
                <w:rFonts w:ascii="宋体" w:hAnsi="宋体" w:cs="宋体"/>
                <w:color w:val="000000"/>
                <w:kern w:val="0"/>
                <w:sz w:val="22"/>
              </w:rPr>
            </w:pPr>
            <w:r w:rsidRPr="00D22CE9">
              <w:rPr>
                <w:rFonts w:ascii="宋体" w:hAnsi="宋体" w:cs="宋体" w:hint="eastAsia"/>
                <w:color w:val="000000"/>
                <w:kern w:val="0"/>
                <w:sz w:val="22"/>
              </w:rPr>
              <w:t>“一道红线”超出要求</w:t>
            </w:r>
          </w:p>
        </w:tc>
        <w:tc>
          <w:tcPr>
            <w:tcW w:w="3810" w:type="dxa"/>
            <w:shd w:val="clear" w:color="auto" w:fill="auto"/>
            <w:noWrap/>
            <w:vAlign w:val="center"/>
            <w:hideMark/>
          </w:tcPr>
          <w:p w14:paraId="6A9C31B8" w14:textId="77777777" w:rsidR="005727F1" w:rsidRPr="00D22CE9" w:rsidRDefault="005727F1" w:rsidP="00B82E8C">
            <w:pPr>
              <w:widowControl/>
              <w:jc w:val="center"/>
              <w:rPr>
                <w:rFonts w:ascii="宋体" w:hAnsi="宋体" w:cs="宋体"/>
                <w:color w:val="000000"/>
                <w:kern w:val="0"/>
                <w:sz w:val="22"/>
              </w:rPr>
            </w:pPr>
            <w:r w:rsidRPr="00D22CE9">
              <w:rPr>
                <w:rFonts w:ascii="宋体" w:hAnsi="宋体" w:cs="宋体" w:hint="eastAsia"/>
                <w:color w:val="000000"/>
                <w:kern w:val="0"/>
                <w:sz w:val="22"/>
              </w:rPr>
              <w:t>有息负债年增速不得超过</w:t>
            </w:r>
            <w:r w:rsidRPr="00D22CE9">
              <w:rPr>
                <w:rFonts w:ascii="宋体" w:hAnsi="宋体" w:cs="宋体" w:hint="eastAsia"/>
                <w:color w:val="000000"/>
                <w:kern w:val="0"/>
                <w:sz w:val="22"/>
              </w:rPr>
              <w:t>10%</w:t>
            </w:r>
          </w:p>
        </w:tc>
      </w:tr>
      <w:tr w:rsidR="005727F1" w:rsidRPr="00D22CE9" w14:paraId="3C2E903D" w14:textId="77777777" w:rsidTr="00B82E8C">
        <w:trPr>
          <w:trHeight w:val="280"/>
        </w:trPr>
        <w:tc>
          <w:tcPr>
            <w:tcW w:w="1700" w:type="dxa"/>
            <w:shd w:val="clear" w:color="auto" w:fill="auto"/>
            <w:noWrap/>
            <w:vAlign w:val="center"/>
            <w:hideMark/>
          </w:tcPr>
          <w:p w14:paraId="1181C8A4" w14:textId="77777777" w:rsidR="005727F1" w:rsidRPr="00D22CE9" w:rsidRDefault="005727F1" w:rsidP="00B82E8C">
            <w:pPr>
              <w:widowControl/>
              <w:jc w:val="center"/>
              <w:rPr>
                <w:rFonts w:ascii="宋体" w:hAnsi="宋体" w:cs="宋体"/>
                <w:color w:val="000000"/>
                <w:kern w:val="0"/>
                <w:sz w:val="22"/>
              </w:rPr>
            </w:pPr>
            <w:r w:rsidRPr="00D22CE9">
              <w:rPr>
                <w:rFonts w:ascii="宋体" w:hAnsi="宋体" w:cs="宋体" w:hint="eastAsia"/>
                <w:color w:val="000000"/>
                <w:kern w:val="0"/>
                <w:sz w:val="22"/>
              </w:rPr>
              <w:t>红色档</w:t>
            </w:r>
          </w:p>
        </w:tc>
        <w:tc>
          <w:tcPr>
            <w:tcW w:w="3110" w:type="dxa"/>
            <w:shd w:val="clear" w:color="auto" w:fill="auto"/>
            <w:noWrap/>
            <w:vAlign w:val="center"/>
            <w:hideMark/>
          </w:tcPr>
          <w:p w14:paraId="3AFAE743" w14:textId="77777777" w:rsidR="005727F1" w:rsidRPr="00D22CE9" w:rsidRDefault="005727F1" w:rsidP="00B82E8C">
            <w:pPr>
              <w:widowControl/>
              <w:jc w:val="center"/>
              <w:rPr>
                <w:rFonts w:ascii="宋体" w:hAnsi="宋体" w:cs="宋体"/>
                <w:color w:val="000000"/>
                <w:kern w:val="0"/>
                <w:sz w:val="22"/>
              </w:rPr>
            </w:pPr>
            <w:r w:rsidRPr="00D22CE9">
              <w:rPr>
                <w:rFonts w:ascii="宋体" w:hAnsi="宋体" w:cs="宋体" w:hint="eastAsia"/>
                <w:color w:val="000000"/>
                <w:kern w:val="0"/>
                <w:sz w:val="22"/>
              </w:rPr>
              <w:t>“三道红线”均未超出要求</w:t>
            </w:r>
          </w:p>
        </w:tc>
        <w:tc>
          <w:tcPr>
            <w:tcW w:w="3810" w:type="dxa"/>
            <w:shd w:val="clear" w:color="auto" w:fill="auto"/>
            <w:noWrap/>
            <w:vAlign w:val="center"/>
            <w:hideMark/>
          </w:tcPr>
          <w:p w14:paraId="4686CB35" w14:textId="77777777" w:rsidR="005727F1" w:rsidRPr="00D22CE9" w:rsidRDefault="005727F1" w:rsidP="00B82E8C">
            <w:pPr>
              <w:widowControl/>
              <w:jc w:val="center"/>
              <w:rPr>
                <w:rFonts w:ascii="宋体" w:hAnsi="宋体" w:cs="宋体"/>
                <w:color w:val="000000"/>
                <w:kern w:val="0"/>
                <w:sz w:val="22"/>
              </w:rPr>
            </w:pPr>
            <w:r w:rsidRPr="00D22CE9">
              <w:rPr>
                <w:rFonts w:ascii="宋体" w:hAnsi="宋体" w:cs="宋体" w:hint="eastAsia"/>
                <w:color w:val="000000"/>
                <w:kern w:val="0"/>
                <w:sz w:val="22"/>
              </w:rPr>
              <w:t>有息负债年增速不得超过</w:t>
            </w:r>
            <w:r w:rsidRPr="00D22CE9">
              <w:rPr>
                <w:rFonts w:ascii="宋体" w:hAnsi="宋体" w:cs="宋体" w:hint="eastAsia"/>
                <w:color w:val="000000"/>
                <w:kern w:val="0"/>
                <w:sz w:val="22"/>
              </w:rPr>
              <w:t>15%</w:t>
            </w:r>
          </w:p>
        </w:tc>
      </w:tr>
    </w:tbl>
    <w:p w14:paraId="616041C9" w14:textId="77777777" w:rsidR="005727F1" w:rsidRPr="00D22CE9" w:rsidRDefault="005727F1" w:rsidP="005727F1">
      <w:pPr>
        <w:rPr>
          <w:rFonts w:ascii="Calibri" w:hAnsi="Calibri" w:cs="Times New Roman"/>
          <w:szCs w:val="21"/>
        </w:rPr>
      </w:pPr>
    </w:p>
    <w:p w14:paraId="44C89CC1" w14:textId="77777777" w:rsidR="005727F1" w:rsidRPr="000A1443" w:rsidRDefault="005727F1" w:rsidP="005727F1">
      <w:pPr>
        <w:pStyle w:val="4"/>
        <w:rPr>
          <w:rFonts w:ascii="Calibri" w:hAnsi="Calibri"/>
        </w:rPr>
      </w:pPr>
      <w:r>
        <w:rPr>
          <w:rFonts w:ascii="Calibri" w:hAnsi="Calibri" w:cs="Calibri"/>
        </w:rPr>
        <w:t>2.2.2.2</w:t>
      </w:r>
      <w:r w:rsidRPr="000A1443">
        <w:rPr>
          <w:rFonts w:hint="eastAsia"/>
        </w:rPr>
        <w:t>剔除预收款后的资产负债率理论分析</w:t>
      </w:r>
    </w:p>
    <w:p w14:paraId="49D8CF64" w14:textId="77777777" w:rsidR="00D072D4" w:rsidRPr="00D072D4" w:rsidRDefault="005727F1" w:rsidP="005F6B88">
      <w:pPr>
        <w:ind w:firstLineChars="200" w:firstLine="480"/>
        <w:rPr>
          <w:rFonts w:ascii="宋体" w:eastAsia="宋体" w:hAnsi="宋体" w:cs="Times New Roman"/>
          <w:sz w:val="24"/>
          <w:szCs w:val="24"/>
        </w:rPr>
      </w:pPr>
      <w:r w:rsidRPr="00D072D4">
        <w:rPr>
          <w:rFonts w:ascii="宋体" w:eastAsia="宋体" w:hAnsi="宋体" w:cs="Times New Roman" w:hint="eastAsia"/>
          <w:sz w:val="24"/>
          <w:szCs w:val="24"/>
        </w:rPr>
        <w:t>剔除预收款后的资产负债率=（净负债-预收款项）/（净资产-预收款项）</w:t>
      </w:r>
    </w:p>
    <w:p w14:paraId="5F325EB2" w14:textId="3D85FCFF" w:rsidR="005727F1" w:rsidRPr="00D072D4" w:rsidRDefault="005727F1" w:rsidP="00D072D4">
      <w:pPr>
        <w:ind w:firstLineChars="200" w:firstLine="480"/>
        <w:rPr>
          <w:rFonts w:ascii="宋体" w:eastAsia="宋体" w:hAnsi="宋体" w:cs="Times New Roman"/>
          <w:sz w:val="24"/>
          <w:szCs w:val="24"/>
        </w:rPr>
      </w:pPr>
      <w:r w:rsidRPr="00D072D4">
        <w:rPr>
          <w:rFonts w:ascii="宋体" w:eastAsia="宋体" w:hAnsi="宋体" w:cs="Times New Roman" w:hint="eastAsia"/>
          <w:sz w:val="24"/>
          <w:szCs w:val="24"/>
        </w:rPr>
        <w:t>一般来说，房地产企业的总资产负债率是反映房企总</w:t>
      </w:r>
      <w:r w:rsidR="006A0EAA">
        <w:rPr>
          <w:rFonts w:ascii="宋体" w:eastAsia="宋体" w:hAnsi="宋体" w:cs="Times New Roman" w:hint="eastAsia"/>
          <w:sz w:val="24"/>
          <w:szCs w:val="24"/>
        </w:rPr>
        <w:t>财务</w:t>
      </w:r>
      <w:r w:rsidRPr="00D072D4">
        <w:rPr>
          <w:rFonts w:ascii="宋体" w:eastAsia="宋体" w:hAnsi="宋体" w:cs="Times New Roman" w:hint="eastAsia"/>
          <w:sz w:val="24"/>
          <w:szCs w:val="24"/>
        </w:rPr>
        <w:t>杠杆的一个重要指标，按照现行的会计准则，预收账款是包含在总负债里的内容，其中还含有财务杠杆，供应链杠杆和经营杠杆。但是三道红线中的计算方式扣除了预收账款这个部份，也就是说房地产企业在生产销售环节内产生的预收账款不在资产负债率的统计范围内。这种新型的计算方式会给会计核算的结果带来很大变化。例如</w:t>
      </w:r>
      <w:r w:rsidRPr="00D072D4">
        <w:rPr>
          <w:rFonts w:ascii="宋体" w:eastAsia="宋体" w:hAnsi="宋体" w:cs="Times New Roman"/>
          <w:sz w:val="24"/>
          <w:szCs w:val="24"/>
        </w:rPr>
        <w:t>a</w:t>
      </w:r>
      <w:r w:rsidRPr="00D072D4">
        <w:rPr>
          <w:rFonts w:ascii="宋体" w:eastAsia="宋体" w:hAnsi="宋体" w:cs="Times New Roman" w:hint="eastAsia"/>
          <w:sz w:val="24"/>
          <w:szCs w:val="24"/>
        </w:rPr>
        <w:t>公司在扣除预收账款后，总资产负债率是</w:t>
      </w:r>
      <w:r w:rsidRPr="00D072D4">
        <w:rPr>
          <w:rFonts w:ascii="宋体" w:eastAsia="宋体" w:hAnsi="宋体" w:cs="Calibri" w:hint="eastAsia"/>
          <w:sz w:val="24"/>
          <w:szCs w:val="24"/>
        </w:rPr>
        <w:t>74%</w:t>
      </w:r>
      <w:r w:rsidRPr="00D072D4">
        <w:rPr>
          <w:rFonts w:ascii="宋体" w:eastAsia="宋体" w:hAnsi="宋体" w:cs="Times New Roman" w:hint="eastAsia"/>
          <w:sz w:val="24"/>
          <w:szCs w:val="24"/>
        </w:rPr>
        <w:t>，那么在涵盖预收款的核算模式下，总资产负债率就会达到</w:t>
      </w:r>
      <w:r w:rsidRPr="00D072D4">
        <w:rPr>
          <w:rFonts w:ascii="宋体" w:eastAsia="宋体" w:hAnsi="宋体" w:cs="Calibri" w:hint="eastAsia"/>
          <w:sz w:val="24"/>
          <w:szCs w:val="24"/>
        </w:rPr>
        <w:t>79%</w:t>
      </w:r>
      <w:r w:rsidRPr="00D072D4">
        <w:rPr>
          <w:rFonts w:ascii="宋体" w:eastAsia="宋体" w:hAnsi="宋体" w:cs="Times New Roman" w:hint="eastAsia"/>
          <w:sz w:val="24"/>
          <w:szCs w:val="24"/>
        </w:rPr>
        <w:t>。</w:t>
      </w:r>
    </w:p>
    <w:p w14:paraId="2A67B08D" w14:textId="77777777" w:rsidR="005727F1" w:rsidRPr="00D072D4" w:rsidRDefault="005727F1" w:rsidP="005727F1">
      <w:pPr>
        <w:rPr>
          <w:rFonts w:ascii="宋体" w:eastAsia="宋体" w:hAnsi="宋体" w:cs="Times New Roman"/>
          <w:sz w:val="24"/>
          <w:szCs w:val="24"/>
        </w:rPr>
      </w:pPr>
      <w:r w:rsidRPr="00D072D4">
        <w:rPr>
          <w:rFonts w:ascii="宋体" w:eastAsia="宋体" w:hAnsi="宋体" w:cs="Times New Roman" w:hint="eastAsia"/>
          <w:sz w:val="24"/>
          <w:szCs w:val="24"/>
        </w:rPr>
        <w:t xml:space="preserve">   房地产企业中的预收账款一般是来自客户的资金，“三道红线”政策现在将这个指标剔除出监管的范围，意味着房企未来的资金需要做出调整，让更多的资金来源于销售取得的预收账款。在总资产负债里，预收账款所占的比重越大，则意味着房企能够更好的远离这道红线。</w:t>
      </w:r>
    </w:p>
    <w:p w14:paraId="66ECDB8D" w14:textId="77777777" w:rsidR="005727F1" w:rsidRPr="000A1443" w:rsidRDefault="005727F1" w:rsidP="005727F1">
      <w:pPr>
        <w:rPr>
          <w:rFonts w:ascii="Calibri" w:hAnsi="Calibri" w:cs="Times New Roman"/>
          <w:szCs w:val="21"/>
        </w:rPr>
      </w:pPr>
      <w:r w:rsidRPr="000A1443">
        <w:rPr>
          <w:rFonts w:ascii="Calibri" w:hAnsi="Calibri" w:cs="Times New Roman" w:hint="eastAsia"/>
          <w:szCs w:val="21"/>
        </w:rPr>
        <w:t xml:space="preserve"> </w:t>
      </w:r>
    </w:p>
    <w:p w14:paraId="27AF9142" w14:textId="77777777" w:rsidR="005727F1" w:rsidRPr="000A1443" w:rsidRDefault="005727F1" w:rsidP="005727F1">
      <w:pPr>
        <w:pStyle w:val="4"/>
      </w:pPr>
      <w:r>
        <w:t>2.2.2.3</w:t>
      </w:r>
      <w:r w:rsidRPr="000A1443">
        <w:rPr>
          <w:rFonts w:ascii="宋体" w:hAnsi="宋体" w:hint="eastAsia"/>
        </w:rPr>
        <w:t>净负债率</w:t>
      </w:r>
    </w:p>
    <w:p w14:paraId="77A8573B" w14:textId="77777777" w:rsidR="006A0EAA" w:rsidRDefault="005727F1" w:rsidP="005F6B88">
      <w:pPr>
        <w:ind w:firstLineChars="200" w:firstLine="480"/>
        <w:rPr>
          <w:rFonts w:ascii="宋体" w:eastAsia="宋体" w:hAnsi="宋体" w:cs="Times New Roman"/>
          <w:sz w:val="24"/>
          <w:szCs w:val="24"/>
        </w:rPr>
      </w:pPr>
      <w:r w:rsidRPr="006A0EAA">
        <w:rPr>
          <w:rFonts w:ascii="宋体" w:eastAsia="宋体" w:hAnsi="宋体" w:cs="Times New Roman" w:hint="eastAsia"/>
          <w:sz w:val="24"/>
          <w:szCs w:val="24"/>
        </w:rPr>
        <w:t>净负债率</w:t>
      </w:r>
      <w:r w:rsidRPr="006A0EAA">
        <w:rPr>
          <w:rFonts w:ascii="宋体" w:eastAsia="宋体" w:hAnsi="宋体" w:cs="Calibri" w:hint="eastAsia"/>
          <w:sz w:val="24"/>
          <w:szCs w:val="24"/>
        </w:rPr>
        <w:t>=</w:t>
      </w:r>
      <w:r w:rsidRPr="006A0EAA">
        <w:rPr>
          <w:rFonts w:ascii="宋体" w:eastAsia="宋体" w:hAnsi="宋体" w:cs="Times New Roman" w:hint="eastAsia"/>
          <w:sz w:val="24"/>
          <w:szCs w:val="24"/>
        </w:rPr>
        <w:t>（有息负债</w:t>
      </w:r>
      <w:r w:rsidRPr="006A0EAA">
        <w:rPr>
          <w:rFonts w:ascii="宋体" w:eastAsia="宋体" w:hAnsi="宋体" w:cs="Calibri" w:hint="eastAsia"/>
          <w:sz w:val="24"/>
          <w:szCs w:val="24"/>
        </w:rPr>
        <w:t>-</w:t>
      </w:r>
      <w:r w:rsidRPr="006A0EAA">
        <w:rPr>
          <w:rFonts w:ascii="宋体" w:eastAsia="宋体" w:hAnsi="宋体" w:cs="Times New Roman" w:hint="eastAsia"/>
          <w:sz w:val="24"/>
          <w:szCs w:val="24"/>
        </w:rPr>
        <w:t>现金余额）</w:t>
      </w:r>
      <w:r w:rsidRPr="006A0EAA">
        <w:rPr>
          <w:rFonts w:ascii="宋体" w:eastAsia="宋体" w:hAnsi="宋体" w:cs="Calibri" w:hint="eastAsia"/>
          <w:sz w:val="24"/>
          <w:szCs w:val="24"/>
        </w:rPr>
        <w:t>/</w:t>
      </w:r>
      <w:r w:rsidRPr="006A0EAA">
        <w:rPr>
          <w:rFonts w:ascii="宋体" w:eastAsia="宋体" w:hAnsi="宋体" w:cs="Times New Roman" w:hint="eastAsia"/>
          <w:sz w:val="24"/>
          <w:szCs w:val="24"/>
        </w:rPr>
        <w:t>净资产</w:t>
      </w:r>
    </w:p>
    <w:p w14:paraId="15644D12" w14:textId="19DE13BF" w:rsidR="005727F1" w:rsidRPr="006A0EAA" w:rsidRDefault="005727F1" w:rsidP="006A0EAA">
      <w:pPr>
        <w:ind w:firstLineChars="200" w:firstLine="480"/>
        <w:rPr>
          <w:rFonts w:ascii="宋体" w:eastAsia="宋体" w:hAnsi="宋体" w:cs="Times New Roman"/>
          <w:sz w:val="24"/>
          <w:szCs w:val="24"/>
        </w:rPr>
      </w:pPr>
      <w:r w:rsidRPr="006A0EAA">
        <w:rPr>
          <w:rFonts w:ascii="宋体" w:eastAsia="宋体" w:hAnsi="宋体" w:cs="Times New Roman" w:hint="eastAsia"/>
          <w:sz w:val="24"/>
          <w:szCs w:val="24"/>
        </w:rPr>
        <w:t>这项指标的核心是控制房地产企业的财务杠杆和有息杠杆。房地产净负债率这一指标综合考虑了有息负债，帐上现金和公司净资产，在房地产进行海外融资活动时，海外投行最关注的指标就是净负债率。这一指标的性质类似于银行的核心资本充足率，能够起到提示公司防范风险，吸引损失的效果。</w:t>
      </w:r>
    </w:p>
    <w:p w14:paraId="43ED78F1" w14:textId="77777777" w:rsidR="005727F1" w:rsidRPr="006A0EAA" w:rsidRDefault="005727F1" w:rsidP="005727F1">
      <w:pPr>
        <w:rPr>
          <w:rFonts w:ascii="宋体" w:eastAsia="宋体" w:hAnsi="宋体" w:cs="Times New Roman"/>
          <w:sz w:val="24"/>
          <w:szCs w:val="24"/>
        </w:rPr>
      </w:pPr>
      <w:r w:rsidRPr="006A0EAA">
        <w:rPr>
          <w:rFonts w:ascii="宋体" w:eastAsia="宋体" w:hAnsi="宋体" w:cs="Times New Roman" w:hint="eastAsia"/>
          <w:sz w:val="24"/>
          <w:szCs w:val="24"/>
        </w:rPr>
        <w:t>从理论分析的角度来看，要想改善这项指标一般有三类做法：</w:t>
      </w:r>
    </w:p>
    <w:p w14:paraId="08458162" w14:textId="77777777" w:rsidR="005727F1" w:rsidRPr="006A0EAA" w:rsidRDefault="005727F1" w:rsidP="005727F1">
      <w:pPr>
        <w:numPr>
          <w:ilvl w:val="0"/>
          <w:numId w:val="20"/>
        </w:numPr>
        <w:rPr>
          <w:rFonts w:ascii="宋体" w:eastAsia="宋体" w:hAnsi="宋体" w:cs="Times New Roman"/>
          <w:sz w:val="24"/>
          <w:szCs w:val="24"/>
        </w:rPr>
      </w:pPr>
      <w:r w:rsidRPr="006A0EAA">
        <w:rPr>
          <w:rFonts w:ascii="宋体" w:eastAsia="宋体" w:hAnsi="宋体" w:cs="Times New Roman" w:hint="eastAsia"/>
          <w:sz w:val="24"/>
          <w:szCs w:val="24"/>
        </w:rPr>
        <w:t>通过减少房地产的有息负债，使房企的净负债率小于</w:t>
      </w:r>
      <w:r w:rsidRPr="006A0EAA">
        <w:rPr>
          <w:rFonts w:ascii="宋体" w:eastAsia="宋体" w:hAnsi="宋体" w:cs="Calibri" w:hint="eastAsia"/>
          <w:sz w:val="24"/>
          <w:szCs w:val="24"/>
        </w:rPr>
        <w:t>1.</w:t>
      </w:r>
    </w:p>
    <w:p w14:paraId="6D81392E" w14:textId="77777777" w:rsidR="005727F1" w:rsidRPr="006A0EAA" w:rsidRDefault="005727F1" w:rsidP="005727F1">
      <w:pPr>
        <w:numPr>
          <w:ilvl w:val="0"/>
          <w:numId w:val="20"/>
        </w:numPr>
        <w:rPr>
          <w:rFonts w:ascii="宋体" w:eastAsia="宋体" w:hAnsi="宋体" w:cs="Times New Roman"/>
          <w:sz w:val="24"/>
          <w:szCs w:val="24"/>
        </w:rPr>
      </w:pPr>
      <w:r w:rsidRPr="006A0EAA">
        <w:rPr>
          <w:rFonts w:ascii="宋体" w:eastAsia="宋体" w:hAnsi="宋体" w:cs="Times New Roman" w:hint="eastAsia"/>
          <w:sz w:val="24"/>
          <w:szCs w:val="24"/>
        </w:rPr>
        <w:t>通过增加房地产企业的库存现金，使房企的现金量站总资产的</w:t>
      </w:r>
      <w:r w:rsidRPr="006A0EAA">
        <w:rPr>
          <w:rFonts w:ascii="宋体" w:eastAsia="宋体" w:hAnsi="宋体" w:cs="Calibri" w:hint="eastAsia"/>
          <w:sz w:val="24"/>
          <w:szCs w:val="24"/>
        </w:rPr>
        <w:t>10%</w:t>
      </w:r>
      <w:r w:rsidRPr="006A0EAA">
        <w:rPr>
          <w:rFonts w:ascii="宋体" w:eastAsia="宋体" w:hAnsi="宋体" w:cs="Times New Roman" w:hint="eastAsia"/>
          <w:sz w:val="24"/>
          <w:szCs w:val="24"/>
        </w:rPr>
        <w:t>～</w:t>
      </w:r>
      <w:r w:rsidRPr="006A0EAA">
        <w:rPr>
          <w:rFonts w:ascii="宋体" w:eastAsia="宋体" w:hAnsi="宋体" w:cs="Calibri" w:hint="eastAsia"/>
          <w:sz w:val="24"/>
          <w:szCs w:val="24"/>
        </w:rPr>
        <w:t>15%</w:t>
      </w:r>
      <w:r w:rsidRPr="006A0EAA">
        <w:rPr>
          <w:rFonts w:ascii="宋体" w:eastAsia="宋体" w:hAnsi="宋体" w:cs="Times New Roman" w:hint="eastAsia"/>
          <w:sz w:val="24"/>
          <w:szCs w:val="24"/>
        </w:rPr>
        <w:t>，以此来使房企的净负债率小于</w:t>
      </w:r>
      <w:r w:rsidRPr="006A0EAA">
        <w:rPr>
          <w:rFonts w:ascii="宋体" w:eastAsia="宋体" w:hAnsi="宋体" w:cs="Calibri" w:hint="eastAsia"/>
          <w:sz w:val="24"/>
          <w:szCs w:val="24"/>
        </w:rPr>
        <w:t>1.</w:t>
      </w:r>
    </w:p>
    <w:p w14:paraId="117B9CD7" w14:textId="77777777" w:rsidR="005727F1" w:rsidRPr="006A0EAA" w:rsidRDefault="005727F1" w:rsidP="005727F1">
      <w:pPr>
        <w:numPr>
          <w:ilvl w:val="0"/>
          <w:numId w:val="20"/>
        </w:numPr>
        <w:rPr>
          <w:rFonts w:ascii="宋体" w:eastAsia="宋体" w:hAnsi="宋体" w:cs="Times New Roman"/>
          <w:sz w:val="24"/>
          <w:szCs w:val="24"/>
        </w:rPr>
      </w:pPr>
      <w:r w:rsidRPr="006A0EAA">
        <w:rPr>
          <w:rFonts w:ascii="宋体" w:eastAsia="宋体" w:hAnsi="宋体" w:cs="Times New Roman" w:hint="eastAsia"/>
          <w:sz w:val="24"/>
          <w:szCs w:val="24"/>
        </w:rPr>
        <w:t>通过增大房地产企业的净资产，包括增大股本，利润，适度保有永续债等。因为在目前实行的会计准则中，永续负债是属于资产类的科目，因此很多房企都会适度发行永续债券。</w:t>
      </w:r>
    </w:p>
    <w:p w14:paraId="4E3C92C9" w14:textId="77777777" w:rsidR="005727F1" w:rsidRPr="000A1443" w:rsidRDefault="005727F1" w:rsidP="005727F1">
      <w:pPr>
        <w:rPr>
          <w:rFonts w:ascii="Calibri" w:hAnsi="Calibri" w:cs="Times New Roman"/>
          <w:szCs w:val="21"/>
        </w:rPr>
      </w:pPr>
      <w:r w:rsidRPr="000A1443">
        <w:rPr>
          <w:rFonts w:ascii="Calibri" w:hAnsi="Calibri" w:cs="Times New Roman" w:hint="eastAsia"/>
          <w:szCs w:val="21"/>
        </w:rPr>
        <w:t xml:space="preserve"> </w:t>
      </w:r>
    </w:p>
    <w:p w14:paraId="04D80915" w14:textId="77777777" w:rsidR="005727F1" w:rsidRPr="000A1443" w:rsidRDefault="005727F1" w:rsidP="005727F1">
      <w:pPr>
        <w:pStyle w:val="4"/>
      </w:pPr>
      <w:r>
        <w:rPr>
          <w:rFonts w:cs="Calibri"/>
        </w:rPr>
        <w:t>2.2.2.4</w:t>
      </w:r>
      <w:r w:rsidRPr="000A1443">
        <w:rPr>
          <w:rFonts w:cs="Calibri" w:hint="eastAsia"/>
        </w:rPr>
        <w:t xml:space="preserve"> </w:t>
      </w:r>
      <w:r w:rsidRPr="000A1443">
        <w:rPr>
          <w:rFonts w:ascii="宋体" w:hAnsi="宋体" w:hint="eastAsia"/>
        </w:rPr>
        <w:t>现金短债比</w:t>
      </w:r>
    </w:p>
    <w:p w14:paraId="432A7AF2" w14:textId="74F386C4" w:rsidR="006A0EAA" w:rsidRPr="006A0EAA" w:rsidRDefault="005727F1" w:rsidP="005F6B88">
      <w:pPr>
        <w:ind w:firstLineChars="200" w:firstLine="480"/>
        <w:rPr>
          <w:rFonts w:ascii="宋体" w:eastAsia="宋体" w:hAnsi="宋体" w:cs="Times New Roman"/>
          <w:sz w:val="24"/>
          <w:szCs w:val="24"/>
        </w:rPr>
      </w:pPr>
      <w:r w:rsidRPr="006A0EAA">
        <w:rPr>
          <w:rFonts w:ascii="宋体" w:eastAsia="宋体" w:hAnsi="宋体" w:cs="Times New Roman" w:hint="eastAsia"/>
          <w:sz w:val="24"/>
          <w:szCs w:val="24"/>
        </w:rPr>
        <w:t>房地产企业现金短债比</w:t>
      </w:r>
      <w:r w:rsidRPr="006A0EAA">
        <w:rPr>
          <w:rFonts w:ascii="宋体" w:eastAsia="宋体" w:hAnsi="宋体" w:cs="Calibri" w:hint="eastAsia"/>
          <w:sz w:val="24"/>
          <w:szCs w:val="24"/>
        </w:rPr>
        <w:t>=</w:t>
      </w:r>
      <w:r w:rsidRPr="006A0EAA">
        <w:rPr>
          <w:rFonts w:ascii="宋体" w:eastAsia="宋体" w:hAnsi="宋体" w:cs="Times New Roman" w:hint="eastAsia"/>
          <w:sz w:val="24"/>
          <w:szCs w:val="24"/>
        </w:rPr>
        <w:t>货币资金</w:t>
      </w:r>
      <w:r w:rsidRPr="006A0EAA">
        <w:rPr>
          <w:rFonts w:ascii="宋体" w:eastAsia="宋体" w:hAnsi="宋体" w:cs="Calibri" w:hint="eastAsia"/>
          <w:sz w:val="24"/>
          <w:szCs w:val="24"/>
        </w:rPr>
        <w:t>/</w:t>
      </w:r>
      <w:r w:rsidRPr="006A0EAA">
        <w:rPr>
          <w:rFonts w:ascii="宋体" w:eastAsia="宋体" w:hAnsi="宋体" w:cs="Times New Roman" w:hint="eastAsia"/>
          <w:sz w:val="24"/>
          <w:szCs w:val="24"/>
        </w:rPr>
        <w:t>年末短期负债</w:t>
      </w:r>
    </w:p>
    <w:p w14:paraId="6EE118DB" w14:textId="429E04C9" w:rsidR="005727F1" w:rsidRPr="006A0EAA" w:rsidRDefault="005727F1" w:rsidP="006A0EAA">
      <w:pPr>
        <w:ind w:firstLineChars="200" w:firstLine="480"/>
        <w:rPr>
          <w:rFonts w:ascii="宋体" w:eastAsia="宋体" w:hAnsi="宋体" w:cs="Times New Roman"/>
          <w:sz w:val="24"/>
          <w:szCs w:val="24"/>
        </w:rPr>
      </w:pPr>
      <w:r w:rsidRPr="006A0EAA">
        <w:rPr>
          <w:rFonts w:ascii="宋体" w:eastAsia="宋体" w:hAnsi="宋体" w:cs="Times New Roman" w:hint="eastAsia"/>
          <w:sz w:val="24"/>
          <w:szCs w:val="24"/>
        </w:rPr>
        <w:t>现金短债比是货币资金与短期有息负债的比值，主要用于衡量房地产企业的</w:t>
      </w:r>
      <w:r w:rsidRPr="006A0EAA">
        <w:rPr>
          <w:rFonts w:ascii="宋体" w:eastAsia="宋体" w:hAnsi="宋体" w:cs="Times New Roman" w:hint="eastAsia"/>
          <w:sz w:val="24"/>
          <w:szCs w:val="24"/>
        </w:rPr>
        <w:lastRenderedPageBreak/>
        <w:t>短期偿债能力。影响现金短债比高低的因素有两方面，第一是公司的货币资金储备；第二是房企的短期有息负债规模。一般来说，房地产企业现金短债比高于一，那么该公司短期的偿债压力会比较小，现金短债比小于</w:t>
      </w:r>
      <w:r w:rsidRPr="006A0EAA">
        <w:rPr>
          <w:rFonts w:ascii="宋体" w:eastAsia="宋体" w:hAnsi="宋体" w:cs="Calibri" w:hint="eastAsia"/>
          <w:sz w:val="24"/>
          <w:szCs w:val="24"/>
        </w:rPr>
        <w:t>1</w:t>
      </w:r>
      <w:r w:rsidRPr="006A0EAA">
        <w:rPr>
          <w:rFonts w:ascii="宋体" w:eastAsia="宋体" w:hAnsi="宋体" w:cs="Times New Roman" w:hint="eastAsia"/>
          <w:sz w:val="24"/>
          <w:szCs w:val="24"/>
        </w:rPr>
        <w:t>，说明企业的经营现金流入量小于年末短期负债。在小于</w:t>
      </w:r>
      <w:r w:rsidRPr="006A0EAA">
        <w:rPr>
          <w:rFonts w:ascii="宋体" w:eastAsia="宋体" w:hAnsi="宋体" w:cs="Calibri" w:hint="eastAsia"/>
          <w:sz w:val="24"/>
          <w:szCs w:val="24"/>
        </w:rPr>
        <w:t>1</w:t>
      </w:r>
      <w:r w:rsidRPr="006A0EAA">
        <w:rPr>
          <w:rFonts w:ascii="宋体" w:eastAsia="宋体" w:hAnsi="宋体" w:cs="Times New Roman" w:hint="eastAsia"/>
          <w:sz w:val="24"/>
          <w:szCs w:val="24"/>
        </w:rPr>
        <w:t>的这种情况下，房地产企业不能完全依靠经营活动产生的现金流来偿还负债，还需要依靠企业自有资金的周转来偿债，这对于企业的经营业绩会造成不利的影响，还会增加企业的短期资金风险，对企业的长期发展也会带来很多负面影响。而一般现金短债比大于</w:t>
      </w:r>
      <w:r w:rsidRPr="006A0EAA">
        <w:rPr>
          <w:rFonts w:ascii="宋体" w:eastAsia="宋体" w:hAnsi="宋体" w:cs="Calibri" w:hint="eastAsia"/>
          <w:sz w:val="24"/>
          <w:szCs w:val="24"/>
        </w:rPr>
        <w:t>1</w:t>
      </w:r>
      <w:r w:rsidRPr="006A0EAA">
        <w:rPr>
          <w:rFonts w:ascii="宋体" w:eastAsia="宋体" w:hAnsi="宋体" w:cs="Times New Roman" w:hint="eastAsia"/>
          <w:sz w:val="24"/>
          <w:szCs w:val="24"/>
        </w:rPr>
        <w:t>时，则表示企业流动负债的偿还有可靠保证，该指标越大表明企业经营活动产生的现金流量越多，越能保障企业安琪偿还到期债务。当然如果现金短债比过大，则表明企业对于内部的现金流量利用不够充分，盈利能力较弱，存在大量的闲置资金。</w:t>
      </w:r>
    </w:p>
    <w:p w14:paraId="4C838C88" w14:textId="77777777" w:rsidR="005727F1" w:rsidRPr="000A1443" w:rsidRDefault="005727F1" w:rsidP="005727F1">
      <w:pPr>
        <w:rPr>
          <w:rFonts w:ascii="Calibri" w:hAnsi="Calibri" w:cs="Times New Roman"/>
          <w:szCs w:val="21"/>
        </w:rPr>
      </w:pPr>
      <w:r w:rsidRPr="000A1443">
        <w:rPr>
          <w:rFonts w:ascii="Calibri" w:hAnsi="Calibri" w:cs="Times New Roman" w:hint="eastAsia"/>
          <w:szCs w:val="21"/>
        </w:rPr>
        <w:t xml:space="preserve"> </w:t>
      </w:r>
    </w:p>
    <w:p w14:paraId="6DB32AB9" w14:textId="77777777" w:rsidR="005727F1" w:rsidRDefault="005727F1" w:rsidP="005727F1">
      <w:pPr>
        <w:pStyle w:val="2"/>
      </w:pPr>
      <w:bookmarkStart w:id="29" w:name="_Toc103640982"/>
      <w:r>
        <w:rPr>
          <w:rFonts w:hint="eastAsia"/>
        </w:rPr>
        <w:t>2</w:t>
      </w:r>
      <w:r>
        <w:t xml:space="preserve">.3 </w:t>
      </w:r>
      <w:r>
        <w:rPr>
          <w:rFonts w:hint="eastAsia"/>
        </w:rPr>
        <w:t>“三道红线”政策对房地产企业融资影响的理论分析</w:t>
      </w:r>
      <w:bookmarkEnd w:id="29"/>
    </w:p>
    <w:p w14:paraId="0D7AFBF0" w14:textId="77777777" w:rsidR="005727F1" w:rsidRPr="00471893" w:rsidRDefault="005727F1" w:rsidP="005727F1">
      <w:pPr>
        <w:ind w:firstLineChars="200" w:firstLine="480"/>
        <w:rPr>
          <w:rFonts w:ascii="宋体" w:eastAsia="宋体" w:hAnsi="宋体"/>
          <w:sz w:val="24"/>
          <w:szCs w:val="24"/>
        </w:rPr>
      </w:pPr>
      <w:r w:rsidRPr="00471893">
        <w:rPr>
          <w:rFonts w:ascii="宋体" w:eastAsia="宋体" w:hAnsi="宋体" w:hint="eastAsia"/>
          <w:sz w:val="24"/>
          <w:szCs w:val="24"/>
        </w:rPr>
        <w:t>“三道红线”政策的实行对房地产企业的多个财务指标进行了监控，以此为基准将房地产企业分为了不同的档位，处在不同档位的房地产企业会因此被改变自身的融资渠道、融资规模以及融资结构。所以，本文将房地产企业的五类融资占比表示房地产的融资结构。</w:t>
      </w:r>
    </w:p>
    <w:p w14:paraId="421FDC10" w14:textId="77777777" w:rsidR="005727F1" w:rsidRPr="00471893" w:rsidRDefault="005727F1" w:rsidP="005727F1">
      <w:pPr>
        <w:ind w:firstLineChars="200" w:firstLine="480"/>
        <w:rPr>
          <w:rFonts w:ascii="宋体" w:eastAsia="宋体" w:hAnsi="宋体"/>
          <w:sz w:val="24"/>
          <w:szCs w:val="24"/>
        </w:rPr>
      </w:pPr>
      <w:r w:rsidRPr="00471893">
        <w:rPr>
          <w:rFonts w:ascii="宋体" w:eastAsia="宋体" w:hAnsi="宋体" w:hint="eastAsia"/>
          <w:sz w:val="24"/>
          <w:szCs w:val="24"/>
        </w:rPr>
        <w:t>从上述的理论综合论述中，“三道红线”政策的实行会给房地产企业融资带来的影响包括以下几个方面：</w:t>
      </w:r>
    </w:p>
    <w:p w14:paraId="6319BCD2" w14:textId="77777777" w:rsidR="00485998" w:rsidRDefault="005727F1" w:rsidP="00485998">
      <w:pPr>
        <w:ind w:firstLineChars="200" w:firstLine="480"/>
        <w:rPr>
          <w:rFonts w:ascii="宋体" w:eastAsia="宋体" w:hAnsi="宋体"/>
          <w:sz w:val="24"/>
          <w:szCs w:val="24"/>
        </w:rPr>
      </w:pPr>
      <w:r w:rsidRPr="00471893">
        <w:rPr>
          <w:rFonts w:ascii="宋体" w:eastAsia="宋体" w:hAnsi="宋体" w:hint="eastAsia"/>
          <w:sz w:val="24"/>
          <w:szCs w:val="24"/>
        </w:rPr>
        <w:t>（1）促使房地产企业增厚净资产，减少净负债。“三道红线”中所提到的剔除预收款后的资产负债率和净负债率是考核房地产企业正常经营的重要指标，通过理论公式可以看出这两项指标硬性的限制了房地产企业的负债的规模，减缓了房地产行业中外部资金的需求，使房地产业不得不释放大量的流动性以此来获得更符合绿档的资产负债比率。</w:t>
      </w:r>
    </w:p>
    <w:p w14:paraId="452C31DA" w14:textId="183923A9" w:rsidR="005727F1" w:rsidRPr="00471893" w:rsidRDefault="005727F1" w:rsidP="00485998">
      <w:pPr>
        <w:ind w:firstLineChars="200" w:firstLine="480"/>
        <w:rPr>
          <w:rFonts w:ascii="宋体" w:eastAsia="宋体" w:hAnsi="宋体"/>
          <w:sz w:val="24"/>
          <w:szCs w:val="24"/>
        </w:rPr>
      </w:pPr>
      <w:r w:rsidRPr="00471893">
        <w:rPr>
          <w:rFonts w:ascii="宋体" w:eastAsia="宋体" w:hAnsi="宋体" w:hint="eastAsia"/>
          <w:sz w:val="24"/>
          <w:szCs w:val="24"/>
        </w:rPr>
        <w:t>（2）拉长了房地产行业的低速增长期，促使房地产企业提升自身的营业效率。再过去的房地产行业发展中，很多房企通过利用初期极高的财务杠杆获得了高额的收益，形成了较大的企业规模，但是在新的融资规定下，这种后来居上的案例将会很难出现，因此房地产业的马太效应将会越来越明显。随着马太效应的明显，行业内的格局也会趋于固化，各房地产企业要想在这种竞争模式下取得优势地位，只能通过优化自身营业效率，提升自身营业利润的方式。</w:t>
      </w:r>
    </w:p>
    <w:p w14:paraId="4B815269" w14:textId="77777777" w:rsidR="005727F1" w:rsidRPr="00471893" w:rsidRDefault="005727F1" w:rsidP="00485998">
      <w:pPr>
        <w:ind w:firstLineChars="200" w:firstLine="480"/>
        <w:rPr>
          <w:rFonts w:ascii="宋体" w:eastAsia="宋体" w:hAnsi="宋体"/>
          <w:sz w:val="24"/>
          <w:szCs w:val="24"/>
        </w:rPr>
      </w:pPr>
      <w:r w:rsidRPr="00471893">
        <w:rPr>
          <w:rFonts w:ascii="宋体" w:eastAsia="宋体" w:hAnsi="宋体" w:hint="eastAsia"/>
          <w:sz w:val="24"/>
          <w:szCs w:val="24"/>
        </w:rPr>
        <w:t>（3）促使房地产企业缩短项目周期，提高房产周转速率，减少囤地的行为，促进营运资金的流入，扩大内源性融资在企业整体融资结构中的占比。根据“三道红线”中的现金短债比这一指标的计算公式可以得出，房地产企业货币资金这个科目的数额会在很大程度上影响房企的融资杠杆率。在我国房地产企业的发展进程中，一直存在由于项目周期过长导致营运资金利用效率低的问题，现金短债比这项指标的监控扩大了 房地产企业回收资金的需求，有效的解决了这一问题。过去的房地产企业的重心在于不断借助杠杆来扩大自己的规模，然后凭借着庞大的体谅获得更广的融资渠道和更多的融资金额，新规实行后，想要获得大量的融资，不仅需要较大的规模还需要房企本身拥有较为扎实的净资产厚度和盈利能力，而加大资金利用效率，缩短资金回收周期可以给房地产企业的盈利能力带来较大的提升。盈利能力的提升可以为房地产企业提供未分配利润的盈余，会促使房地产企业将更多的内源资金重新融入到企业自身的融资结构中去，进而降低整体的融资成本，提升房地产企业对资金的利用效率。因此，从融资端的角度来看，“现</w:t>
      </w:r>
      <w:r w:rsidRPr="00471893">
        <w:rPr>
          <w:rFonts w:ascii="宋体" w:eastAsia="宋体" w:hAnsi="宋体" w:hint="eastAsia"/>
          <w:sz w:val="24"/>
          <w:szCs w:val="24"/>
        </w:rPr>
        <w:lastRenderedPageBreak/>
        <w:t>金短债比不得小于1”这道红线将会刺激企业提升自身的内源性融资占比，保证经营性现金流的充沛。</w:t>
      </w:r>
    </w:p>
    <w:p w14:paraId="732BEE33" w14:textId="231704E0" w:rsidR="005727F1" w:rsidRPr="005F1FF3" w:rsidRDefault="005727F1" w:rsidP="005F1FF3">
      <w:pPr>
        <w:ind w:firstLineChars="200" w:firstLine="480"/>
        <w:rPr>
          <w:rFonts w:ascii="宋体" w:eastAsia="宋体" w:hAnsi="宋体"/>
          <w:sz w:val="24"/>
          <w:szCs w:val="24"/>
        </w:rPr>
        <w:sectPr w:rsidR="005727F1" w:rsidRPr="005F1FF3" w:rsidSect="004A208C">
          <w:footerReference w:type="default" r:id="rId14"/>
          <w:pgSz w:w="11906" w:h="16838"/>
          <w:pgMar w:top="1440" w:right="1800" w:bottom="1440" w:left="1800" w:header="851" w:footer="992" w:gutter="0"/>
          <w:pgNumType w:start="4"/>
          <w:cols w:space="425"/>
          <w:docGrid w:type="lines" w:linePitch="312"/>
        </w:sectPr>
      </w:pPr>
      <w:r w:rsidRPr="00471893">
        <w:rPr>
          <w:rFonts w:ascii="宋体" w:eastAsia="宋体" w:hAnsi="宋体" w:hint="eastAsia"/>
          <w:sz w:val="24"/>
          <w:szCs w:val="24"/>
        </w:rPr>
        <w:t>（4）促使房地产企业全方位的增加发行自有资本，催生房地产+业务的成型，扩大股权融资和商业信用融资的占比。对于房地产企业来说，仅靠债务融资的方式远不能达到主营项目正常运作的数额，因此通过上市获得市盈率获得大量融资是一种非常不可或缺的途径。同时对于一些已经踩到红线的房地产企业，拆分母公司的物业服务类的企业上市，对合并报表后的母公司财务指标也有非常大改进。而上市增发资本等策略体现在母公司的融资端具体表现，就是股权融资率和商业信用融资率的提升。所以在融资新规实行下，房地产可以通过增发资本等方法提升股权融资率和商业信用融资率，达到有序拓展融资渠道的</w:t>
      </w:r>
      <w:r w:rsidR="005F1FF3">
        <w:rPr>
          <w:rFonts w:ascii="宋体" w:eastAsia="宋体" w:hAnsi="宋体" w:hint="eastAsia"/>
          <w:sz w:val="24"/>
          <w:szCs w:val="24"/>
        </w:rPr>
        <w:t>目的。</w:t>
      </w:r>
    </w:p>
    <w:p w14:paraId="08220F7A" w14:textId="77777777" w:rsidR="00823A36" w:rsidRDefault="00823A36" w:rsidP="00823A36"/>
    <w:p w14:paraId="184112C9" w14:textId="77777777" w:rsidR="00823A36" w:rsidRDefault="00823A36" w:rsidP="00823A36">
      <w:pPr>
        <w:pStyle w:val="1"/>
        <w:jc w:val="center"/>
      </w:pPr>
      <w:bookmarkStart w:id="30" w:name="_Toc103640983"/>
      <w:r>
        <w:rPr>
          <w:rFonts w:hint="eastAsia"/>
        </w:rPr>
        <w:t>第</w:t>
      </w:r>
      <w:r>
        <w:t>3</w:t>
      </w:r>
      <w:r>
        <w:rPr>
          <w:rFonts w:hint="eastAsia"/>
        </w:rPr>
        <w:t>章 “三道红线”政策对房地产企业影响的实证分析</w:t>
      </w:r>
      <w:bookmarkEnd w:id="30"/>
    </w:p>
    <w:p w14:paraId="137A6A83" w14:textId="2402C675" w:rsidR="00823A36" w:rsidRPr="00823A36" w:rsidRDefault="00823A36" w:rsidP="00823A36">
      <w:pPr>
        <w:ind w:firstLineChars="200" w:firstLine="480"/>
        <w:rPr>
          <w:rFonts w:ascii="宋体" w:eastAsia="宋体" w:hAnsi="宋体"/>
          <w:sz w:val="24"/>
          <w:szCs w:val="24"/>
        </w:rPr>
      </w:pPr>
      <w:r w:rsidRPr="00823A36">
        <w:rPr>
          <w:rFonts w:ascii="宋体" w:eastAsia="宋体" w:hAnsi="宋体" w:hint="eastAsia"/>
          <w:sz w:val="24"/>
          <w:szCs w:val="24"/>
        </w:rPr>
        <w:t>根据上述的理论分析和比较分析，我国的房地产企业普遍存在着杠杆比率过高、负债数额过大、财务风险过高的问题。“三道红线”是我国政府管理层所做出规制政策，以“三道红线”为指标，将房企分档后对于处在不同档位的房企，不同程度的限制其有息负债规模年增速，目的在于降低房地产企业高杠杆，高负债的现象。本章将用实证分析法，研究房地产企业各类方式的融资金额占比和“三道红线”中三大指标之间的相关关系，得到研究结果后，根据政府相关的规制理论，为房地产企业的各类融资方式的占比提出建议。本实证研究中，以房地产上市企业为研究对象，基于单位根检验、面板数据分析，以剔除预收款后的资产负债率</w:t>
      </w:r>
      <w:r>
        <w:rPr>
          <w:rFonts w:ascii="宋体" w:eastAsia="宋体" w:hAnsi="宋体" w:hint="eastAsia"/>
          <w:sz w:val="24"/>
          <w:szCs w:val="24"/>
        </w:rPr>
        <w:t>、</w:t>
      </w:r>
      <w:r w:rsidRPr="00823A36">
        <w:rPr>
          <w:rFonts w:ascii="宋体" w:eastAsia="宋体" w:hAnsi="宋体" w:hint="eastAsia"/>
          <w:sz w:val="24"/>
          <w:szCs w:val="24"/>
        </w:rPr>
        <w:t>净资产负债率</w:t>
      </w:r>
      <w:r>
        <w:rPr>
          <w:rFonts w:ascii="宋体" w:eastAsia="宋体" w:hAnsi="宋体" w:hint="eastAsia"/>
          <w:sz w:val="24"/>
          <w:szCs w:val="24"/>
        </w:rPr>
        <w:t>和</w:t>
      </w:r>
      <w:r w:rsidRPr="00823A36">
        <w:rPr>
          <w:rFonts w:ascii="宋体" w:eastAsia="宋体" w:hAnsi="宋体" w:hint="eastAsia"/>
          <w:sz w:val="24"/>
          <w:szCs w:val="24"/>
        </w:rPr>
        <w:t>现金短债比作为被解释变量，以股权融资率</w:t>
      </w:r>
      <w:r>
        <w:rPr>
          <w:rFonts w:ascii="宋体" w:eastAsia="宋体" w:hAnsi="宋体" w:hint="eastAsia"/>
          <w:sz w:val="24"/>
          <w:szCs w:val="24"/>
        </w:rPr>
        <w:t>、</w:t>
      </w:r>
      <w:r w:rsidRPr="00823A36">
        <w:rPr>
          <w:rFonts w:ascii="宋体" w:eastAsia="宋体" w:hAnsi="宋体" w:hint="eastAsia"/>
          <w:sz w:val="24"/>
          <w:szCs w:val="24"/>
        </w:rPr>
        <w:t>商业信用融资率</w:t>
      </w:r>
      <w:r>
        <w:rPr>
          <w:rFonts w:ascii="宋体" w:eastAsia="宋体" w:hAnsi="宋体" w:hint="eastAsia"/>
          <w:sz w:val="24"/>
          <w:szCs w:val="24"/>
        </w:rPr>
        <w:t>、</w:t>
      </w:r>
      <w:r w:rsidRPr="00823A36">
        <w:rPr>
          <w:rFonts w:ascii="宋体" w:eastAsia="宋体" w:hAnsi="宋体" w:hint="eastAsia"/>
          <w:sz w:val="24"/>
          <w:szCs w:val="24"/>
        </w:rPr>
        <w:t>内源融资率</w:t>
      </w:r>
      <w:r>
        <w:rPr>
          <w:rFonts w:ascii="宋体" w:eastAsia="宋体" w:hAnsi="宋体" w:hint="eastAsia"/>
          <w:sz w:val="24"/>
          <w:szCs w:val="24"/>
        </w:rPr>
        <w:t>、</w:t>
      </w:r>
      <w:r w:rsidRPr="00823A36">
        <w:rPr>
          <w:rFonts w:ascii="宋体" w:eastAsia="宋体" w:hAnsi="宋体" w:hint="eastAsia"/>
          <w:sz w:val="24"/>
          <w:szCs w:val="24"/>
        </w:rPr>
        <w:t>财政融资率</w:t>
      </w:r>
      <w:r>
        <w:rPr>
          <w:rFonts w:ascii="宋体" w:eastAsia="宋体" w:hAnsi="宋体" w:hint="eastAsia"/>
          <w:sz w:val="24"/>
          <w:szCs w:val="24"/>
        </w:rPr>
        <w:t>和</w:t>
      </w:r>
      <w:r w:rsidRPr="00823A36">
        <w:rPr>
          <w:rFonts w:ascii="宋体" w:eastAsia="宋体" w:hAnsi="宋体" w:hint="eastAsia"/>
          <w:sz w:val="24"/>
          <w:szCs w:val="24"/>
        </w:rPr>
        <w:t>债券融资率为解释变量，采用实证分析方法分析房地产企业五种融资率对三个财务比率的影响，</w:t>
      </w:r>
      <w:r>
        <w:rPr>
          <w:rFonts w:ascii="宋体" w:eastAsia="宋体" w:hAnsi="宋体" w:hint="eastAsia"/>
          <w:sz w:val="24"/>
          <w:szCs w:val="24"/>
        </w:rPr>
        <w:t>再</w:t>
      </w:r>
      <w:r w:rsidRPr="00823A36">
        <w:rPr>
          <w:rFonts w:ascii="宋体" w:eastAsia="宋体" w:hAnsi="宋体" w:hint="eastAsia"/>
          <w:sz w:val="24"/>
          <w:szCs w:val="24"/>
        </w:rPr>
        <w:t>结合政府管理层对三个财务比率的规制要求，进而分析“三道红线”政策对房地产企业融资结构的作用和效果，更加直观、科学的反应“三道红线”对房地产企业融资的影响，为房地产企业修改融资结构提出针对性的意见。</w:t>
      </w:r>
    </w:p>
    <w:p w14:paraId="5A54CDA0" w14:textId="77777777" w:rsidR="00823A36" w:rsidRDefault="00823A36" w:rsidP="00823A36">
      <w:pPr>
        <w:pStyle w:val="2"/>
      </w:pPr>
      <w:bookmarkStart w:id="31" w:name="_Toc103640984"/>
      <w:r>
        <w:rPr>
          <w:rFonts w:hint="eastAsia"/>
        </w:rPr>
        <w:t>3</w:t>
      </w:r>
      <w:r>
        <w:t xml:space="preserve">.1 </w:t>
      </w:r>
      <w:r>
        <w:rPr>
          <w:rFonts w:hint="eastAsia"/>
        </w:rPr>
        <w:t>作出假设</w:t>
      </w:r>
      <w:bookmarkEnd w:id="31"/>
    </w:p>
    <w:p w14:paraId="02614926" w14:textId="77777777" w:rsidR="00823A36" w:rsidRPr="00823A36" w:rsidRDefault="00823A36" w:rsidP="00823A36">
      <w:pPr>
        <w:rPr>
          <w:rFonts w:ascii="宋体" w:eastAsia="宋体" w:hAnsi="宋体"/>
          <w:sz w:val="24"/>
          <w:szCs w:val="24"/>
        </w:rPr>
      </w:pPr>
      <w:r w:rsidRPr="00823A36">
        <w:rPr>
          <w:rFonts w:ascii="宋体" w:eastAsia="宋体" w:hAnsi="宋体" w:hint="eastAsia"/>
          <w:sz w:val="24"/>
          <w:szCs w:val="24"/>
        </w:rPr>
        <w:t>假设一：“三道红线”政策会使房地产企业的股权融资比率升高。</w:t>
      </w:r>
    </w:p>
    <w:p w14:paraId="693FD7FF" w14:textId="77777777" w:rsidR="00823A36" w:rsidRPr="00823A36" w:rsidRDefault="00823A36" w:rsidP="00823A36">
      <w:pPr>
        <w:rPr>
          <w:rFonts w:ascii="宋体" w:eastAsia="宋体" w:hAnsi="宋体"/>
          <w:sz w:val="24"/>
          <w:szCs w:val="24"/>
        </w:rPr>
      </w:pPr>
      <w:r w:rsidRPr="00823A36">
        <w:rPr>
          <w:rFonts w:ascii="宋体" w:eastAsia="宋体" w:hAnsi="宋体" w:hint="eastAsia"/>
          <w:sz w:val="24"/>
          <w:szCs w:val="24"/>
        </w:rPr>
        <w:t>假设二：“三道红线”政策会使房地产企业的商业信用融资比率升高。</w:t>
      </w:r>
    </w:p>
    <w:p w14:paraId="514E3D63" w14:textId="77777777" w:rsidR="00823A36" w:rsidRPr="00823A36" w:rsidRDefault="00823A36" w:rsidP="00823A36">
      <w:pPr>
        <w:rPr>
          <w:rFonts w:ascii="宋体" w:eastAsia="宋体" w:hAnsi="宋体"/>
          <w:sz w:val="24"/>
          <w:szCs w:val="24"/>
        </w:rPr>
      </w:pPr>
      <w:r w:rsidRPr="00823A36">
        <w:rPr>
          <w:rFonts w:ascii="宋体" w:eastAsia="宋体" w:hAnsi="宋体" w:hint="eastAsia"/>
          <w:sz w:val="24"/>
          <w:szCs w:val="24"/>
        </w:rPr>
        <w:t>假设三：“三道红线”政策会使房地产企业的内源性融资比率升高。</w:t>
      </w:r>
    </w:p>
    <w:p w14:paraId="4195D116" w14:textId="77777777" w:rsidR="00823A36" w:rsidRPr="00823A36" w:rsidRDefault="00823A36" w:rsidP="00823A36">
      <w:pPr>
        <w:rPr>
          <w:rFonts w:ascii="宋体" w:eastAsia="宋体" w:hAnsi="宋体"/>
          <w:sz w:val="24"/>
          <w:szCs w:val="24"/>
        </w:rPr>
      </w:pPr>
      <w:r w:rsidRPr="00823A36">
        <w:rPr>
          <w:rFonts w:ascii="宋体" w:eastAsia="宋体" w:hAnsi="宋体" w:hint="eastAsia"/>
          <w:sz w:val="24"/>
          <w:szCs w:val="24"/>
        </w:rPr>
        <w:t>假设四：“三道红线”政策会使房地产企业的债券性融资比率降低。</w:t>
      </w:r>
    </w:p>
    <w:p w14:paraId="2B8315D4" w14:textId="77777777" w:rsidR="00823A36" w:rsidRDefault="00823A36" w:rsidP="00823A36">
      <w:pPr>
        <w:pStyle w:val="2"/>
      </w:pPr>
      <w:bookmarkStart w:id="32" w:name="_Toc103640985"/>
      <w:r>
        <w:t xml:space="preserve">3.2 </w:t>
      </w:r>
      <w:r>
        <w:rPr>
          <w:rFonts w:hint="eastAsia"/>
        </w:rPr>
        <w:t>样本设计</w:t>
      </w:r>
      <w:bookmarkEnd w:id="32"/>
    </w:p>
    <w:p w14:paraId="5EE941E0" w14:textId="77777777" w:rsidR="00823A36" w:rsidRDefault="00823A36" w:rsidP="00823A36">
      <w:pPr>
        <w:pStyle w:val="4"/>
      </w:pPr>
      <w:r>
        <w:t>3.2.1</w:t>
      </w:r>
      <w:r>
        <w:rPr>
          <w:rFonts w:hint="eastAsia"/>
        </w:rPr>
        <w:t>样本选取</w:t>
      </w:r>
    </w:p>
    <w:p w14:paraId="359122BD" w14:textId="77777777" w:rsidR="00823A36" w:rsidRPr="00823A36" w:rsidRDefault="00823A36" w:rsidP="00823A36">
      <w:pPr>
        <w:rPr>
          <w:rFonts w:ascii="宋体" w:eastAsia="宋体" w:hAnsi="宋体"/>
          <w:sz w:val="24"/>
          <w:szCs w:val="24"/>
        </w:rPr>
      </w:pPr>
      <w:r>
        <w:rPr>
          <w:rFonts w:hint="eastAsia"/>
        </w:rPr>
        <w:t xml:space="preserve"> </w:t>
      </w:r>
      <w:r>
        <w:t xml:space="preserve"> </w:t>
      </w:r>
      <w:r w:rsidRPr="00823A36">
        <w:rPr>
          <w:rFonts w:ascii="宋体" w:eastAsia="宋体" w:hAnsi="宋体"/>
          <w:sz w:val="24"/>
          <w:szCs w:val="24"/>
        </w:rPr>
        <w:t xml:space="preserve"> </w:t>
      </w:r>
      <w:r w:rsidRPr="00823A36">
        <w:rPr>
          <w:rFonts w:ascii="宋体" w:eastAsia="宋体" w:hAnsi="宋体" w:hint="eastAsia"/>
          <w:sz w:val="24"/>
          <w:szCs w:val="24"/>
        </w:rPr>
        <w:t>论文依据中国证券监督委员会公布的“2</w:t>
      </w:r>
      <w:r w:rsidRPr="00823A36">
        <w:rPr>
          <w:rFonts w:ascii="宋体" w:eastAsia="宋体" w:hAnsi="宋体"/>
          <w:sz w:val="24"/>
          <w:szCs w:val="24"/>
        </w:rPr>
        <w:t>021</w:t>
      </w:r>
      <w:r w:rsidRPr="00823A36">
        <w:rPr>
          <w:rFonts w:ascii="宋体" w:eastAsia="宋体" w:hAnsi="宋体" w:hint="eastAsia"/>
          <w:sz w:val="24"/>
          <w:szCs w:val="24"/>
        </w:rPr>
        <w:t>年上市企业行业分类结果”，采取沪深两市房地产上市企业作为研究对象。</w:t>
      </w:r>
    </w:p>
    <w:p w14:paraId="1BEE89E0" w14:textId="77777777" w:rsidR="00823A36" w:rsidRPr="00823A36" w:rsidRDefault="00823A36" w:rsidP="00823A36">
      <w:pPr>
        <w:rPr>
          <w:rFonts w:ascii="宋体" w:eastAsia="宋体" w:hAnsi="宋体"/>
          <w:sz w:val="24"/>
          <w:szCs w:val="24"/>
        </w:rPr>
      </w:pPr>
      <w:r w:rsidRPr="00823A36">
        <w:rPr>
          <w:rFonts w:ascii="宋体" w:eastAsia="宋体" w:hAnsi="宋体" w:hint="eastAsia"/>
          <w:sz w:val="24"/>
          <w:szCs w:val="24"/>
        </w:rPr>
        <w:t xml:space="preserve"> </w:t>
      </w:r>
      <w:r w:rsidRPr="00823A36">
        <w:rPr>
          <w:rFonts w:ascii="宋体" w:eastAsia="宋体" w:hAnsi="宋体"/>
          <w:sz w:val="24"/>
          <w:szCs w:val="24"/>
        </w:rPr>
        <w:t xml:space="preserve">  </w:t>
      </w:r>
      <w:r w:rsidRPr="00823A36">
        <w:rPr>
          <w:rFonts w:ascii="宋体" w:eastAsia="宋体" w:hAnsi="宋体" w:hint="eastAsia"/>
          <w:sz w:val="24"/>
          <w:szCs w:val="24"/>
        </w:rPr>
        <w:t>未上市的房地产企业相关的财务数据无法收集，存在大量的数据缺失，因此本文仅以上市公司作为实证分析的研究对象。</w:t>
      </w:r>
    </w:p>
    <w:p w14:paraId="292C085B" w14:textId="77777777" w:rsidR="00823A36" w:rsidRPr="00823A36" w:rsidRDefault="00823A36" w:rsidP="00823A36">
      <w:pPr>
        <w:rPr>
          <w:rFonts w:ascii="宋体" w:eastAsia="宋体" w:hAnsi="宋体"/>
          <w:sz w:val="24"/>
          <w:szCs w:val="24"/>
        </w:rPr>
      </w:pPr>
      <w:r w:rsidRPr="00823A36">
        <w:rPr>
          <w:rFonts w:ascii="宋体" w:eastAsia="宋体" w:hAnsi="宋体" w:hint="eastAsia"/>
          <w:sz w:val="24"/>
          <w:szCs w:val="24"/>
        </w:rPr>
        <w:t xml:space="preserve"> </w:t>
      </w:r>
      <w:r w:rsidRPr="00823A36">
        <w:rPr>
          <w:rFonts w:ascii="宋体" w:eastAsia="宋体" w:hAnsi="宋体"/>
          <w:sz w:val="24"/>
          <w:szCs w:val="24"/>
        </w:rPr>
        <w:t xml:space="preserve">  </w:t>
      </w:r>
      <w:r w:rsidRPr="00823A36">
        <w:rPr>
          <w:rFonts w:ascii="宋体" w:eastAsia="宋体" w:hAnsi="宋体" w:hint="eastAsia"/>
          <w:sz w:val="24"/>
          <w:szCs w:val="24"/>
        </w:rPr>
        <w:t>为了提升实证结果的有效性和完整性，对初始的数据进行了如下的筛选和剔除：</w:t>
      </w:r>
    </w:p>
    <w:p w14:paraId="19494475" w14:textId="77777777" w:rsidR="00823A36" w:rsidRPr="00823A36" w:rsidRDefault="00823A36" w:rsidP="00823A36">
      <w:pPr>
        <w:pStyle w:val="ad"/>
        <w:numPr>
          <w:ilvl w:val="0"/>
          <w:numId w:val="21"/>
        </w:numPr>
        <w:ind w:firstLineChars="0"/>
        <w:rPr>
          <w:rFonts w:ascii="宋体" w:hAnsi="宋体"/>
          <w:sz w:val="24"/>
        </w:rPr>
      </w:pPr>
      <w:r w:rsidRPr="00823A36">
        <w:rPr>
          <w:rFonts w:ascii="宋体" w:hAnsi="宋体" w:hint="eastAsia"/>
          <w:sz w:val="24"/>
        </w:rPr>
        <w:t>剔除在2</w:t>
      </w:r>
      <w:r w:rsidRPr="00823A36">
        <w:rPr>
          <w:rFonts w:ascii="宋体" w:hAnsi="宋体"/>
          <w:sz w:val="24"/>
        </w:rPr>
        <w:t>017</w:t>
      </w:r>
      <w:r w:rsidRPr="00823A36">
        <w:rPr>
          <w:rFonts w:ascii="宋体" w:hAnsi="宋体" w:hint="eastAsia"/>
          <w:sz w:val="24"/>
        </w:rPr>
        <w:t>-</w:t>
      </w:r>
      <w:r w:rsidRPr="00823A36">
        <w:rPr>
          <w:rFonts w:ascii="宋体" w:hAnsi="宋体"/>
          <w:sz w:val="24"/>
        </w:rPr>
        <w:t>2022</w:t>
      </w:r>
      <w:r w:rsidRPr="00823A36">
        <w:rPr>
          <w:rFonts w:ascii="宋体" w:hAnsi="宋体" w:hint="eastAsia"/>
          <w:sz w:val="24"/>
        </w:rPr>
        <w:t>年间新上市的企业。</w:t>
      </w:r>
    </w:p>
    <w:p w14:paraId="2AD3F53A" w14:textId="77777777" w:rsidR="00823A36" w:rsidRPr="00823A36" w:rsidRDefault="00823A36" w:rsidP="00823A36">
      <w:pPr>
        <w:pStyle w:val="ad"/>
        <w:numPr>
          <w:ilvl w:val="0"/>
          <w:numId w:val="21"/>
        </w:numPr>
        <w:ind w:firstLineChars="0"/>
        <w:rPr>
          <w:rFonts w:ascii="宋体" w:hAnsi="宋体"/>
          <w:sz w:val="24"/>
        </w:rPr>
      </w:pPr>
      <w:r w:rsidRPr="00823A36">
        <w:rPr>
          <w:rFonts w:ascii="宋体" w:hAnsi="宋体" w:hint="eastAsia"/>
          <w:sz w:val="24"/>
        </w:rPr>
        <w:t>剔除在2</w:t>
      </w:r>
      <w:r w:rsidRPr="00823A36">
        <w:rPr>
          <w:rFonts w:ascii="宋体" w:hAnsi="宋体"/>
          <w:sz w:val="24"/>
        </w:rPr>
        <w:t>017</w:t>
      </w:r>
      <w:r w:rsidRPr="00823A36">
        <w:rPr>
          <w:rFonts w:ascii="宋体" w:hAnsi="宋体" w:hint="eastAsia"/>
          <w:sz w:val="24"/>
        </w:rPr>
        <w:t>-</w:t>
      </w:r>
      <w:r w:rsidRPr="00823A36">
        <w:rPr>
          <w:rFonts w:ascii="宋体" w:hAnsi="宋体"/>
          <w:sz w:val="24"/>
        </w:rPr>
        <w:t>2022</w:t>
      </w:r>
      <w:r w:rsidRPr="00823A36">
        <w:rPr>
          <w:rFonts w:ascii="宋体" w:hAnsi="宋体" w:hint="eastAsia"/>
          <w:sz w:val="24"/>
        </w:rPr>
        <w:t>年间退市的企业。</w:t>
      </w:r>
    </w:p>
    <w:p w14:paraId="207378CE" w14:textId="77777777" w:rsidR="00823A36" w:rsidRPr="00823A36" w:rsidRDefault="00823A36" w:rsidP="00823A36">
      <w:pPr>
        <w:pStyle w:val="ad"/>
        <w:numPr>
          <w:ilvl w:val="0"/>
          <w:numId w:val="21"/>
        </w:numPr>
        <w:ind w:firstLineChars="0"/>
        <w:rPr>
          <w:rFonts w:ascii="宋体" w:hAnsi="宋体"/>
          <w:sz w:val="24"/>
        </w:rPr>
      </w:pPr>
      <w:r w:rsidRPr="00823A36">
        <w:rPr>
          <w:rFonts w:ascii="宋体" w:hAnsi="宋体" w:hint="eastAsia"/>
          <w:sz w:val="24"/>
        </w:rPr>
        <w:lastRenderedPageBreak/>
        <w:t>剔除企业名称中含有</w:t>
      </w:r>
      <w:r w:rsidRPr="00823A36">
        <w:rPr>
          <w:rFonts w:ascii="宋体" w:hAnsi="宋体"/>
          <w:sz w:val="24"/>
        </w:rPr>
        <w:t>ST</w:t>
      </w:r>
      <w:r w:rsidRPr="00823A36">
        <w:rPr>
          <w:rFonts w:ascii="宋体" w:hAnsi="宋体" w:hint="eastAsia"/>
          <w:sz w:val="24"/>
        </w:rPr>
        <w:t>、*</w:t>
      </w:r>
      <w:r w:rsidRPr="00823A36">
        <w:rPr>
          <w:rFonts w:ascii="宋体" w:hAnsi="宋体"/>
          <w:sz w:val="24"/>
        </w:rPr>
        <w:t xml:space="preserve">ST </w:t>
      </w:r>
      <w:r w:rsidRPr="00823A36">
        <w:rPr>
          <w:rFonts w:ascii="宋体" w:hAnsi="宋体" w:hint="eastAsia"/>
          <w:sz w:val="24"/>
        </w:rPr>
        <w:t>的企业。</w:t>
      </w:r>
    </w:p>
    <w:p w14:paraId="08EE3C4C" w14:textId="77777777" w:rsidR="00823A36" w:rsidRPr="00823A36" w:rsidRDefault="00823A36" w:rsidP="00823A36">
      <w:pPr>
        <w:ind w:left="240"/>
        <w:rPr>
          <w:rFonts w:ascii="宋体" w:eastAsia="宋体" w:hAnsi="宋体"/>
          <w:sz w:val="24"/>
          <w:szCs w:val="24"/>
        </w:rPr>
      </w:pPr>
      <w:r w:rsidRPr="00823A36">
        <w:rPr>
          <w:rFonts w:ascii="宋体" w:eastAsia="宋体" w:hAnsi="宋体" w:hint="eastAsia"/>
          <w:sz w:val="24"/>
          <w:szCs w:val="24"/>
        </w:rPr>
        <w:t xml:space="preserve"> </w:t>
      </w:r>
      <w:r w:rsidRPr="00823A36">
        <w:rPr>
          <w:rFonts w:ascii="宋体" w:eastAsia="宋体" w:hAnsi="宋体"/>
          <w:sz w:val="24"/>
          <w:szCs w:val="24"/>
        </w:rPr>
        <w:t xml:space="preserve"> </w:t>
      </w:r>
      <w:r w:rsidRPr="00823A36">
        <w:rPr>
          <w:rFonts w:ascii="宋体" w:eastAsia="宋体" w:hAnsi="宋体" w:hint="eastAsia"/>
          <w:sz w:val="24"/>
          <w:szCs w:val="24"/>
        </w:rPr>
        <w:t>根据上述的原则进行筛选和排除后，最终确定了1</w:t>
      </w:r>
      <w:r w:rsidRPr="00823A36">
        <w:rPr>
          <w:rFonts w:ascii="宋体" w:eastAsia="宋体" w:hAnsi="宋体"/>
          <w:sz w:val="24"/>
          <w:szCs w:val="24"/>
        </w:rPr>
        <w:t>17</w:t>
      </w:r>
      <w:r w:rsidRPr="00823A36">
        <w:rPr>
          <w:rFonts w:ascii="宋体" w:eastAsia="宋体" w:hAnsi="宋体" w:hint="eastAsia"/>
          <w:sz w:val="24"/>
          <w:szCs w:val="24"/>
        </w:rPr>
        <w:t>家上市房地产企业作为样本展开研究。“三道红线”政策于2</w:t>
      </w:r>
      <w:r w:rsidRPr="00823A36">
        <w:rPr>
          <w:rFonts w:ascii="宋体" w:eastAsia="宋体" w:hAnsi="宋体"/>
          <w:sz w:val="24"/>
          <w:szCs w:val="24"/>
        </w:rPr>
        <w:t>021</w:t>
      </w:r>
      <w:r w:rsidRPr="00823A36">
        <w:rPr>
          <w:rFonts w:ascii="宋体" w:eastAsia="宋体" w:hAnsi="宋体" w:hint="eastAsia"/>
          <w:sz w:val="24"/>
          <w:szCs w:val="24"/>
        </w:rPr>
        <w:t>年1月1日正式开始实施，由于疫情影响，大量样本房企的2</w:t>
      </w:r>
      <w:r w:rsidRPr="00823A36">
        <w:rPr>
          <w:rFonts w:ascii="宋体" w:eastAsia="宋体" w:hAnsi="宋体"/>
          <w:sz w:val="24"/>
          <w:szCs w:val="24"/>
        </w:rPr>
        <w:t>022</w:t>
      </w:r>
      <w:r w:rsidRPr="00823A36">
        <w:rPr>
          <w:rFonts w:ascii="宋体" w:eastAsia="宋体" w:hAnsi="宋体" w:hint="eastAsia"/>
          <w:sz w:val="24"/>
          <w:szCs w:val="24"/>
        </w:rPr>
        <w:t>年度财务报表尚未公布，因此本文选取2</w:t>
      </w:r>
      <w:r w:rsidRPr="00823A36">
        <w:rPr>
          <w:rFonts w:ascii="宋体" w:eastAsia="宋体" w:hAnsi="宋体"/>
          <w:sz w:val="24"/>
          <w:szCs w:val="24"/>
        </w:rPr>
        <w:t>017</w:t>
      </w:r>
      <w:r w:rsidRPr="00823A36">
        <w:rPr>
          <w:rFonts w:ascii="宋体" w:eastAsia="宋体" w:hAnsi="宋体" w:hint="eastAsia"/>
          <w:sz w:val="24"/>
          <w:szCs w:val="24"/>
        </w:rPr>
        <w:t>年1</w:t>
      </w:r>
      <w:r w:rsidRPr="00823A36">
        <w:rPr>
          <w:rFonts w:ascii="宋体" w:eastAsia="宋体" w:hAnsi="宋体"/>
          <w:sz w:val="24"/>
          <w:szCs w:val="24"/>
        </w:rPr>
        <w:t>2</w:t>
      </w:r>
      <w:r w:rsidRPr="00823A36">
        <w:rPr>
          <w:rFonts w:ascii="宋体" w:eastAsia="宋体" w:hAnsi="宋体" w:hint="eastAsia"/>
          <w:sz w:val="24"/>
          <w:szCs w:val="24"/>
        </w:rPr>
        <w:t>月至2</w:t>
      </w:r>
      <w:r w:rsidRPr="00823A36">
        <w:rPr>
          <w:rFonts w:ascii="宋体" w:eastAsia="宋体" w:hAnsi="宋体"/>
          <w:sz w:val="24"/>
          <w:szCs w:val="24"/>
        </w:rPr>
        <w:t>021</w:t>
      </w:r>
      <w:r w:rsidRPr="00823A36">
        <w:rPr>
          <w:rFonts w:ascii="宋体" w:eastAsia="宋体" w:hAnsi="宋体" w:hint="eastAsia"/>
          <w:sz w:val="24"/>
          <w:szCs w:val="24"/>
        </w:rPr>
        <w:t>年1</w:t>
      </w:r>
      <w:r w:rsidRPr="00823A36">
        <w:rPr>
          <w:rFonts w:ascii="宋体" w:eastAsia="宋体" w:hAnsi="宋体"/>
          <w:sz w:val="24"/>
          <w:szCs w:val="24"/>
        </w:rPr>
        <w:t>2</w:t>
      </w:r>
      <w:r w:rsidRPr="00823A36">
        <w:rPr>
          <w:rFonts w:ascii="宋体" w:eastAsia="宋体" w:hAnsi="宋体" w:hint="eastAsia"/>
          <w:sz w:val="24"/>
          <w:szCs w:val="24"/>
        </w:rPr>
        <w:t>月共四年的房地产上市企业的年度相关财务数据，并通过选取的1</w:t>
      </w:r>
      <w:r w:rsidRPr="00823A36">
        <w:rPr>
          <w:rFonts w:ascii="宋体" w:eastAsia="宋体" w:hAnsi="宋体"/>
          <w:sz w:val="24"/>
          <w:szCs w:val="24"/>
        </w:rPr>
        <w:t>17</w:t>
      </w:r>
      <w:r w:rsidRPr="00823A36">
        <w:rPr>
          <w:rFonts w:ascii="宋体" w:eastAsia="宋体" w:hAnsi="宋体" w:hint="eastAsia"/>
          <w:sz w:val="24"/>
          <w:szCs w:val="24"/>
        </w:rPr>
        <w:t>家房地产上市企业的年度财务指标分析“三道红线”对房地产企业融资的影响研究。</w:t>
      </w:r>
    </w:p>
    <w:p w14:paraId="368BF1B2" w14:textId="77777777" w:rsidR="00823A36" w:rsidRDefault="00823A36" w:rsidP="00823A36">
      <w:pPr>
        <w:pStyle w:val="3"/>
      </w:pPr>
      <w:bookmarkStart w:id="33" w:name="_Toc103640986"/>
      <w:r>
        <w:t xml:space="preserve">3.2.2 </w:t>
      </w:r>
      <w:r>
        <w:rPr>
          <w:rFonts w:hint="eastAsia"/>
        </w:rPr>
        <w:t>变量定义</w:t>
      </w:r>
      <w:bookmarkEnd w:id="33"/>
    </w:p>
    <w:p w14:paraId="31C41B72" w14:textId="77777777" w:rsidR="00823A36" w:rsidRPr="001F7E64" w:rsidRDefault="00823A36" w:rsidP="001F7E64">
      <w:pPr>
        <w:ind w:firstLineChars="200" w:firstLine="480"/>
        <w:rPr>
          <w:rFonts w:ascii="宋体" w:eastAsia="宋体" w:hAnsi="宋体"/>
          <w:sz w:val="24"/>
          <w:szCs w:val="24"/>
        </w:rPr>
      </w:pPr>
      <w:r w:rsidRPr="001F7E64">
        <w:rPr>
          <w:rFonts w:ascii="宋体" w:eastAsia="宋体" w:hAnsi="宋体" w:hint="eastAsia"/>
          <w:sz w:val="24"/>
          <w:szCs w:val="24"/>
        </w:rPr>
        <w:t>本论文使用“三道红线”中政府规制所采用的三个财务比率作为被解释变量，根据各房地产企业的财务数据计算出五种融资比率作为解释变量。</w:t>
      </w:r>
    </w:p>
    <w:p w14:paraId="4B5DBFD4" w14:textId="6D8706A9" w:rsidR="00823A36" w:rsidRPr="001F7E64" w:rsidRDefault="00823A36" w:rsidP="001F7E64">
      <w:pPr>
        <w:ind w:firstLineChars="200" w:firstLine="480"/>
        <w:rPr>
          <w:rFonts w:ascii="宋体" w:eastAsia="宋体" w:hAnsi="宋体"/>
          <w:sz w:val="24"/>
          <w:szCs w:val="24"/>
        </w:rPr>
      </w:pPr>
      <w:r w:rsidRPr="001F7E64">
        <w:rPr>
          <w:rFonts w:ascii="宋体" w:eastAsia="宋体" w:hAnsi="宋体" w:hint="eastAsia"/>
          <w:sz w:val="24"/>
          <w:szCs w:val="24"/>
        </w:rPr>
        <w:t>被解释变量</w:t>
      </w:r>
      <w:r w:rsidR="001F7E64">
        <w:rPr>
          <w:rFonts w:ascii="宋体" w:eastAsia="宋体" w:hAnsi="宋体"/>
          <w:sz w:val="24"/>
          <w:szCs w:val="24"/>
        </w:rPr>
        <w:t>Y</w:t>
      </w:r>
      <w:r w:rsidRPr="001F7E64">
        <w:rPr>
          <w:rFonts w:ascii="宋体" w:eastAsia="宋体" w:hAnsi="宋体"/>
          <w:sz w:val="24"/>
          <w:szCs w:val="24"/>
          <w:vertAlign w:val="subscript"/>
        </w:rPr>
        <w:t>1</w:t>
      </w:r>
      <w:r w:rsidRPr="001F7E64">
        <w:rPr>
          <w:rFonts w:ascii="宋体" w:eastAsia="宋体" w:hAnsi="宋体"/>
          <w:sz w:val="24"/>
          <w:szCs w:val="24"/>
        </w:rPr>
        <w:t xml:space="preserve">: </w:t>
      </w:r>
      <w:r w:rsidRPr="001F7E64">
        <w:rPr>
          <w:rFonts w:ascii="宋体" w:eastAsia="宋体" w:hAnsi="宋体" w:hint="eastAsia"/>
          <w:sz w:val="24"/>
          <w:szCs w:val="24"/>
        </w:rPr>
        <w:t>“剔除预收款后的资产负债率”=（总负债-预收款）/（总资产-预收款）</w:t>
      </w:r>
    </w:p>
    <w:p w14:paraId="6694F291" w14:textId="01E59503" w:rsidR="00823A36" w:rsidRPr="001F7E64" w:rsidRDefault="00823A36" w:rsidP="001F7E64">
      <w:pPr>
        <w:ind w:firstLineChars="200" w:firstLine="480"/>
        <w:rPr>
          <w:rFonts w:ascii="宋体" w:eastAsia="宋体" w:hAnsi="宋体"/>
          <w:sz w:val="24"/>
          <w:szCs w:val="24"/>
        </w:rPr>
      </w:pPr>
      <w:r w:rsidRPr="001F7E64">
        <w:rPr>
          <w:rFonts w:ascii="宋体" w:eastAsia="宋体" w:hAnsi="宋体" w:hint="eastAsia"/>
          <w:sz w:val="24"/>
          <w:szCs w:val="24"/>
        </w:rPr>
        <w:t>被解释变量</w:t>
      </w:r>
      <w:r w:rsidR="001F7E64">
        <w:rPr>
          <w:rFonts w:ascii="宋体" w:eastAsia="宋体" w:hAnsi="宋体"/>
          <w:sz w:val="24"/>
          <w:szCs w:val="24"/>
        </w:rPr>
        <w:t>Y</w:t>
      </w:r>
      <w:r w:rsidRPr="001F7E64">
        <w:rPr>
          <w:rFonts w:ascii="宋体" w:eastAsia="宋体" w:hAnsi="宋体"/>
          <w:sz w:val="24"/>
          <w:szCs w:val="24"/>
          <w:vertAlign w:val="subscript"/>
        </w:rPr>
        <w:t>2</w:t>
      </w:r>
      <w:r w:rsidRPr="001F7E64">
        <w:rPr>
          <w:rFonts w:ascii="宋体" w:eastAsia="宋体" w:hAnsi="宋体" w:hint="eastAsia"/>
          <w:sz w:val="24"/>
          <w:szCs w:val="24"/>
        </w:rPr>
        <w:t>：“净负债率”=（有息负债-货币资金）/（股东权益-永续债）</w:t>
      </w:r>
    </w:p>
    <w:p w14:paraId="7B2A9A9C" w14:textId="0C14FD3B" w:rsidR="00823A36" w:rsidRPr="001F7E64" w:rsidRDefault="00823A36" w:rsidP="001F7E64">
      <w:pPr>
        <w:ind w:firstLineChars="200" w:firstLine="480"/>
        <w:rPr>
          <w:rFonts w:ascii="宋体" w:eastAsia="宋体" w:hAnsi="宋体"/>
          <w:sz w:val="24"/>
          <w:szCs w:val="24"/>
        </w:rPr>
      </w:pPr>
      <w:r w:rsidRPr="001F7E64">
        <w:rPr>
          <w:rFonts w:ascii="宋体" w:eastAsia="宋体" w:hAnsi="宋体" w:hint="eastAsia"/>
          <w:sz w:val="24"/>
          <w:szCs w:val="24"/>
        </w:rPr>
        <w:t>被解释变量</w:t>
      </w:r>
      <w:r w:rsidR="001F7E64">
        <w:rPr>
          <w:rFonts w:ascii="宋体" w:eastAsia="宋体" w:hAnsi="宋体"/>
          <w:sz w:val="24"/>
          <w:szCs w:val="24"/>
        </w:rPr>
        <w:t>Y</w:t>
      </w:r>
      <w:r w:rsidRPr="001F7E64">
        <w:rPr>
          <w:rFonts w:ascii="宋体" w:eastAsia="宋体" w:hAnsi="宋体"/>
          <w:sz w:val="24"/>
          <w:szCs w:val="24"/>
          <w:vertAlign w:val="subscript"/>
        </w:rPr>
        <w:t>3</w:t>
      </w:r>
      <w:r w:rsidR="001F7E64">
        <w:rPr>
          <w:rFonts w:ascii="宋体" w:eastAsia="宋体" w:hAnsi="宋体" w:hint="eastAsia"/>
          <w:sz w:val="24"/>
          <w:szCs w:val="24"/>
        </w:rPr>
        <w:t>：</w:t>
      </w:r>
      <w:r w:rsidRPr="001F7E64">
        <w:rPr>
          <w:rFonts w:ascii="宋体" w:eastAsia="宋体" w:hAnsi="宋体" w:hint="eastAsia"/>
          <w:sz w:val="24"/>
          <w:szCs w:val="24"/>
        </w:rPr>
        <w:t>“现金短债比”=货币资金/一年内到期的流动负债</w:t>
      </w:r>
    </w:p>
    <w:p w14:paraId="2C7A4F21" w14:textId="621EAAB0" w:rsidR="00823A36" w:rsidRPr="001F7E64" w:rsidRDefault="00823A36" w:rsidP="001F7E64">
      <w:pPr>
        <w:ind w:firstLineChars="200" w:firstLine="480"/>
        <w:rPr>
          <w:rFonts w:ascii="宋体" w:eastAsia="宋体" w:hAnsi="宋体"/>
          <w:sz w:val="24"/>
          <w:szCs w:val="24"/>
        </w:rPr>
      </w:pPr>
      <w:r w:rsidRPr="001F7E64">
        <w:rPr>
          <w:rFonts w:ascii="宋体" w:eastAsia="宋体" w:hAnsi="宋体" w:hint="eastAsia"/>
          <w:sz w:val="24"/>
          <w:szCs w:val="24"/>
        </w:rPr>
        <w:t>解释变量</w:t>
      </w:r>
      <w:r w:rsidR="001F7E64">
        <w:rPr>
          <w:rFonts w:ascii="宋体" w:eastAsia="宋体" w:hAnsi="宋体"/>
          <w:sz w:val="24"/>
          <w:szCs w:val="24"/>
        </w:rPr>
        <w:t>X</w:t>
      </w:r>
      <w:r w:rsidRPr="001F7E64">
        <w:rPr>
          <w:rFonts w:ascii="宋体" w:eastAsia="宋体" w:hAnsi="宋体"/>
          <w:sz w:val="24"/>
          <w:szCs w:val="24"/>
          <w:vertAlign w:val="subscript"/>
        </w:rPr>
        <w:t>1</w:t>
      </w:r>
      <w:r w:rsidR="001F7E64">
        <w:rPr>
          <w:rFonts w:ascii="宋体" w:eastAsia="宋体" w:hAnsi="宋体" w:hint="eastAsia"/>
          <w:sz w:val="24"/>
          <w:szCs w:val="24"/>
        </w:rPr>
        <w:t>：</w:t>
      </w:r>
      <w:r w:rsidRPr="001F7E64">
        <w:rPr>
          <w:rFonts w:ascii="宋体" w:eastAsia="宋体" w:hAnsi="宋体" w:hint="eastAsia"/>
          <w:sz w:val="24"/>
          <w:szCs w:val="24"/>
        </w:rPr>
        <w:t>股权融资率</w:t>
      </w:r>
      <w:r w:rsidRPr="001F7E64">
        <w:rPr>
          <w:rFonts w:ascii="宋体" w:eastAsia="宋体" w:hAnsi="宋体"/>
          <w:sz w:val="24"/>
          <w:szCs w:val="24"/>
        </w:rPr>
        <w:t>=</w:t>
      </w:r>
      <w:r w:rsidRPr="001F7E64">
        <w:rPr>
          <w:rFonts w:ascii="宋体" w:eastAsia="宋体" w:hAnsi="宋体" w:hint="eastAsia"/>
          <w:sz w:val="24"/>
          <w:szCs w:val="24"/>
        </w:rPr>
        <w:t xml:space="preserve">（股本+资本公积）/总资产 </w:t>
      </w:r>
      <w:r w:rsidRPr="001F7E64">
        <w:rPr>
          <w:rFonts w:ascii="宋体" w:eastAsia="宋体" w:hAnsi="宋体"/>
          <w:sz w:val="24"/>
          <w:szCs w:val="24"/>
        </w:rPr>
        <w:t xml:space="preserve"> </w:t>
      </w:r>
      <w:r w:rsidRPr="001F7E64">
        <w:rPr>
          <w:rFonts w:ascii="宋体" w:eastAsia="宋体" w:hAnsi="宋体" w:hint="eastAsia"/>
          <w:sz w:val="24"/>
          <w:szCs w:val="24"/>
        </w:rPr>
        <w:t>股权融资率是房地产企业融资的一种重要途径，其中主要是以首次公开发行股票和股权再融资，既通过上市的方式向社会面筹资，通过这种方式往往可以筹集到大量的资金，但一般来说这两种方式的审查较为严格，因此多为规模较大、管理系统较为完善的房地产企业所使用</w:t>
      </w:r>
    </w:p>
    <w:p w14:paraId="6B3A7396" w14:textId="4F19AB98" w:rsidR="00823A36" w:rsidRPr="001F7E64" w:rsidRDefault="00823A36" w:rsidP="001F7E64">
      <w:pPr>
        <w:ind w:firstLineChars="200" w:firstLine="480"/>
        <w:rPr>
          <w:rFonts w:ascii="宋体" w:eastAsia="宋体" w:hAnsi="宋体"/>
          <w:sz w:val="24"/>
          <w:szCs w:val="24"/>
        </w:rPr>
      </w:pPr>
      <w:r w:rsidRPr="001F7E64">
        <w:rPr>
          <w:rFonts w:ascii="宋体" w:eastAsia="宋体" w:hAnsi="宋体" w:hint="eastAsia"/>
          <w:sz w:val="24"/>
          <w:szCs w:val="24"/>
        </w:rPr>
        <w:t>解释变量</w:t>
      </w:r>
      <w:r w:rsidR="001F7E64">
        <w:rPr>
          <w:rFonts w:ascii="宋体" w:eastAsia="宋体" w:hAnsi="宋体"/>
          <w:sz w:val="24"/>
          <w:szCs w:val="24"/>
        </w:rPr>
        <w:t>X</w:t>
      </w:r>
      <w:r w:rsidRPr="001F7E64">
        <w:rPr>
          <w:rFonts w:ascii="宋体" w:eastAsia="宋体" w:hAnsi="宋体"/>
          <w:sz w:val="24"/>
          <w:szCs w:val="24"/>
          <w:vertAlign w:val="subscript"/>
        </w:rPr>
        <w:t>2</w:t>
      </w:r>
      <w:r w:rsidRPr="001F7E64">
        <w:rPr>
          <w:rFonts w:ascii="宋体" w:eastAsia="宋体" w:hAnsi="宋体" w:hint="eastAsia"/>
          <w:sz w:val="24"/>
          <w:szCs w:val="24"/>
        </w:rPr>
        <w:t>：商业信用融资率=（应付票据+应付账款+预收账款）/总资产 商业信用融资是指企业之间在买卖商品时，通过商品的购销形成的借贷活动，是商业活动中一种较为普遍的债权债务关系，而在房地产企业中，商品的购销形式多为票据和款项的形式出现，因此采用（应付票据+应付账款+预收账款）/总资产来计算房地产企业内的商业融资占比。</w:t>
      </w:r>
    </w:p>
    <w:p w14:paraId="3C713016" w14:textId="63867A0B" w:rsidR="00823A36" w:rsidRPr="001F7E64" w:rsidRDefault="00823A36" w:rsidP="001F7E64">
      <w:pPr>
        <w:ind w:firstLineChars="200" w:firstLine="480"/>
        <w:rPr>
          <w:rFonts w:ascii="宋体" w:eastAsia="宋体" w:hAnsi="宋体"/>
          <w:sz w:val="24"/>
          <w:szCs w:val="24"/>
        </w:rPr>
      </w:pPr>
      <w:r w:rsidRPr="001F7E64">
        <w:rPr>
          <w:rFonts w:ascii="宋体" w:eastAsia="宋体" w:hAnsi="宋体" w:hint="eastAsia"/>
          <w:sz w:val="24"/>
          <w:szCs w:val="24"/>
        </w:rPr>
        <w:t>解释变量</w:t>
      </w:r>
      <w:r w:rsidR="001F7E64">
        <w:rPr>
          <w:rFonts w:ascii="宋体" w:eastAsia="宋体" w:hAnsi="宋体"/>
          <w:sz w:val="24"/>
          <w:szCs w:val="24"/>
        </w:rPr>
        <w:t>X</w:t>
      </w:r>
      <w:r w:rsidRPr="001F7E64">
        <w:rPr>
          <w:rFonts w:ascii="宋体" w:eastAsia="宋体" w:hAnsi="宋体"/>
          <w:sz w:val="24"/>
          <w:szCs w:val="24"/>
          <w:vertAlign w:val="subscript"/>
        </w:rPr>
        <w:t>3</w:t>
      </w:r>
      <w:r w:rsidRPr="001F7E64">
        <w:rPr>
          <w:rFonts w:ascii="宋体" w:eastAsia="宋体" w:hAnsi="宋体" w:hint="eastAsia"/>
          <w:sz w:val="24"/>
          <w:szCs w:val="24"/>
        </w:rPr>
        <w:t>：内源融资率=（盈余公积+未分配利润）/总资产 内源融资是指企业通过正常经营所获得利润后，将盈余公积和未分配利润中的一部分重新注入企业中作为融资款项的一种融资方式。在我国的房地产企业中，内源性融资较为缺乏，外源性融资占比较大，大部分房企都无法完全将外源性融资作为主要的资金获取渠道，但是扩大内源性融资占比，有利于房企的健康发展，可以有效的规避部分“高杠杆，高负债”的财务风险。</w:t>
      </w:r>
    </w:p>
    <w:p w14:paraId="5D4E99BA" w14:textId="0B4015E8" w:rsidR="00823A36" w:rsidRPr="001F7E64" w:rsidRDefault="00823A36" w:rsidP="001F7E64">
      <w:pPr>
        <w:ind w:firstLineChars="200" w:firstLine="480"/>
        <w:rPr>
          <w:rFonts w:ascii="宋体" w:eastAsia="宋体" w:hAnsi="宋体"/>
          <w:sz w:val="24"/>
          <w:szCs w:val="24"/>
        </w:rPr>
      </w:pPr>
      <w:r w:rsidRPr="001F7E64">
        <w:rPr>
          <w:rFonts w:ascii="宋体" w:eastAsia="宋体" w:hAnsi="宋体" w:hint="eastAsia"/>
          <w:sz w:val="24"/>
          <w:szCs w:val="24"/>
        </w:rPr>
        <w:t>解释变量</w:t>
      </w:r>
      <w:r w:rsidR="001F7E64">
        <w:rPr>
          <w:rFonts w:ascii="宋体" w:eastAsia="宋体" w:hAnsi="宋体"/>
          <w:sz w:val="24"/>
          <w:szCs w:val="24"/>
        </w:rPr>
        <w:t>X</w:t>
      </w:r>
      <w:r w:rsidRPr="001F7E64">
        <w:rPr>
          <w:rFonts w:ascii="宋体" w:eastAsia="宋体" w:hAnsi="宋体"/>
          <w:sz w:val="24"/>
          <w:szCs w:val="24"/>
          <w:vertAlign w:val="subscript"/>
        </w:rPr>
        <w:t>4</w:t>
      </w:r>
      <w:r w:rsidRPr="001F7E64">
        <w:rPr>
          <w:rFonts w:ascii="宋体" w:eastAsia="宋体" w:hAnsi="宋体" w:hint="eastAsia"/>
          <w:sz w:val="24"/>
          <w:szCs w:val="24"/>
        </w:rPr>
        <w:t>：财政融资率=（应交税金+递延所得税资产）/总资产 财政融资具体是指企业从财政部门所获得的的政策性资金。房地产行业由于其具有资金高度密集的特征，因此国家相关部门对行业政策的修改往往会引起房地产企业表内金额的较大变动，房地产企业的财政融资大多体现在应交税金和递延所得税贷项这两个科目中。合理配配置财政融资的占比，有利于房企在符合规制的条件下，提高政策资金的利用效率。</w:t>
      </w:r>
    </w:p>
    <w:p w14:paraId="2B6C5754" w14:textId="56B2BE59" w:rsidR="00823A36" w:rsidRPr="001F7E64" w:rsidRDefault="00823A36" w:rsidP="001F7E64">
      <w:pPr>
        <w:ind w:firstLineChars="200" w:firstLine="480"/>
        <w:rPr>
          <w:rFonts w:ascii="宋体" w:eastAsia="宋体" w:hAnsi="宋体"/>
          <w:sz w:val="24"/>
          <w:szCs w:val="24"/>
        </w:rPr>
      </w:pPr>
      <w:r w:rsidRPr="001F7E64">
        <w:rPr>
          <w:rFonts w:ascii="宋体" w:eastAsia="宋体" w:hAnsi="宋体" w:hint="eastAsia"/>
          <w:sz w:val="24"/>
          <w:szCs w:val="24"/>
        </w:rPr>
        <w:t>解释变量</w:t>
      </w:r>
      <w:r w:rsidR="001F7E64">
        <w:rPr>
          <w:rFonts w:ascii="宋体" w:eastAsia="宋体" w:hAnsi="宋体"/>
          <w:sz w:val="24"/>
          <w:szCs w:val="24"/>
        </w:rPr>
        <w:t>X</w:t>
      </w:r>
      <w:r w:rsidRPr="001F7E64">
        <w:rPr>
          <w:rFonts w:ascii="宋体" w:eastAsia="宋体" w:hAnsi="宋体"/>
          <w:sz w:val="24"/>
          <w:szCs w:val="24"/>
          <w:vertAlign w:val="subscript"/>
        </w:rPr>
        <w:t>5</w:t>
      </w:r>
      <w:r w:rsidRPr="001F7E64">
        <w:rPr>
          <w:rFonts w:ascii="宋体" w:eastAsia="宋体" w:hAnsi="宋体" w:hint="eastAsia"/>
          <w:sz w:val="24"/>
          <w:szCs w:val="24"/>
        </w:rPr>
        <w:t>；债券融资率=（应付短期债券+应付债券）/总资产 债券融资是指企业通过在债券市场上发行公司债券从而获得现金流入的融资行为，这种融资方式会直接对公司的财务杠杆产生影响。根据国家统计局2</w:t>
      </w:r>
      <w:r w:rsidRPr="001F7E64">
        <w:rPr>
          <w:rFonts w:ascii="宋体" w:eastAsia="宋体" w:hAnsi="宋体"/>
          <w:sz w:val="24"/>
          <w:szCs w:val="24"/>
        </w:rPr>
        <w:t>021</w:t>
      </w:r>
      <w:r w:rsidRPr="001F7E64">
        <w:rPr>
          <w:rFonts w:ascii="宋体" w:eastAsia="宋体" w:hAnsi="宋体" w:hint="eastAsia"/>
          <w:sz w:val="24"/>
          <w:szCs w:val="24"/>
        </w:rPr>
        <w:t>年公布的数据，我国房地产企业2</w:t>
      </w:r>
      <w:r w:rsidRPr="001F7E64">
        <w:rPr>
          <w:rFonts w:ascii="宋体" w:eastAsia="宋体" w:hAnsi="宋体"/>
          <w:sz w:val="24"/>
          <w:szCs w:val="24"/>
        </w:rPr>
        <w:t>021</w:t>
      </w:r>
      <w:r w:rsidRPr="001F7E64">
        <w:rPr>
          <w:rFonts w:ascii="宋体" w:eastAsia="宋体" w:hAnsi="宋体" w:hint="eastAsia"/>
          <w:sz w:val="24"/>
          <w:szCs w:val="24"/>
        </w:rPr>
        <w:t>年共发布了境内债券9</w:t>
      </w:r>
      <w:r w:rsidRPr="001F7E64">
        <w:rPr>
          <w:rFonts w:ascii="宋体" w:eastAsia="宋体" w:hAnsi="宋体"/>
          <w:sz w:val="24"/>
          <w:szCs w:val="24"/>
        </w:rPr>
        <w:t>072.3</w:t>
      </w:r>
      <w:r w:rsidRPr="001F7E64">
        <w:rPr>
          <w:rFonts w:ascii="宋体" w:eastAsia="宋体" w:hAnsi="宋体" w:hint="eastAsia"/>
          <w:sz w:val="24"/>
          <w:szCs w:val="24"/>
        </w:rPr>
        <w:t>亿元，在房地产企业诸多的融资渠道中占比较高。发行债券获得融资的门槛较高，因此这种方式大都被上市的房地产企业采用，债券融资中的应付短期债券和应付债券均会对房地产企业“剔</w:t>
      </w:r>
      <w:r w:rsidRPr="001F7E64">
        <w:rPr>
          <w:rFonts w:ascii="宋体" w:eastAsia="宋体" w:hAnsi="宋体" w:hint="eastAsia"/>
          <w:sz w:val="24"/>
          <w:szCs w:val="24"/>
        </w:rPr>
        <w:lastRenderedPageBreak/>
        <w:t>除预收款后的资产负债率”，“现金短债比”，“净负债率”产生影响，具有较强的相关性。</w:t>
      </w:r>
    </w:p>
    <w:p w14:paraId="33D3DB4E" w14:textId="77777777" w:rsidR="00823A36" w:rsidRPr="00E72B4D" w:rsidRDefault="00823A36" w:rsidP="00823A36"/>
    <w:p w14:paraId="619113C7" w14:textId="77777777" w:rsidR="00823A36" w:rsidRDefault="00823A36" w:rsidP="00823A36">
      <w:pPr>
        <w:pStyle w:val="3"/>
      </w:pPr>
      <w:bookmarkStart w:id="34" w:name="_Toc103640987"/>
      <w:r>
        <w:t xml:space="preserve">3.2.3 </w:t>
      </w:r>
      <w:r>
        <w:rPr>
          <w:rFonts w:hint="eastAsia"/>
        </w:rPr>
        <w:t>数据来源</w:t>
      </w:r>
      <w:bookmarkEnd w:id="34"/>
    </w:p>
    <w:p w14:paraId="15B0AE55" w14:textId="77777777" w:rsidR="00823A36" w:rsidRPr="001F7E64" w:rsidRDefault="00823A36" w:rsidP="001F7E64">
      <w:pPr>
        <w:ind w:firstLineChars="200" w:firstLine="480"/>
        <w:rPr>
          <w:rFonts w:ascii="宋体" w:eastAsia="宋体" w:hAnsi="宋体"/>
          <w:sz w:val="24"/>
          <w:szCs w:val="24"/>
        </w:rPr>
      </w:pPr>
      <w:r w:rsidRPr="001F7E64">
        <w:rPr>
          <w:rFonts w:ascii="宋体" w:eastAsia="宋体" w:hAnsi="宋体" w:hint="eastAsia"/>
          <w:sz w:val="24"/>
          <w:szCs w:val="24"/>
        </w:rPr>
        <w:t>在这部分实证研究中，房地产业数据依据中国证券监督委员会的标准进行确定，按照中国证券指数2</w:t>
      </w:r>
      <w:r w:rsidRPr="001F7E64">
        <w:rPr>
          <w:rFonts w:ascii="宋体" w:eastAsia="宋体" w:hAnsi="宋体"/>
          <w:sz w:val="24"/>
          <w:szCs w:val="24"/>
        </w:rPr>
        <w:t>021</w:t>
      </w:r>
      <w:r w:rsidRPr="001F7E64">
        <w:rPr>
          <w:rFonts w:ascii="宋体" w:eastAsia="宋体" w:hAnsi="宋体" w:hint="eastAsia"/>
          <w:sz w:val="24"/>
          <w:szCs w:val="24"/>
        </w:rPr>
        <w:t>年的行业分类选取在沪深两市上市的1</w:t>
      </w:r>
      <w:r w:rsidRPr="001F7E64">
        <w:rPr>
          <w:rFonts w:ascii="宋体" w:eastAsia="宋体" w:hAnsi="宋体"/>
          <w:sz w:val="24"/>
          <w:szCs w:val="24"/>
        </w:rPr>
        <w:t>17</w:t>
      </w:r>
      <w:r w:rsidRPr="001F7E64">
        <w:rPr>
          <w:rFonts w:ascii="宋体" w:eastAsia="宋体" w:hAnsi="宋体" w:hint="eastAsia"/>
          <w:sz w:val="24"/>
          <w:szCs w:val="24"/>
        </w:rPr>
        <w:t>家房地产企业，被选中房地产企业的财务数据全部来源于R</w:t>
      </w:r>
      <w:r w:rsidRPr="001F7E64">
        <w:rPr>
          <w:rFonts w:ascii="宋体" w:eastAsia="宋体" w:hAnsi="宋体"/>
          <w:sz w:val="24"/>
          <w:szCs w:val="24"/>
        </w:rPr>
        <w:t>ESSET</w:t>
      </w:r>
      <w:r w:rsidRPr="001F7E64">
        <w:rPr>
          <w:rFonts w:ascii="宋体" w:eastAsia="宋体" w:hAnsi="宋体" w:hint="eastAsia"/>
          <w:sz w:val="24"/>
          <w:szCs w:val="24"/>
        </w:rPr>
        <w:t>数据库，数据的处理应用了Stata和Excel。</w:t>
      </w:r>
    </w:p>
    <w:p w14:paraId="361CC214" w14:textId="77777777" w:rsidR="00823A36" w:rsidRDefault="00823A36" w:rsidP="00823A36">
      <w:pPr>
        <w:pStyle w:val="2"/>
      </w:pPr>
      <w:bookmarkStart w:id="35" w:name="_Toc103640988"/>
      <w:r>
        <w:t>3.3</w:t>
      </w:r>
      <w:r>
        <w:rPr>
          <w:rFonts w:hint="eastAsia"/>
        </w:rPr>
        <w:t>数据与模型建立</w:t>
      </w:r>
      <w:bookmarkEnd w:id="35"/>
    </w:p>
    <w:p w14:paraId="084E52E2" w14:textId="4522BF38" w:rsidR="00823A36" w:rsidRPr="001F7E64" w:rsidRDefault="00823A36" w:rsidP="001F7E64">
      <w:pPr>
        <w:ind w:firstLineChars="200" w:firstLine="480"/>
        <w:rPr>
          <w:rFonts w:ascii="宋体" w:eastAsia="宋体" w:hAnsi="宋体"/>
          <w:sz w:val="24"/>
          <w:szCs w:val="24"/>
        </w:rPr>
      </w:pPr>
      <w:r w:rsidRPr="001F7E64">
        <w:rPr>
          <w:rFonts w:ascii="宋体" w:eastAsia="宋体" w:hAnsi="宋体" w:hint="eastAsia"/>
          <w:sz w:val="24"/>
          <w:szCs w:val="24"/>
        </w:rPr>
        <w:t>“三道红线”于2</w:t>
      </w:r>
      <w:r w:rsidRPr="001F7E64">
        <w:rPr>
          <w:rFonts w:ascii="宋体" w:eastAsia="宋体" w:hAnsi="宋体"/>
          <w:sz w:val="24"/>
          <w:szCs w:val="24"/>
        </w:rPr>
        <w:t>021</w:t>
      </w:r>
      <w:r w:rsidRPr="001F7E64">
        <w:rPr>
          <w:rFonts w:ascii="宋体" w:eastAsia="宋体" w:hAnsi="宋体" w:hint="eastAsia"/>
          <w:sz w:val="24"/>
          <w:szCs w:val="24"/>
        </w:rPr>
        <w:t>年1月1日正式开始实行，本文收集了相关上市房地产企业2</w:t>
      </w:r>
      <w:r w:rsidRPr="001F7E64">
        <w:rPr>
          <w:rFonts w:ascii="宋体" w:eastAsia="宋体" w:hAnsi="宋体"/>
          <w:sz w:val="24"/>
          <w:szCs w:val="24"/>
        </w:rPr>
        <w:t>017</w:t>
      </w:r>
      <w:r w:rsidRPr="001F7E64">
        <w:rPr>
          <w:rFonts w:ascii="宋体" w:eastAsia="宋体" w:hAnsi="宋体" w:hint="eastAsia"/>
          <w:sz w:val="24"/>
          <w:szCs w:val="24"/>
        </w:rPr>
        <w:t>年-</w:t>
      </w:r>
      <w:r w:rsidRPr="001F7E64">
        <w:rPr>
          <w:rFonts w:ascii="宋体" w:eastAsia="宋体" w:hAnsi="宋体"/>
          <w:sz w:val="24"/>
          <w:szCs w:val="24"/>
        </w:rPr>
        <w:t>2021</w:t>
      </w:r>
      <w:r w:rsidRPr="001F7E64">
        <w:rPr>
          <w:rFonts w:ascii="宋体" w:eastAsia="宋体" w:hAnsi="宋体" w:hint="eastAsia"/>
          <w:sz w:val="24"/>
          <w:szCs w:val="24"/>
        </w:rPr>
        <w:t>年五年的财务数据，对于2</w:t>
      </w:r>
      <w:r w:rsidRPr="001F7E64">
        <w:rPr>
          <w:rFonts w:ascii="宋体" w:eastAsia="宋体" w:hAnsi="宋体"/>
          <w:sz w:val="24"/>
          <w:szCs w:val="24"/>
        </w:rPr>
        <w:t>021</w:t>
      </w:r>
      <w:r w:rsidRPr="001F7E64">
        <w:rPr>
          <w:rFonts w:ascii="宋体" w:eastAsia="宋体" w:hAnsi="宋体" w:hint="eastAsia"/>
          <w:sz w:val="24"/>
          <w:szCs w:val="24"/>
        </w:rPr>
        <w:t>年财报尚未公布的企业，笔者通过wind，东方财富等数据库的渠道进行了查询和补充，在此基础上形成了最终的面板数据。对面板数据进行</w:t>
      </w:r>
      <w:r w:rsidR="005F1FF3">
        <w:rPr>
          <w:rFonts w:ascii="宋体" w:eastAsia="宋体" w:hAnsi="宋体" w:hint="eastAsia"/>
          <w:sz w:val="24"/>
          <w:szCs w:val="24"/>
        </w:rPr>
        <w:t>双向</w:t>
      </w:r>
      <w:r w:rsidRPr="001F7E64">
        <w:rPr>
          <w:rFonts w:ascii="宋体" w:eastAsia="宋体" w:hAnsi="宋体" w:hint="eastAsia"/>
          <w:sz w:val="24"/>
          <w:szCs w:val="24"/>
        </w:rPr>
        <w:t>固定效应模型的回归，通过回归结果中变量系数的正负值以及拟合程度的相关性来分析房地产企业的五类融资占比对“三道红线”中的财务指标的影响效果，最后在通过相关管理部门的规制决策为房地产企业的融资结构提出针对性的意见。</w:t>
      </w:r>
    </w:p>
    <w:p w14:paraId="3FCE64DE" w14:textId="77777777" w:rsidR="00823A36" w:rsidRDefault="00823A36" w:rsidP="00823A36">
      <w:pPr>
        <w:pStyle w:val="3"/>
      </w:pPr>
      <w:bookmarkStart w:id="36" w:name="_Toc103640989"/>
      <w:r>
        <w:t xml:space="preserve">3.3.1 </w:t>
      </w:r>
      <w:r>
        <w:rPr>
          <w:rFonts w:hint="eastAsia"/>
        </w:rPr>
        <w:t>数据模块</w:t>
      </w:r>
      <w:bookmarkEnd w:id="36"/>
    </w:p>
    <w:p w14:paraId="6C007E66" w14:textId="77777777" w:rsidR="00823A36" w:rsidRPr="001F7E64" w:rsidRDefault="00823A36" w:rsidP="001F7E64">
      <w:pPr>
        <w:ind w:firstLineChars="200" w:firstLine="480"/>
        <w:rPr>
          <w:rFonts w:ascii="宋体" w:eastAsia="宋体" w:hAnsi="宋体"/>
          <w:sz w:val="24"/>
          <w:szCs w:val="24"/>
        </w:rPr>
      </w:pPr>
      <w:r w:rsidRPr="001F7E64">
        <w:rPr>
          <w:rFonts w:ascii="宋体" w:eastAsia="宋体" w:hAnsi="宋体" w:hint="eastAsia"/>
          <w:sz w:val="24"/>
          <w:szCs w:val="24"/>
        </w:rPr>
        <w:t>面板数据是在时间序列数据和截面数据的基础上，衍生出的一种综合性较强的数据资源。时间序列数据指的是针对单一的对象，比如一家公司、一个地区、一个板块，时间序列数据用于研究样本随着时间的变化而产生变化的指标。横截面数据指的是在同一个时间点收集的不同研究对象的数据，比如某一年度所有房地产企业的季度财务数据，其研究的是同一时间节点上的某些经济现象，突出了空间上的差异。面板数据是将这两种数据进行的一种综合体现的数据模型，英文原称Panel</w:t>
      </w:r>
      <w:r w:rsidRPr="001F7E64">
        <w:rPr>
          <w:rFonts w:ascii="宋体" w:eastAsia="宋体" w:hAnsi="宋体"/>
          <w:sz w:val="24"/>
          <w:szCs w:val="24"/>
        </w:rPr>
        <w:t xml:space="preserve"> Data </w:t>
      </w:r>
      <w:r w:rsidRPr="001F7E64">
        <w:rPr>
          <w:rFonts w:ascii="宋体" w:eastAsia="宋体" w:hAnsi="宋体" w:hint="eastAsia"/>
          <w:sz w:val="24"/>
          <w:szCs w:val="24"/>
        </w:rPr>
        <w:t>，本文的面板数据将2</w:t>
      </w:r>
      <w:r w:rsidRPr="001F7E64">
        <w:rPr>
          <w:rFonts w:ascii="宋体" w:eastAsia="宋体" w:hAnsi="宋体"/>
          <w:sz w:val="24"/>
          <w:szCs w:val="24"/>
        </w:rPr>
        <w:t>017-2021</w:t>
      </w:r>
      <w:r w:rsidRPr="001F7E64">
        <w:rPr>
          <w:rFonts w:ascii="宋体" w:eastAsia="宋体" w:hAnsi="宋体" w:hint="eastAsia"/>
          <w:sz w:val="24"/>
          <w:szCs w:val="24"/>
        </w:rPr>
        <w:t>的时间序列数据和每个时间节点的上市房地产企业财务数据进行结合形成了最后的数据模块。</w:t>
      </w:r>
    </w:p>
    <w:p w14:paraId="69A8EE44" w14:textId="77777777" w:rsidR="007C6436" w:rsidRDefault="007C6436" w:rsidP="00823A36">
      <w:pPr>
        <w:rPr>
          <w:rFonts w:hint="eastAsia"/>
        </w:rPr>
      </w:pPr>
    </w:p>
    <w:p w14:paraId="2EF29259" w14:textId="48C128D1" w:rsidR="007C6436" w:rsidRDefault="007C6436" w:rsidP="007C6436">
      <w:pPr>
        <w:pStyle w:val="3"/>
      </w:pPr>
      <w:bookmarkStart w:id="37" w:name="_Toc103640990"/>
      <w:r>
        <w:t xml:space="preserve">3.3.2 </w:t>
      </w:r>
      <w:r>
        <w:rPr>
          <w:rFonts w:hint="eastAsia"/>
        </w:rPr>
        <w:t>基准回归</w:t>
      </w:r>
      <w:bookmarkEnd w:id="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7"/>
        <w:gridCol w:w="1440"/>
        <w:gridCol w:w="1440"/>
        <w:gridCol w:w="1584"/>
      </w:tblGrid>
      <w:tr w:rsidR="005939FE" w:rsidRPr="005939FE" w14:paraId="5972FB09" w14:textId="77777777" w:rsidTr="005939FE">
        <w:trPr>
          <w:jc w:val="center"/>
        </w:trPr>
        <w:tc>
          <w:tcPr>
            <w:tcW w:w="1947" w:type="dxa"/>
            <w:hideMark/>
          </w:tcPr>
          <w:p w14:paraId="17768486" w14:textId="77777777" w:rsidR="005939FE" w:rsidRPr="005939FE" w:rsidRDefault="005939FE" w:rsidP="005939FE">
            <w:pPr>
              <w:widowControl/>
              <w:jc w:val="left"/>
              <w:rPr>
                <w:rFonts w:ascii="Times New Roman" w:eastAsia="宋体" w:hAnsi="Times New Roman" w:cs="Times New Roman"/>
                <w:sz w:val="24"/>
                <w:szCs w:val="24"/>
              </w:rPr>
            </w:pPr>
          </w:p>
        </w:tc>
        <w:tc>
          <w:tcPr>
            <w:tcW w:w="1440" w:type="dxa"/>
            <w:hideMark/>
          </w:tcPr>
          <w:p w14:paraId="38C6C30D"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(1)</w:t>
            </w:r>
          </w:p>
        </w:tc>
        <w:tc>
          <w:tcPr>
            <w:tcW w:w="1440" w:type="dxa"/>
            <w:hideMark/>
          </w:tcPr>
          <w:p w14:paraId="3C35904E"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(2)</w:t>
            </w:r>
          </w:p>
        </w:tc>
        <w:tc>
          <w:tcPr>
            <w:tcW w:w="1584" w:type="dxa"/>
            <w:hideMark/>
          </w:tcPr>
          <w:p w14:paraId="6DEDDE38"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(3)</w:t>
            </w:r>
          </w:p>
        </w:tc>
      </w:tr>
      <w:tr w:rsidR="005939FE" w:rsidRPr="005939FE" w14:paraId="55164EDA" w14:textId="77777777" w:rsidTr="005939FE">
        <w:trPr>
          <w:jc w:val="center"/>
        </w:trPr>
        <w:tc>
          <w:tcPr>
            <w:tcW w:w="1947" w:type="dxa"/>
            <w:hideMark/>
          </w:tcPr>
          <w:p w14:paraId="2B15694E" w14:textId="77777777" w:rsidR="005939FE" w:rsidRPr="005939FE" w:rsidRDefault="005939FE" w:rsidP="005939FE">
            <w:pPr>
              <w:widowControl/>
              <w:jc w:val="left"/>
              <w:rPr>
                <w:rFonts w:ascii="Times New Roman" w:eastAsia="宋体" w:hAnsi="Times New Roman" w:cs="Times New Roman"/>
                <w:sz w:val="24"/>
                <w:szCs w:val="24"/>
              </w:rPr>
            </w:pPr>
            <w:r w:rsidRPr="005939FE">
              <w:rPr>
                <w:rFonts w:ascii="Times New Roman" w:eastAsia="宋体" w:hAnsi="Times New Roman" w:cs="Times New Roman"/>
                <w:sz w:val="24"/>
                <w:szCs w:val="24"/>
              </w:rPr>
              <w:t>VARIABLES</w:t>
            </w:r>
          </w:p>
        </w:tc>
        <w:tc>
          <w:tcPr>
            <w:tcW w:w="1440" w:type="dxa"/>
            <w:hideMark/>
          </w:tcPr>
          <w:p w14:paraId="6F75916D"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Y1</w:t>
            </w:r>
          </w:p>
        </w:tc>
        <w:tc>
          <w:tcPr>
            <w:tcW w:w="1440" w:type="dxa"/>
            <w:hideMark/>
          </w:tcPr>
          <w:p w14:paraId="0C58F65E"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Y2</w:t>
            </w:r>
          </w:p>
        </w:tc>
        <w:tc>
          <w:tcPr>
            <w:tcW w:w="1584" w:type="dxa"/>
            <w:hideMark/>
          </w:tcPr>
          <w:p w14:paraId="4BF019B0"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Y3</w:t>
            </w:r>
          </w:p>
        </w:tc>
      </w:tr>
      <w:tr w:rsidR="005939FE" w:rsidRPr="005939FE" w14:paraId="5F854A24" w14:textId="77777777" w:rsidTr="005939FE">
        <w:trPr>
          <w:jc w:val="center"/>
        </w:trPr>
        <w:tc>
          <w:tcPr>
            <w:tcW w:w="1947" w:type="dxa"/>
          </w:tcPr>
          <w:p w14:paraId="53DBD9D6" w14:textId="77777777" w:rsidR="005939FE" w:rsidRPr="005939FE" w:rsidRDefault="005939FE" w:rsidP="005939FE">
            <w:pPr>
              <w:widowControl/>
              <w:jc w:val="left"/>
              <w:rPr>
                <w:rFonts w:ascii="Times New Roman" w:eastAsia="宋体" w:hAnsi="Times New Roman" w:cs="Times New Roman"/>
                <w:sz w:val="24"/>
                <w:szCs w:val="24"/>
              </w:rPr>
            </w:pPr>
          </w:p>
        </w:tc>
        <w:tc>
          <w:tcPr>
            <w:tcW w:w="1440" w:type="dxa"/>
          </w:tcPr>
          <w:p w14:paraId="3440BC03" w14:textId="77777777" w:rsidR="005939FE" w:rsidRPr="005939FE" w:rsidRDefault="005939FE" w:rsidP="005939FE">
            <w:pPr>
              <w:widowControl/>
              <w:jc w:val="center"/>
              <w:rPr>
                <w:rFonts w:ascii="Times New Roman" w:eastAsia="宋体" w:hAnsi="Times New Roman" w:cs="Times New Roman"/>
                <w:sz w:val="24"/>
                <w:szCs w:val="24"/>
              </w:rPr>
            </w:pPr>
          </w:p>
        </w:tc>
        <w:tc>
          <w:tcPr>
            <w:tcW w:w="1440" w:type="dxa"/>
          </w:tcPr>
          <w:p w14:paraId="32798DB1" w14:textId="77777777" w:rsidR="005939FE" w:rsidRPr="005939FE" w:rsidRDefault="005939FE" w:rsidP="005939FE">
            <w:pPr>
              <w:widowControl/>
              <w:jc w:val="center"/>
              <w:rPr>
                <w:rFonts w:ascii="Times New Roman" w:eastAsia="宋体" w:hAnsi="Times New Roman" w:cs="Times New Roman"/>
                <w:sz w:val="24"/>
                <w:szCs w:val="24"/>
              </w:rPr>
            </w:pPr>
          </w:p>
        </w:tc>
        <w:tc>
          <w:tcPr>
            <w:tcW w:w="1584" w:type="dxa"/>
          </w:tcPr>
          <w:p w14:paraId="7C3D8787" w14:textId="77777777" w:rsidR="005939FE" w:rsidRPr="005939FE" w:rsidRDefault="005939FE" w:rsidP="005939FE">
            <w:pPr>
              <w:widowControl/>
              <w:jc w:val="center"/>
              <w:rPr>
                <w:rFonts w:ascii="Times New Roman" w:eastAsia="宋体" w:hAnsi="Times New Roman" w:cs="Times New Roman"/>
                <w:sz w:val="24"/>
                <w:szCs w:val="24"/>
              </w:rPr>
            </w:pPr>
          </w:p>
        </w:tc>
      </w:tr>
      <w:tr w:rsidR="005939FE" w:rsidRPr="005939FE" w14:paraId="248CAFD6" w14:textId="77777777" w:rsidTr="005939FE">
        <w:trPr>
          <w:jc w:val="center"/>
        </w:trPr>
        <w:tc>
          <w:tcPr>
            <w:tcW w:w="1947" w:type="dxa"/>
            <w:hideMark/>
          </w:tcPr>
          <w:p w14:paraId="177A29E9" w14:textId="77777777" w:rsidR="005939FE" w:rsidRPr="005939FE" w:rsidRDefault="005939FE" w:rsidP="005939FE">
            <w:pPr>
              <w:widowControl/>
              <w:jc w:val="left"/>
              <w:rPr>
                <w:rFonts w:ascii="Times New Roman" w:eastAsia="宋体" w:hAnsi="Times New Roman" w:cs="Times New Roman"/>
                <w:sz w:val="24"/>
                <w:szCs w:val="24"/>
              </w:rPr>
            </w:pPr>
            <w:r w:rsidRPr="005939FE">
              <w:rPr>
                <w:rFonts w:ascii="Times New Roman" w:eastAsia="宋体" w:hAnsi="Times New Roman" w:cs="Times New Roman"/>
                <w:sz w:val="24"/>
                <w:szCs w:val="24"/>
              </w:rPr>
              <w:t>Efr</w:t>
            </w:r>
          </w:p>
        </w:tc>
        <w:tc>
          <w:tcPr>
            <w:tcW w:w="1440" w:type="dxa"/>
            <w:hideMark/>
          </w:tcPr>
          <w:p w14:paraId="44A69986"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-0.763***</w:t>
            </w:r>
          </w:p>
        </w:tc>
        <w:tc>
          <w:tcPr>
            <w:tcW w:w="1440" w:type="dxa"/>
            <w:hideMark/>
          </w:tcPr>
          <w:p w14:paraId="465C8744"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-3.402***</w:t>
            </w:r>
          </w:p>
        </w:tc>
        <w:tc>
          <w:tcPr>
            <w:tcW w:w="1584" w:type="dxa"/>
            <w:hideMark/>
          </w:tcPr>
          <w:p w14:paraId="66BE1085"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741.2**</w:t>
            </w:r>
          </w:p>
        </w:tc>
      </w:tr>
      <w:tr w:rsidR="005939FE" w:rsidRPr="005939FE" w14:paraId="64ACC878" w14:textId="77777777" w:rsidTr="005939FE">
        <w:trPr>
          <w:jc w:val="center"/>
        </w:trPr>
        <w:tc>
          <w:tcPr>
            <w:tcW w:w="1947" w:type="dxa"/>
          </w:tcPr>
          <w:p w14:paraId="44425F56" w14:textId="77777777" w:rsidR="005939FE" w:rsidRPr="005939FE" w:rsidRDefault="005939FE" w:rsidP="005939FE">
            <w:pPr>
              <w:widowControl/>
              <w:jc w:val="left"/>
              <w:rPr>
                <w:rFonts w:ascii="Times New Roman" w:eastAsia="宋体" w:hAnsi="Times New Roman" w:cs="Times New Roman"/>
                <w:sz w:val="24"/>
                <w:szCs w:val="24"/>
              </w:rPr>
            </w:pPr>
          </w:p>
        </w:tc>
        <w:tc>
          <w:tcPr>
            <w:tcW w:w="1440" w:type="dxa"/>
            <w:hideMark/>
          </w:tcPr>
          <w:p w14:paraId="415041BB"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(0.0643)</w:t>
            </w:r>
          </w:p>
        </w:tc>
        <w:tc>
          <w:tcPr>
            <w:tcW w:w="1440" w:type="dxa"/>
            <w:hideMark/>
          </w:tcPr>
          <w:p w14:paraId="3EF67475"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(0.473)</w:t>
            </w:r>
          </w:p>
        </w:tc>
        <w:tc>
          <w:tcPr>
            <w:tcW w:w="1584" w:type="dxa"/>
            <w:hideMark/>
          </w:tcPr>
          <w:p w14:paraId="0FDE77F6"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(329.2)</w:t>
            </w:r>
          </w:p>
        </w:tc>
      </w:tr>
      <w:tr w:rsidR="005939FE" w:rsidRPr="005939FE" w14:paraId="21DD8930" w14:textId="77777777" w:rsidTr="005939FE">
        <w:trPr>
          <w:jc w:val="center"/>
        </w:trPr>
        <w:tc>
          <w:tcPr>
            <w:tcW w:w="1947" w:type="dxa"/>
            <w:hideMark/>
          </w:tcPr>
          <w:p w14:paraId="539394F6" w14:textId="77777777" w:rsidR="005939FE" w:rsidRPr="005939FE" w:rsidRDefault="005939FE" w:rsidP="005939FE">
            <w:pPr>
              <w:widowControl/>
              <w:jc w:val="left"/>
              <w:rPr>
                <w:rFonts w:ascii="Times New Roman" w:eastAsia="宋体" w:hAnsi="Times New Roman" w:cs="Times New Roman"/>
                <w:sz w:val="24"/>
                <w:szCs w:val="24"/>
              </w:rPr>
            </w:pPr>
            <w:r w:rsidRPr="005939FE">
              <w:rPr>
                <w:rFonts w:ascii="Times New Roman" w:eastAsia="宋体" w:hAnsi="Times New Roman" w:cs="Times New Roman"/>
                <w:sz w:val="24"/>
                <w:szCs w:val="24"/>
              </w:rPr>
              <w:t>Cfr</w:t>
            </w:r>
          </w:p>
        </w:tc>
        <w:tc>
          <w:tcPr>
            <w:tcW w:w="1440" w:type="dxa"/>
            <w:hideMark/>
          </w:tcPr>
          <w:p w14:paraId="5FC67463"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-0.364***</w:t>
            </w:r>
          </w:p>
        </w:tc>
        <w:tc>
          <w:tcPr>
            <w:tcW w:w="1440" w:type="dxa"/>
            <w:hideMark/>
          </w:tcPr>
          <w:p w14:paraId="5B6BDDB1"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-1.039***</w:t>
            </w:r>
          </w:p>
        </w:tc>
        <w:tc>
          <w:tcPr>
            <w:tcW w:w="1584" w:type="dxa"/>
            <w:hideMark/>
          </w:tcPr>
          <w:p w14:paraId="5424C670"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318.4</w:t>
            </w:r>
          </w:p>
        </w:tc>
      </w:tr>
      <w:tr w:rsidR="005939FE" w:rsidRPr="005939FE" w14:paraId="393A4928" w14:textId="77777777" w:rsidTr="005939FE">
        <w:trPr>
          <w:jc w:val="center"/>
        </w:trPr>
        <w:tc>
          <w:tcPr>
            <w:tcW w:w="1947" w:type="dxa"/>
          </w:tcPr>
          <w:p w14:paraId="4AE4A963" w14:textId="77777777" w:rsidR="005939FE" w:rsidRPr="005939FE" w:rsidRDefault="005939FE" w:rsidP="005939FE">
            <w:pPr>
              <w:widowControl/>
              <w:jc w:val="left"/>
              <w:rPr>
                <w:rFonts w:ascii="Times New Roman" w:eastAsia="宋体" w:hAnsi="Times New Roman" w:cs="Times New Roman"/>
                <w:sz w:val="24"/>
                <w:szCs w:val="24"/>
              </w:rPr>
            </w:pPr>
          </w:p>
        </w:tc>
        <w:tc>
          <w:tcPr>
            <w:tcW w:w="1440" w:type="dxa"/>
            <w:hideMark/>
          </w:tcPr>
          <w:p w14:paraId="41432896"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(0.0468)</w:t>
            </w:r>
          </w:p>
        </w:tc>
        <w:tc>
          <w:tcPr>
            <w:tcW w:w="1440" w:type="dxa"/>
            <w:hideMark/>
          </w:tcPr>
          <w:p w14:paraId="4878D25E"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(0.344)</w:t>
            </w:r>
          </w:p>
        </w:tc>
        <w:tc>
          <w:tcPr>
            <w:tcW w:w="1584" w:type="dxa"/>
            <w:hideMark/>
          </w:tcPr>
          <w:p w14:paraId="5E2B2BC0"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(241.9)</w:t>
            </w:r>
          </w:p>
        </w:tc>
      </w:tr>
      <w:tr w:rsidR="005939FE" w:rsidRPr="005939FE" w14:paraId="6033A49B" w14:textId="77777777" w:rsidTr="005939FE">
        <w:trPr>
          <w:jc w:val="center"/>
        </w:trPr>
        <w:tc>
          <w:tcPr>
            <w:tcW w:w="1947" w:type="dxa"/>
            <w:hideMark/>
          </w:tcPr>
          <w:p w14:paraId="0C15464C" w14:textId="77777777" w:rsidR="005939FE" w:rsidRPr="005939FE" w:rsidRDefault="005939FE" w:rsidP="005939FE">
            <w:pPr>
              <w:widowControl/>
              <w:jc w:val="left"/>
              <w:rPr>
                <w:rFonts w:ascii="Times New Roman" w:eastAsia="宋体" w:hAnsi="Times New Roman" w:cs="Times New Roman"/>
                <w:sz w:val="24"/>
                <w:szCs w:val="24"/>
              </w:rPr>
            </w:pPr>
            <w:r w:rsidRPr="005939FE">
              <w:rPr>
                <w:rFonts w:ascii="Times New Roman" w:eastAsia="宋体" w:hAnsi="Times New Roman" w:cs="Times New Roman"/>
                <w:sz w:val="24"/>
                <w:szCs w:val="24"/>
              </w:rPr>
              <w:t>Edfr</w:t>
            </w:r>
          </w:p>
        </w:tc>
        <w:tc>
          <w:tcPr>
            <w:tcW w:w="1440" w:type="dxa"/>
            <w:hideMark/>
          </w:tcPr>
          <w:p w14:paraId="27367F05"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-0.969***</w:t>
            </w:r>
          </w:p>
        </w:tc>
        <w:tc>
          <w:tcPr>
            <w:tcW w:w="1440" w:type="dxa"/>
            <w:hideMark/>
          </w:tcPr>
          <w:p w14:paraId="70B39923"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-5.220***</w:t>
            </w:r>
          </w:p>
        </w:tc>
        <w:tc>
          <w:tcPr>
            <w:tcW w:w="1584" w:type="dxa"/>
            <w:hideMark/>
          </w:tcPr>
          <w:p w14:paraId="3506C801"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227.1</w:t>
            </w:r>
          </w:p>
        </w:tc>
      </w:tr>
      <w:tr w:rsidR="005939FE" w:rsidRPr="005939FE" w14:paraId="50E051A3" w14:textId="77777777" w:rsidTr="005939FE">
        <w:trPr>
          <w:jc w:val="center"/>
        </w:trPr>
        <w:tc>
          <w:tcPr>
            <w:tcW w:w="1947" w:type="dxa"/>
          </w:tcPr>
          <w:p w14:paraId="383EAAC5" w14:textId="77777777" w:rsidR="005939FE" w:rsidRPr="005939FE" w:rsidRDefault="005939FE" w:rsidP="005939FE">
            <w:pPr>
              <w:widowControl/>
              <w:jc w:val="left"/>
              <w:rPr>
                <w:rFonts w:ascii="Times New Roman" w:eastAsia="宋体" w:hAnsi="Times New Roman" w:cs="Times New Roman"/>
                <w:sz w:val="24"/>
                <w:szCs w:val="24"/>
              </w:rPr>
            </w:pPr>
          </w:p>
        </w:tc>
        <w:tc>
          <w:tcPr>
            <w:tcW w:w="1440" w:type="dxa"/>
            <w:hideMark/>
          </w:tcPr>
          <w:p w14:paraId="572A26F3"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(0.0893)</w:t>
            </w:r>
          </w:p>
        </w:tc>
        <w:tc>
          <w:tcPr>
            <w:tcW w:w="1440" w:type="dxa"/>
            <w:hideMark/>
          </w:tcPr>
          <w:p w14:paraId="07251AE3"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(0.657)</w:t>
            </w:r>
          </w:p>
        </w:tc>
        <w:tc>
          <w:tcPr>
            <w:tcW w:w="1584" w:type="dxa"/>
            <w:hideMark/>
          </w:tcPr>
          <w:p w14:paraId="35852B71"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(473.1)</w:t>
            </w:r>
          </w:p>
        </w:tc>
      </w:tr>
      <w:tr w:rsidR="005939FE" w:rsidRPr="005939FE" w14:paraId="0BBBF3E0" w14:textId="77777777" w:rsidTr="005939FE">
        <w:trPr>
          <w:jc w:val="center"/>
        </w:trPr>
        <w:tc>
          <w:tcPr>
            <w:tcW w:w="1947" w:type="dxa"/>
            <w:hideMark/>
          </w:tcPr>
          <w:p w14:paraId="48A8ADE9" w14:textId="77777777" w:rsidR="005939FE" w:rsidRPr="005939FE" w:rsidRDefault="005939FE" w:rsidP="005939FE">
            <w:pPr>
              <w:widowControl/>
              <w:jc w:val="left"/>
              <w:rPr>
                <w:rFonts w:ascii="Times New Roman" w:eastAsia="宋体" w:hAnsi="Times New Roman" w:cs="Times New Roman"/>
                <w:sz w:val="24"/>
                <w:szCs w:val="24"/>
              </w:rPr>
            </w:pPr>
            <w:r w:rsidRPr="005939FE">
              <w:rPr>
                <w:rFonts w:ascii="Times New Roman" w:eastAsia="宋体" w:hAnsi="Times New Roman" w:cs="Times New Roman"/>
                <w:sz w:val="24"/>
                <w:szCs w:val="24"/>
              </w:rPr>
              <w:t>Ffr</w:t>
            </w:r>
          </w:p>
        </w:tc>
        <w:tc>
          <w:tcPr>
            <w:tcW w:w="1440" w:type="dxa"/>
            <w:hideMark/>
          </w:tcPr>
          <w:p w14:paraId="0A24995E"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0.153</w:t>
            </w:r>
          </w:p>
        </w:tc>
        <w:tc>
          <w:tcPr>
            <w:tcW w:w="1440" w:type="dxa"/>
            <w:hideMark/>
          </w:tcPr>
          <w:p w14:paraId="391C56D5"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-3.697**</w:t>
            </w:r>
          </w:p>
        </w:tc>
        <w:tc>
          <w:tcPr>
            <w:tcW w:w="1584" w:type="dxa"/>
            <w:hideMark/>
          </w:tcPr>
          <w:p w14:paraId="0F3BFF40"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5,273***</w:t>
            </w:r>
          </w:p>
        </w:tc>
      </w:tr>
      <w:tr w:rsidR="005939FE" w:rsidRPr="005939FE" w14:paraId="3C191087" w14:textId="77777777" w:rsidTr="005939FE">
        <w:trPr>
          <w:jc w:val="center"/>
        </w:trPr>
        <w:tc>
          <w:tcPr>
            <w:tcW w:w="1947" w:type="dxa"/>
          </w:tcPr>
          <w:p w14:paraId="44877FA3" w14:textId="77777777" w:rsidR="005939FE" w:rsidRPr="005939FE" w:rsidRDefault="005939FE" w:rsidP="005939FE">
            <w:pPr>
              <w:widowControl/>
              <w:jc w:val="left"/>
              <w:rPr>
                <w:rFonts w:ascii="Times New Roman" w:eastAsia="宋体" w:hAnsi="Times New Roman" w:cs="Times New Roman"/>
                <w:sz w:val="24"/>
                <w:szCs w:val="24"/>
              </w:rPr>
            </w:pPr>
          </w:p>
        </w:tc>
        <w:tc>
          <w:tcPr>
            <w:tcW w:w="1440" w:type="dxa"/>
            <w:hideMark/>
          </w:tcPr>
          <w:p w14:paraId="1D3870F3"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(0.217)</w:t>
            </w:r>
          </w:p>
        </w:tc>
        <w:tc>
          <w:tcPr>
            <w:tcW w:w="1440" w:type="dxa"/>
            <w:hideMark/>
          </w:tcPr>
          <w:p w14:paraId="1951E0DD"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(1.593)</w:t>
            </w:r>
          </w:p>
        </w:tc>
        <w:tc>
          <w:tcPr>
            <w:tcW w:w="1584" w:type="dxa"/>
            <w:hideMark/>
          </w:tcPr>
          <w:p w14:paraId="752C35CE"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(1,111)</w:t>
            </w:r>
          </w:p>
        </w:tc>
      </w:tr>
      <w:tr w:rsidR="005939FE" w:rsidRPr="005939FE" w14:paraId="3A41E818" w14:textId="77777777" w:rsidTr="005939FE">
        <w:trPr>
          <w:jc w:val="center"/>
        </w:trPr>
        <w:tc>
          <w:tcPr>
            <w:tcW w:w="1947" w:type="dxa"/>
            <w:hideMark/>
          </w:tcPr>
          <w:p w14:paraId="289BEC14" w14:textId="77777777" w:rsidR="005939FE" w:rsidRPr="005939FE" w:rsidRDefault="005939FE" w:rsidP="005939FE">
            <w:pPr>
              <w:widowControl/>
              <w:jc w:val="left"/>
              <w:rPr>
                <w:rFonts w:ascii="Times New Roman" w:eastAsia="宋体" w:hAnsi="Times New Roman" w:cs="Times New Roman"/>
                <w:sz w:val="24"/>
                <w:szCs w:val="24"/>
              </w:rPr>
            </w:pPr>
            <w:r w:rsidRPr="005939FE">
              <w:rPr>
                <w:rFonts w:ascii="Times New Roman" w:eastAsia="宋体" w:hAnsi="Times New Roman" w:cs="Times New Roman"/>
                <w:sz w:val="24"/>
                <w:szCs w:val="24"/>
              </w:rPr>
              <w:t>Dfr</w:t>
            </w:r>
          </w:p>
        </w:tc>
        <w:tc>
          <w:tcPr>
            <w:tcW w:w="1440" w:type="dxa"/>
            <w:hideMark/>
          </w:tcPr>
          <w:p w14:paraId="00BC775D"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0.543***</w:t>
            </w:r>
          </w:p>
        </w:tc>
        <w:tc>
          <w:tcPr>
            <w:tcW w:w="1440" w:type="dxa"/>
            <w:hideMark/>
          </w:tcPr>
          <w:p w14:paraId="593BD1D2"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2.396***</w:t>
            </w:r>
          </w:p>
        </w:tc>
        <w:tc>
          <w:tcPr>
            <w:tcW w:w="1584" w:type="dxa"/>
            <w:hideMark/>
          </w:tcPr>
          <w:p w14:paraId="66ED577B"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38.60</w:t>
            </w:r>
          </w:p>
        </w:tc>
      </w:tr>
      <w:tr w:rsidR="005939FE" w:rsidRPr="005939FE" w14:paraId="1AE3F15B" w14:textId="77777777" w:rsidTr="005939FE">
        <w:trPr>
          <w:jc w:val="center"/>
        </w:trPr>
        <w:tc>
          <w:tcPr>
            <w:tcW w:w="1947" w:type="dxa"/>
          </w:tcPr>
          <w:p w14:paraId="0D71B577" w14:textId="77777777" w:rsidR="005939FE" w:rsidRPr="005939FE" w:rsidRDefault="005939FE" w:rsidP="005939FE">
            <w:pPr>
              <w:widowControl/>
              <w:jc w:val="left"/>
              <w:rPr>
                <w:rFonts w:ascii="Times New Roman" w:eastAsia="宋体" w:hAnsi="Times New Roman" w:cs="Times New Roman"/>
                <w:sz w:val="24"/>
                <w:szCs w:val="24"/>
              </w:rPr>
            </w:pPr>
          </w:p>
        </w:tc>
        <w:tc>
          <w:tcPr>
            <w:tcW w:w="1440" w:type="dxa"/>
            <w:hideMark/>
          </w:tcPr>
          <w:p w14:paraId="5E4B5A6A"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(0.116)</w:t>
            </w:r>
          </w:p>
        </w:tc>
        <w:tc>
          <w:tcPr>
            <w:tcW w:w="1440" w:type="dxa"/>
            <w:hideMark/>
          </w:tcPr>
          <w:p w14:paraId="0BD87997"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(0.855)</w:t>
            </w:r>
          </w:p>
        </w:tc>
        <w:tc>
          <w:tcPr>
            <w:tcW w:w="1584" w:type="dxa"/>
            <w:hideMark/>
          </w:tcPr>
          <w:p w14:paraId="0ABD4A9C"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(620.5)</w:t>
            </w:r>
          </w:p>
        </w:tc>
      </w:tr>
      <w:tr w:rsidR="005939FE" w:rsidRPr="005939FE" w14:paraId="056E042D" w14:textId="77777777" w:rsidTr="005939FE">
        <w:trPr>
          <w:jc w:val="center"/>
        </w:trPr>
        <w:tc>
          <w:tcPr>
            <w:tcW w:w="1947" w:type="dxa"/>
            <w:hideMark/>
          </w:tcPr>
          <w:p w14:paraId="35AEE9C1" w14:textId="77777777" w:rsidR="005939FE" w:rsidRPr="005939FE" w:rsidRDefault="005939FE" w:rsidP="005939FE">
            <w:pPr>
              <w:widowControl/>
              <w:jc w:val="left"/>
              <w:rPr>
                <w:rFonts w:ascii="Times New Roman" w:eastAsia="宋体" w:hAnsi="Times New Roman" w:cs="Times New Roman"/>
                <w:sz w:val="24"/>
                <w:szCs w:val="24"/>
              </w:rPr>
            </w:pPr>
            <w:r w:rsidRPr="005939FE">
              <w:rPr>
                <w:rFonts w:ascii="Times New Roman" w:eastAsia="宋体" w:hAnsi="Times New Roman" w:cs="Times New Roman"/>
                <w:sz w:val="24"/>
                <w:szCs w:val="24"/>
              </w:rPr>
              <w:t>Constant</w:t>
            </w:r>
          </w:p>
        </w:tc>
        <w:tc>
          <w:tcPr>
            <w:tcW w:w="1440" w:type="dxa"/>
            <w:hideMark/>
          </w:tcPr>
          <w:p w14:paraId="124A65B6"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84.06***</w:t>
            </w:r>
          </w:p>
        </w:tc>
        <w:tc>
          <w:tcPr>
            <w:tcW w:w="1440" w:type="dxa"/>
            <w:hideMark/>
          </w:tcPr>
          <w:p w14:paraId="4B2CAD5D"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210.9***</w:t>
            </w:r>
          </w:p>
        </w:tc>
        <w:tc>
          <w:tcPr>
            <w:tcW w:w="1584" w:type="dxa"/>
            <w:hideMark/>
          </w:tcPr>
          <w:p w14:paraId="0C03B61C"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-31,953***</w:t>
            </w:r>
          </w:p>
        </w:tc>
      </w:tr>
      <w:tr w:rsidR="005939FE" w:rsidRPr="005939FE" w14:paraId="4A831207" w14:textId="77777777" w:rsidTr="005939FE">
        <w:trPr>
          <w:jc w:val="center"/>
        </w:trPr>
        <w:tc>
          <w:tcPr>
            <w:tcW w:w="1947" w:type="dxa"/>
          </w:tcPr>
          <w:p w14:paraId="68A2E812" w14:textId="77777777" w:rsidR="005939FE" w:rsidRPr="005939FE" w:rsidRDefault="005939FE" w:rsidP="005939FE">
            <w:pPr>
              <w:widowControl/>
              <w:jc w:val="left"/>
              <w:rPr>
                <w:rFonts w:ascii="Times New Roman" w:eastAsia="宋体" w:hAnsi="Times New Roman" w:cs="Times New Roman"/>
                <w:sz w:val="24"/>
                <w:szCs w:val="24"/>
              </w:rPr>
            </w:pPr>
          </w:p>
        </w:tc>
        <w:tc>
          <w:tcPr>
            <w:tcW w:w="1440" w:type="dxa"/>
            <w:hideMark/>
          </w:tcPr>
          <w:p w14:paraId="4CADDD72"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(2.021)</w:t>
            </w:r>
          </w:p>
        </w:tc>
        <w:tc>
          <w:tcPr>
            <w:tcW w:w="1440" w:type="dxa"/>
            <w:hideMark/>
          </w:tcPr>
          <w:p w14:paraId="45152F43"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(14.87)</w:t>
            </w:r>
          </w:p>
        </w:tc>
        <w:tc>
          <w:tcPr>
            <w:tcW w:w="1584" w:type="dxa"/>
            <w:hideMark/>
          </w:tcPr>
          <w:p w14:paraId="58C2F6CE"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(10,518)</w:t>
            </w:r>
          </w:p>
        </w:tc>
      </w:tr>
      <w:tr w:rsidR="005939FE" w:rsidRPr="005939FE" w14:paraId="6B30CAF7" w14:textId="77777777" w:rsidTr="005939FE">
        <w:trPr>
          <w:jc w:val="center"/>
        </w:trPr>
        <w:tc>
          <w:tcPr>
            <w:tcW w:w="1947" w:type="dxa"/>
          </w:tcPr>
          <w:p w14:paraId="2157848A" w14:textId="77777777" w:rsidR="005939FE" w:rsidRPr="005939FE" w:rsidRDefault="005939FE" w:rsidP="005939FE">
            <w:pPr>
              <w:widowControl/>
              <w:jc w:val="left"/>
              <w:rPr>
                <w:rFonts w:ascii="Times New Roman" w:eastAsia="宋体" w:hAnsi="Times New Roman" w:cs="Times New Roman"/>
                <w:sz w:val="24"/>
                <w:szCs w:val="24"/>
              </w:rPr>
            </w:pPr>
          </w:p>
        </w:tc>
        <w:tc>
          <w:tcPr>
            <w:tcW w:w="1440" w:type="dxa"/>
          </w:tcPr>
          <w:p w14:paraId="35846E7C" w14:textId="77777777" w:rsidR="005939FE" w:rsidRPr="005939FE" w:rsidRDefault="005939FE" w:rsidP="005939FE">
            <w:pPr>
              <w:widowControl/>
              <w:jc w:val="center"/>
              <w:rPr>
                <w:rFonts w:ascii="Times New Roman" w:eastAsia="宋体" w:hAnsi="Times New Roman" w:cs="Times New Roman"/>
                <w:sz w:val="24"/>
                <w:szCs w:val="24"/>
              </w:rPr>
            </w:pPr>
          </w:p>
        </w:tc>
        <w:tc>
          <w:tcPr>
            <w:tcW w:w="1440" w:type="dxa"/>
          </w:tcPr>
          <w:p w14:paraId="348F6869" w14:textId="77777777" w:rsidR="005939FE" w:rsidRPr="005939FE" w:rsidRDefault="005939FE" w:rsidP="005939FE">
            <w:pPr>
              <w:widowControl/>
              <w:jc w:val="center"/>
              <w:rPr>
                <w:rFonts w:ascii="Times New Roman" w:eastAsia="宋体" w:hAnsi="Times New Roman" w:cs="Times New Roman"/>
                <w:sz w:val="24"/>
                <w:szCs w:val="24"/>
              </w:rPr>
            </w:pPr>
          </w:p>
        </w:tc>
        <w:tc>
          <w:tcPr>
            <w:tcW w:w="1584" w:type="dxa"/>
          </w:tcPr>
          <w:p w14:paraId="7CA5440E" w14:textId="77777777" w:rsidR="005939FE" w:rsidRPr="005939FE" w:rsidRDefault="005939FE" w:rsidP="005939FE">
            <w:pPr>
              <w:widowControl/>
              <w:jc w:val="center"/>
              <w:rPr>
                <w:rFonts w:ascii="Times New Roman" w:eastAsia="宋体" w:hAnsi="Times New Roman" w:cs="Times New Roman"/>
                <w:sz w:val="24"/>
                <w:szCs w:val="24"/>
              </w:rPr>
            </w:pPr>
          </w:p>
        </w:tc>
      </w:tr>
      <w:tr w:rsidR="005939FE" w:rsidRPr="005939FE" w14:paraId="0182909F" w14:textId="77777777" w:rsidTr="005939FE">
        <w:trPr>
          <w:jc w:val="center"/>
        </w:trPr>
        <w:tc>
          <w:tcPr>
            <w:tcW w:w="1947" w:type="dxa"/>
            <w:hideMark/>
          </w:tcPr>
          <w:p w14:paraId="49E74590" w14:textId="77777777" w:rsidR="005939FE" w:rsidRPr="005939FE" w:rsidRDefault="005939FE" w:rsidP="005939FE">
            <w:pPr>
              <w:widowControl/>
              <w:jc w:val="left"/>
              <w:rPr>
                <w:rFonts w:ascii="Times New Roman" w:eastAsia="宋体" w:hAnsi="Times New Roman" w:cs="Times New Roman"/>
                <w:sz w:val="24"/>
                <w:szCs w:val="24"/>
              </w:rPr>
            </w:pPr>
            <w:r w:rsidRPr="005939FE">
              <w:rPr>
                <w:rFonts w:ascii="Times New Roman" w:eastAsia="宋体" w:hAnsi="Times New Roman" w:cs="Times New Roman"/>
                <w:sz w:val="24"/>
                <w:szCs w:val="24"/>
              </w:rPr>
              <w:t>Observations</w:t>
            </w:r>
          </w:p>
        </w:tc>
        <w:tc>
          <w:tcPr>
            <w:tcW w:w="1440" w:type="dxa"/>
            <w:hideMark/>
          </w:tcPr>
          <w:p w14:paraId="48648B71"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289</w:t>
            </w:r>
          </w:p>
        </w:tc>
        <w:tc>
          <w:tcPr>
            <w:tcW w:w="1440" w:type="dxa"/>
            <w:hideMark/>
          </w:tcPr>
          <w:p w14:paraId="544637A1"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289</w:t>
            </w:r>
          </w:p>
        </w:tc>
        <w:tc>
          <w:tcPr>
            <w:tcW w:w="1584" w:type="dxa"/>
            <w:hideMark/>
          </w:tcPr>
          <w:p w14:paraId="24D10391"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285</w:t>
            </w:r>
          </w:p>
        </w:tc>
      </w:tr>
      <w:tr w:rsidR="005939FE" w:rsidRPr="005939FE" w14:paraId="68D3C8F2" w14:textId="77777777" w:rsidTr="005939FE">
        <w:trPr>
          <w:jc w:val="center"/>
        </w:trPr>
        <w:tc>
          <w:tcPr>
            <w:tcW w:w="1947" w:type="dxa"/>
            <w:hideMark/>
          </w:tcPr>
          <w:p w14:paraId="08F2C70E" w14:textId="77777777" w:rsidR="005939FE" w:rsidRPr="005939FE" w:rsidRDefault="005939FE" w:rsidP="005939FE">
            <w:pPr>
              <w:widowControl/>
              <w:jc w:val="left"/>
              <w:rPr>
                <w:rFonts w:ascii="Times New Roman" w:eastAsia="宋体" w:hAnsi="Times New Roman" w:cs="Times New Roman"/>
                <w:sz w:val="24"/>
                <w:szCs w:val="24"/>
              </w:rPr>
            </w:pPr>
            <w:r w:rsidRPr="005939FE">
              <w:rPr>
                <w:rFonts w:ascii="Times New Roman" w:eastAsia="宋体" w:hAnsi="Times New Roman" w:cs="Times New Roman"/>
                <w:sz w:val="24"/>
                <w:szCs w:val="24"/>
              </w:rPr>
              <w:t>R-squared</w:t>
            </w:r>
          </w:p>
        </w:tc>
        <w:tc>
          <w:tcPr>
            <w:tcW w:w="1440" w:type="dxa"/>
            <w:hideMark/>
          </w:tcPr>
          <w:p w14:paraId="64CB2CC4"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0.549</w:t>
            </w:r>
          </w:p>
        </w:tc>
        <w:tc>
          <w:tcPr>
            <w:tcW w:w="1440" w:type="dxa"/>
            <w:hideMark/>
          </w:tcPr>
          <w:p w14:paraId="618147E3"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0.369</w:t>
            </w:r>
          </w:p>
        </w:tc>
        <w:tc>
          <w:tcPr>
            <w:tcW w:w="1584" w:type="dxa"/>
            <w:hideMark/>
          </w:tcPr>
          <w:p w14:paraId="37AFA82E" w14:textId="77777777" w:rsidR="005939FE" w:rsidRPr="005939FE" w:rsidRDefault="005939FE" w:rsidP="005939FE">
            <w:pPr>
              <w:widowControl/>
              <w:jc w:val="center"/>
              <w:rPr>
                <w:rFonts w:ascii="Times New Roman" w:eastAsia="宋体" w:hAnsi="Times New Roman" w:cs="Times New Roman"/>
                <w:sz w:val="24"/>
                <w:szCs w:val="24"/>
              </w:rPr>
            </w:pPr>
            <w:r w:rsidRPr="005939FE">
              <w:rPr>
                <w:rFonts w:ascii="Times New Roman" w:eastAsia="宋体" w:hAnsi="Times New Roman" w:cs="Times New Roman"/>
                <w:sz w:val="24"/>
                <w:szCs w:val="24"/>
              </w:rPr>
              <w:t>0.103</w:t>
            </w:r>
          </w:p>
        </w:tc>
      </w:tr>
    </w:tbl>
    <w:p w14:paraId="3547A72E" w14:textId="77777777" w:rsidR="007C6436" w:rsidRPr="007C6436" w:rsidRDefault="007C6436" w:rsidP="007C6436">
      <w:pPr>
        <w:rPr>
          <w:rFonts w:hint="eastAsia"/>
        </w:rPr>
      </w:pPr>
    </w:p>
    <w:p w14:paraId="26B205E8" w14:textId="77777777" w:rsidR="007C6436" w:rsidRPr="007C6436" w:rsidRDefault="007C6436" w:rsidP="007C6436">
      <w:pPr>
        <w:autoSpaceDE w:val="0"/>
        <w:autoSpaceDN w:val="0"/>
        <w:adjustRightInd w:val="0"/>
        <w:spacing w:line="360" w:lineRule="auto"/>
        <w:ind w:firstLine="420"/>
        <w:jc w:val="left"/>
        <w:rPr>
          <w:rFonts w:ascii="宋体" w:eastAsia="等线" w:hAnsi="宋体" w:cs="Times New Roman"/>
          <w:kern w:val="0"/>
          <w:szCs w:val="21"/>
        </w:rPr>
      </w:pPr>
      <w:r w:rsidRPr="007C6436">
        <w:rPr>
          <w:rFonts w:ascii="等线" w:eastAsia="等线" w:hAnsi="等线" w:cs="Times New Roman" w:hint="eastAsia"/>
          <w:kern w:val="0"/>
          <w:szCs w:val="21"/>
        </w:rPr>
        <w:t>注：</w:t>
      </w:r>
      <w:r w:rsidRPr="007C6436">
        <w:rPr>
          <w:rFonts w:ascii="Times New Roman" w:eastAsia="等线" w:hAnsi="Times New Roman" w:cs="Times New Roman"/>
          <w:kern w:val="0"/>
          <w:szCs w:val="21"/>
        </w:rPr>
        <w:t>*** p&lt;0.01</w:t>
      </w:r>
      <w:r w:rsidRPr="007C6436">
        <w:rPr>
          <w:rFonts w:ascii="等线" w:eastAsia="等线" w:hAnsi="等线" w:cs="Times New Roman" w:hint="eastAsia"/>
          <w:kern w:val="0"/>
          <w:szCs w:val="21"/>
        </w:rPr>
        <w:t>表示在</w:t>
      </w:r>
      <w:r w:rsidRPr="007C6436">
        <w:rPr>
          <w:rFonts w:ascii="Times New Roman" w:eastAsia="等线" w:hAnsi="Times New Roman" w:cs="Times New Roman"/>
          <w:kern w:val="0"/>
          <w:szCs w:val="21"/>
        </w:rPr>
        <w:t>1%</w:t>
      </w:r>
      <w:r w:rsidRPr="007C6436">
        <w:rPr>
          <w:rFonts w:ascii="等线" w:eastAsia="等线" w:hAnsi="等线" w:cs="Times New Roman" w:hint="eastAsia"/>
          <w:kern w:val="0"/>
          <w:szCs w:val="21"/>
        </w:rPr>
        <w:t>水平上显著</w:t>
      </w:r>
      <w:r w:rsidRPr="007C6436">
        <w:rPr>
          <w:rFonts w:ascii="宋体" w:eastAsia="等线" w:hAnsi="宋体" w:cs="Times New Roman" w:hint="eastAsia"/>
          <w:kern w:val="0"/>
          <w:szCs w:val="21"/>
        </w:rPr>
        <w:t xml:space="preserve">, </w:t>
      </w:r>
      <w:r w:rsidRPr="007C6436">
        <w:rPr>
          <w:rFonts w:ascii="Times New Roman" w:eastAsia="等线" w:hAnsi="Times New Roman" w:cs="Times New Roman"/>
          <w:kern w:val="0"/>
          <w:szCs w:val="21"/>
        </w:rPr>
        <w:t>** p&lt;0.05</w:t>
      </w:r>
      <w:r w:rsidRPr="007C6436">
        <w:rPr>
          <w:rFonts w:ascii="等线" w:eastAsia="等线" w:hAnsi="等线" w:cs="Times New Roman" w:hint="eastAsia"/>
          <w:kern w:val="0"/>
          <w:szCs w:val="21"/>
        </w:rPr>
        <w:t>表示在</w:t>
      </w:r>
      <w:r w:rsidRPr="007C6436">
        <w:rPr>
          <w:rFonts w:ascii="Times New Roman" w:eastAsia="等线" w:hAnsi="Times New Roman" w:cs="Times New Roman"/>
          <w:kern w:val="0"/>
          <w:szCs w:val="21"/>
        </w:rPr>
        <w:t>5%</w:t>
      </w:r>
      <w:r w:rsidRPr="007C6436">
        <w:rPr>
          <w:rFonts w:ascii="等线" w:eastAsia="等线" w:hAnsi="等线" w:cs="Times New Roman" w:hint="eastAsia"/>
          <w:kern w:val="0"/>
          <w:szCs w:val="21"/>
        </w:rPr>
        <w:t>水平上显著</w:t>
      </w:r>
      <w:r w:rsidRPr="007C6436">
        <w:rPr>
          <w:rFonts w:ascii="宋体" w:eastAsia="等线" w:hAnsi="宋体" w:cs="Times New Roman" w:hint="eastAsia"/>
          <w:kern w:val="0"/>
          <w:szCs w:val="21"/>
        </w:rPr>
        <w:t xml:space="preserve">, </w:t>
      </w:r>
      <w:r w:rsidRPr="007C6436">
        <w:rPr>
          <w:rFonts w:ascii="Times New Roman" w:eastAsia="等线" w:hAnsi="Times New Roman" w:cs="Times New Roman"/>
          <w:kern w:val="0"/>
          <w:szCs w:val="21"/>
        </w:rPr>
        <w:t>* p&lt;0.1</w:t>
      </w:r>
      <w:r w:rsidRPr="007C6436">
        <w:rPr>
          <w:rFonts w:ascii="等线" w:eastAsia="等线" w:hAnsi="等线" w:cs="Times New Roman" w:hint="eastAsia"/>
          <w:kern w:val="0"/>
          <w:szCs w:val="21"/>
        </w:rPr>
        <w:t>表示在</w:t>
      </w:r>
      <w:r w:rsidRPr="007C6436">
        <w:rPr>
          <w:rFonts w:ascii="Times New Roman" w:eastAsia="等线" w:hAnsi="Times New Roman" w:cs="Times New Roman"/>
          <w:kern w:val="0"/>
          <w:szCs w:val="21"/>
        </w:rPr>
        <w:t>10%</w:t>
      </w:r>
      <w:r w:rsidRPr="007C6436">
        <w:rPr>
          <w:rFonts w:ascii="等线" w:eastAsia="等线" w:hAnsi="等线" w:cs="Times New Roman" w:hint="eastAsia"/>
          <w:kern w:val="0"/>
          <w:szCs w:val="21"/>
        </w:rPr>
        <w:t>水平上显著，括号内为稳健性标准误。</w:t>
      </w:r>
    </w:p>
    <w:p w14:paraId="107244CB" w14:textId="717305FD" w:rsidR="00D22B76" w:rsidRDefault="00D22B76" w:rsidP="00823A36">
      <w:pPr>
        <w:rPr>
          <w:rFonts w:ascii="宋体" w:eastAsia="宋体" w:hAnsi="宋体"/>
          <w:sz w:val="24"/>
          <w:szCs w:val="24"/>
        </w:rPr>
      </w:pPr>
      <w:r>
        <w:rPr>
          <w:rFonts w:hint="eastAsia"/>
        </w:rPr>
        <w:t xml:space="preserve"> </w:t>
      </w:r>
      <w:r>
        <w:t xml:space="preserve"> </w: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从基准回归的结果来看，解释变量和被解释变量呈现的相关性较为先出，整体的R²的数值较大，回归结果较好。</w:t>
      </w:r>
    </w:p>
    <w:p w14:paraId="231C166B" w14:textId="32284950" w:rsidR="00B26C88" w:rsidRDefault="00D22B76" w:rsidP="00823A36">
      <w:pPr>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由于本文采用的是面板数据，需要对数据进行Hausman检验</w:t>
      </w:r>
      <w:r w:rsidR="005939FE">
        <w:rPr>
          <w:rFonts w:ascii="宋体" w:eastAsia="宋体" w:hAnsi="宋体" w:hint="eastAsia"/>
          <w:sz w:val="24"/>
          <w:szCs w:val="24"/>
        </w:rPr>
        <w:t>，并以此来判断应该采用固定效应模型进行回归还是随机效应模型进行回归</w:t>
      </w:r>
      <w:r>
        <w:rPr>
          <w:rFonts w:ascii="宋体" w:eastAsia="宋体" w:hAnsi="宋体" w:hint="eastAsia"/>
          <w:sz w:val="24"/>
          <w:szCs w:val="24"/>
        </w:rPr>
        <w:t>，下表为检验结果</w:t>
      </w:r>
      <w:r w:rsidR="005939FE">
        <w:rPr>
          <w:rFonts w:ascii="宋体" w:eastAsia="宋体" w:hAnsi="宋体" w:hint="eastAsia"/>
          <w:sz w:val="24"/>
          <w:szCs w:val="24"/>
        </w:rPr>
        <w:t>：</w:t>
      </w:r>
      <w:r>
        <w:rPr>
          <w:rFonts w:ascii="宋体" w:eastAsia="宋体" w:hAnsi="宋体"/>
          <w:sz w:val="24"/>
          <w:szCs w:val="24"/>
        </w:rPr>
        <w:t xml:space="preserve">  </w:t>
      </w:r>
      <w:r w:rsidR="00B26C88">
        <w:rPr>
          <w:rFonts w:ascii="宋体" w:eastAsia="宋体" w:hAnsi="宋体"/>
          <w:sz w:val="24"/>
          <w:szCs w:val="24"/>
        </w:rPr>
        <w:t xml:space="preserve">    </w:t>
      </w:r>
    </w:p>
    <w:tbl>
      <w:tblPr>
        <w:tblpPr w:leftFromText="180" w:rightFromText="180" w:vertAnchor="text" w:horzAnchor="margin" w:tblpY="1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firstRow="1" w:lastRow="0" w:firstColumn="1" w:lastColumn="0" w:noHBand="0" w:noVBand="1"/>
      </w:tblPr>
      <w:tblGrid>
        <w:gridCol w:w="1452"/>
        <w:gridCol w:w="936"/>
        <w:gridCol w:w="936"/>
        <w:gridCol w:w="1029"/>
        <w:gridCol w:w="1029"/>
        <w:gridCol w:w="1216"/>
        <w:gridCol w:w="1403"/>
      </w:tblGrid>
      <w:tr w:rsidR="005939FE" w:rsidRPr="005939FE" w14:paraId="324FD8BC" w14:textId="77777777" w:rsidTr="005939FE">
        <w:trPr>
          <w:trHeight w:val="215"/>
        </w:trPr>
        <w:tc>
          <w:tcPr>
            <w:tcW w:w="1452" w:type="dxa"/>
            <w:hideMark/>
          </w:tcPr>
          <w:p w14:paraId="092CA7A7" w14:textId="77777777" w:rsidR="005939FE" w:rsidRPr="005939FE" w:rsidRDefault="005939FE" w:rsidP="005939FE">
            <w:pPr>
              <w:autoSpaceDE w:val="0"/>
              <w:autoSpaceDN w:val="0"/>
              <w:adjustRightInd w:val="0"/>
              <w:jc w:val="left"/>
              <w:rPr>
                <w:rFonts w:ascii="Times New Roman" w:eastAsia="等线" w:hAnsi="等线" w:cs="Times New Roman"/>
                <w:kern w:val="0"/>
                <w:sz w:val="24"/>
                <w:szCs w:val="24"/>
              </w:rPr>
            </w:pPr>
          </w:p>
        </w:tc>
        <w:tc>
          <w:tcPr>
            <w:tcW w:w="936" w:type="dxa"/>
            <w:hideMark/>
          </w:tcPr>
          <w:p w14:paraId="11285590"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(Y1)</w:t>
            </w:r>
          </w:p>
        </w:tc>
        <w:tc>
          <w:tcPr>
            <w:tcW w:w="936" w:type="dxa"/>
            <w:hideMark/>
          </w:tcPr>
          <w:p w14:paraId="53672903"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(Y1)</w:t>
            </w:r>
          </w:p>
        </w:tc>
        <w:tc>
          <w:tcPr>
            <w:tcW w:w="1029" w:type="dxa"/>
            <w:hideMark/>
          </w:tcPr>
          <w:p w14:paraId="379D3EAB"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(Y2)</w:t>
            </w:r>
          </w:p>
        </w:tc>
        <w:tc>
          <w:tcPr>
            <w:tcW w:w="1029" w:type="dxa"/>
            <w:hideMark/>
          </w:tcPr>
          <w:p w14:paraId="2679F326"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(Y2)</w:t>
            </w:r>
          </w:p>
        </w:tc>
        <w:tc>
          <w:tcPr>
            <w:tcW w:w="1216" w:type="dxa"/>
            <w:hideMark/>
          </w:tcPr>
          <w:p w14:paraId="2F71C828" w14:textId="77777777" w:rsidR="005939FE" w:rsidRPr="005939FE" w:rsidRDefault="005939FE" w:rsidP="005939FE">
            <w:pPr>
              <w:autoSpaceDE w:val="0"/>
              <w:autoSpaceDN w:val="0"/>
              <w:adjustRightInd w:val="0"/>
              <w:jc w:val="center"/>
              <w:rPr>
                <w:rFonts w:ascii="Times New Roman" w:eastAsia="等线" w:hAnsi="等线" w:cs="Times New Roman"/>
                <w:kern w:val="0"/>
                <w:sz w:val="24"/>
                <w:szCs w:val="24"/>
              </w:rPr>
            </w:pPr>
            <w:r w:rsidRPr="005939FE">
              <w:rPr>
                <w:rFonts w:ascii="等线" w:eastAsia="等线" w:hAnsi="等线" w:cs="Times New Roman" w:hint="eastAsia"/>
                <w:kern w:val="0"/>
                <w:sz w:val="24"/>
                <w:szCs w:val="24"/>
              </w:rPr>
              <w:t>（</w:t>
            </w:r>
            <w:r w:rsidRPr="005939FE">
              <w:rPr>
                <w:rFonts w:ascii="Times New Roman" w:eastAsia="等线" w:hAnsi="Times New Roman" w:cs="Times New Roman"/>
                <w:kern w:val="0"/>
                <w:sz w:val="24"/>
                <w:szCs w:val="24"/>
              </w:rPr>
              <w:t>Y3</w:t>
            </w:r>
            <w:r w:rsidRPr="005939FE">
              <w:rPr>
                <w:rFonts w:ascii="等线" w:eastAsia="等线" w:hAnsi="等线" w:cs="Times New Roman" w:hint="eastAsia"/>
                <w:kern w:val="0"/>
                <w:sz w:val="24"/>
                <w:szCs w:val="24"/>
              </w:rPr>
              <w:t>）</w:t>
            </w:r>
          </w:p>
        </w:tc>
        <w:tc>
          <w:tcPr>
            <w:tcW w:w="1403" w:type="dxa"/>
            <w:hideMark/>
          </w:tcPr>
          <w:p w14:paraId="3B1867B8"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(Y3)</w:t>
            </w:r>
          </w:p>
        </w:tc>
      </w:tr>
      <w:tr w:rsidR="005939FE" w:rsidRPr="005939FE" w14:paraId="7228A2A6" w14:textId="77777777" w:rsidTr="005939FE">
        <w:trPr>
          <w:trHeight w:val="207"/>
        </w:trPr>
        <w:tc>
          <w:tcPr>
            <w:tcW w:w="1452" w:type="dxa"/>
            <w:hideMark/>
          </w:tcPr>
          <w:p w14:paraId="3C3A6470" w14:textId="77777777" w:rsidR="005939FE" w:rsidRPr="005939FE" w:rsidRDefault="005939FE" w:rsidP="005939FE">
            <w:pPr>
              <w:autoSpaceDE w:val="0"/>
              <w:autoSpaceDN w:val="0"/>
              <w:adjustRightInd w:val="0"/>
              <w:jc w:val="left"/>
              <w:rPr>
                <w:rFonts w:ascii="宋体" w:eastAsia="宋体" w:hAnsi="宋体" w:cs="Times New Roman"/>
                <w:kern w:val="0"/>
                <w:sz w:val="24"/>
                <w:szCs w:val="24"/>
              </w:rPr>
            </w:pPr>
            <w:r w:rsidRPr="005939FE">
              <w:rPr>
                <w:rFonts w:ascii="宋体" w:eastAsia="宋体" w:hAnsi="宋体" w:cs="Times New Roman" w:hint="eastAsia"/>
                <w:kern w:val="0"/>
                <w:sz w:val="24"/>
                <w:szCs w:val="24"/>
              </w:rPr>
              <w:t>变量名</w:t>
            </w:r>
          </w:p>
        </w:tc>
        <w:tc>
          <w:tcPr>
            <w:tcW w:w="936" w:type="dxa"/>
            <w:hideMark/>
          </w:tcPr>
          <w:p w14:paraId="272BE2BF" w14:textId="77777777" w:rsidR="005939FE" w:rsidRPr="005939FE" w:rsidRDefault="005939FE" w:rsidP="005939FE">
            <w:pPr>
              <w:autoSpaceDE w:val="0"/>
              <w:autoSpaceDN w:val="0"/>
              <w:adjustRightInd w:val="0"/>
              <w:jc w:val="center"/>
              <w:rPr>
                <w:rFonts w:ascii="Times New Roman" w:eastAsia="等线" w:hAnsi="Times New Roman" w:cs="Times New Roman" w:hint="eastAsia"/>
                <w:kern w:val="0"/>
                <w:sz w:val="24"/>
                <w:szCs w:val="24"/>
              </w:rPr>
            </w:pPr>
            <w:r w:rsidRPr="005939FE">
              <w:rPr>
                <w:rFonts w:ascii="Times New Roman" w:eastAsia="等线" w:hAnsi="Times New Roman" w:cs="Times New Roman"/>
                <w:kern w:val="0"/>
                <w:sz w:val="24"/>
                <w:szCs w:val="24"/>
              </w:rPr>
              <w:t>RE</w:t>
            </w:r>
          </w:p>
        </w:tc>
        <w:tc>
          <w:tcPr>
            <w:tcW w:w="936" w:type="dxa"/>
            <w:hideMark/>
          </w:tcPr>
          <w:p w14:paraId="59A68CDB"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FE</w:t>
            </w:r>
          </w:p>
        </w:tc>
        <w:tc>
          <w:tcPr>
            <w:tcW w:w="1029" w:type="dxa"/>
            <w:hideMark/>
          </w:tcPr>
          <w:p w14:paraId="657694BC"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RE</w:t>
            </w:r>
          </w:p>
        </w:tc>
        <w:tc>
          <w:tcPr>
            <w:tcW w:w="1029" w:type="dxa"/>
            <w:hideMark/>
          </w:tcPr>
          <w:p w14:paraId="1134CEB6"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FE</w:t>
            </w:r>
          </w:p>
        </w:tc>
        <w:tc>
          <w:tcPr>
            <w:tcW w:w="1216" w:type="dxa"/>
            <w:hideMark/>
          </w:tcPr>
          <w:p w14:paraId="31EACA80"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RE</w:t>
            </w:r>
          </w:p>
        </w:tc>
        <w:tc>
          <w:tcPr>
            <w:tcW w:w="1403" w:type="dxa"/>
            <w:hideMark/>
          </w:tcPr>
          <w:p w14:paraId="176754B0"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FE</w:t>
            </w:r>
          </w:p>
        </w:tc>
      </w:tr>
      <w:tr w:rsidR="005939FE" w:rsidRPr="005939FE" w14:paraId="3CE863F7" w14:textId="77777777" w:rsidTr="005939FE">
        <w:trPr>
          <w:trHeight w:val="191"/>
        </w:trPr>
        <w:tc>
          <w:tcPr>
            <w:tcW w:w="1452" w:type="dxa"/>
            <w:hideMark/>
          </w:tcPr>
          <w:p w14:paraId="1BF4BBC9" w14:textId="77777777" w:rsidR="005939FE" w:rsidRPr="005939FE" w:rsidRDefault="005939FE" w:rsidP="005939FE">
            <w:pPr>
              <w:autoSpaceDE w:val="0"/>
              <w:autoSpaceDN w:val="0"/>
              <w:adjustRightInd w:val="0"/>
              <w:jc w:val="left"/>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Efr</w:t>
            </w:r>
          </w:p>
        </w:tc>
        <w:tc>
          <w:tcPr>
            <w:tcW w:w="936" w:type="dxa"/>
            <w:hideMark/>
          </w:tcPr>
          <w:p w14:paraId="16D4BCB4"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-0.840***</w:t>
            </w:r>
          </w:p>
        </w:tc>
        <w:tc>
          <w:tcPr>
            <w:tcW w:w="936" w:type="dxa"/>
            <w:hideMark/>
          </w:tcPr>
          <w:p w14:paraId="7A57FF15"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-0.790***</w:t>
            </w:r>
          </w:p>
        </w:tc>
        <w:tc>
          <w:tcPr>
            <w:tcW w:w="1029" w:type="dxa"/>
            <w:hideMark/>
          </w:tcPr>
          <w:p w14:paraId="1CE1C397"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-2.724***</w:t>
            </w:r>
          </w:p>
        </w:tc>
        <w:tc>
          <w:tcPr>
            <w:tcW w:w="1029" w:type="dxa"/>
            <w:hideMark/>
          </w:tcPr>
          <w:p w14:paraId="1C192E2E"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-2.965***</w:t>
            </w:r>
          </w:p>
        </w:tc>
        <w:tc>
          <w:tcPr>
            <w:tcW w:w="1216" w:type="dxa"/>
            <w:hideMark/>
          </w:tcPr>
          <w:p w14:paraId="0D0D68A4"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1,165.420</w:t>
            </w:r>
          </w:p>
        </w:tc>
        <w:tc>
          <w:tcPr>
            <w:tcW w:w="1403" w:type="dxa"/>
            <w:hideMark/>
          </w:tcPr>
          <w:p w14:paraId="56740B75"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741.240**</w:t>
            </w:r>
          </w:p>
        </w:tc>
      </w:tr>
      <w:tr w:rsidR="005939FE" w:rsidRPr="005939FE" w14:paraId="229DA7C5" w14:textId="77777777" w:rsidTr="005939FE">
        <w:trPr>
          <w:trHeight w:val="184"/>
        </w:trPr>
        <w:tc>
          <w:tcPr>
            <w:tcW w:w="1452" w:type="dxa"/>
          </w:tcPr>
          <w:p w14:paraId="3A4FDA1D" w14:textId="77777777" w:rsidR="005939FE" w:rsidRPr="005939FE" w:rsidRDefault="005939FE" w:rsidP="005939FE">
            <w:pPr>
              <w:autoSpaceDE w:val="0"/>
              <w:autoSpaceDN w:val="0"/>
              <w:adjustRightInd w:val="0"/>
              <w:jc w:val="left"/>
              <w:rPr>
                <w:rFonts w:ascii="Times New Roman" w:eastAsia="等线" w:hAnsi="等线" w:cs="Times New Roman"/>
                <w:kern w:val="0"/>
                <w:sz w:val="24"/>
                <w:szCs w:val="24"/>
              </w:rPr>
            </w:pPr>
          </w:p>
        </w:tc>
        <w:tc>
          <w:tcPr>
            <w:tcW w:w="936" w:type="dxa"/>
            <w:hideMark/>
          </w:tcPr>
          <w:p w14:paraId="246F6D25"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(0.089)</w:t>
            </w:r>
          </w:p>
        </w:tc>
        <w:tc>
          <w:tcPr>
            <w:tcW w:w="936" w:type="dxa"/>
            <w:hideMark/>
          </w:tcPr>
          <w:p w14:paraId="61BAD96A"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(0.069)</w:t>
            </w:r>
          </w:p>
        </w:tc>
        <w:tc>
          <w:tcPr>
            <w:tcW w:w="1029" w:type="dxa"/>
            <w:hideMark/>
          </w:tcPr>
          <w:p w14:paraId="5833A175"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(1.018)</w:t>
            </w:r>
          </w:p>
        </w:tc>
        <w:tc>
          <w:tcPr>
            <w:tcW w:w="1029" w:type="dxa"/>
            <w:hideMark/>
          </w:tcPr>
          <w:p w14:paraId="4FC5D933"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(0.600)</w:t>
            </w:r>
          </w:p>
        </w:tc>
        <w:tc>
          <w:tcPr>
            <w:tcW w:w="1216" w:type="dxa"/>
            <w:hideMark/>
          </w:tcPr>
          <w:p w14:paraId="742A4F3E"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(1,251.170)</w:t>
            </w:r>
          </w:p>
        </w:tc>
        <w:tc>
          <w:tcPr>
            <w:tcW w:w="1403" w:type="dxa"/>
            <w:hideMark/>
          </w:tcPr>
          <w:p w14:paraId="162EF5F0"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(329.167)</w:t>
            </w:r>
          </w:p>
        </w:tc>
      </w:tr>
      <w:tr w:rsidR="005939FE" w:rsidRPr="005939FE" w14:paraId="1092CD0F" w14:textId="77777777" w:rsidTr="005939FE">
        <w:trPr>
          <w:trHeight w:val="184"/>
        </w:trPr>
        <w:tc>
          <w:tcPr>
            <w:tcW w:w="1452" w:type="dxa"/>
            <w:hideMark/>
          </w:tcPr>
          <w:p w14:paraId="1539F128" w14:textId="77777777" w:rsidR="005939FE" w:rsidRPr="005939FE" w:rsidRDefault="005939FE" w:rsidP="005939FE">
            <w:pPr>
              <w:autoSpaceDE w:val="0"/>
              <w:autoSpaceDN w:val="0"/>
              <w:adjustRightInd w:val="0"/>
              <w:jc w:val="left"/>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Cfr</w:t>
            </w:r>
          </w:p>
        </w:tc>
        <w:tc>
          <w:tcPr>
            <w:tcW w:w="936" w:type="dxa"/>
            <w:hideMark/>
          </w:tcPr>
          <w:p w14:paraId="6AE55509"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-0.209***</w:t>
            </w:r>
          </w:p>
        </w:tc>
        <w:tc>
          <w:tcPr>
            <w:tcW w:w="936" w:type="dxa"/>
            <w:hideMark/>
          </w:tcPr>
          <w:p w14:paraId="7AFC1B60"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-0.230***</w:t>
            </w:r>
          </w:p>
        </w:tc>
        <w:tc>
          <w:tcPr>
            <w:tcW w:w="1029" w:type="dxa"/>
            <w:hideMark/>
          </w:tcPr>
          <w:p w14:paraId="34B31B4D"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0.077</w:t>
            </w:r>
          </w:p>
        </w:tc>
        <w:tc>
          <w:tcPr>
            <w:tcW w:w="1029" w:type="dxa"/>
            <w:hideMark/>
          </w:tcPr>
          <w:p w14:paraId="562B2254"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-0.160</w:t>
            </w:r>
          </w:p>
        </w:tc>
        <w:tc>
          <w:tcPr>
            <w:tcW w:w="1216" w:type="dxa"/>
            <w:hideMark/>
          </w:tcPr>
          <w:p w14:paraId="4FD0C3AF"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255.185</w:t>
            </w:r>
          </w:p>
        </w:tc>
        <w:tc>
          <w:tcPr>
            <w:tcW w:w="1403" w:type="dxa"/>
            <w:hideMark/>
          </w:tcPr>
          <w:p w14:paraId="16F0023E"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318.389</w:t>
            </w:r>
          </w:p>
        </w:tc>
      </w:tr>
      <w:tr w:rsidR="005939FE" w:rsidRPr="005939FE" w14:paraId="4F82EA94" w14:textId="77777777" w:rsidTr="005939FE">
        <w:trPr>
          <w:trHeight w:val="184"/>
        </w:trPr>
        <w:tc>
          <w:tcPr>
            <w:tcW w:w="1452" w:type="dxa"/>
          </w:tcPr>
          <w:p w14:paraId="6AD16554" w14:textId="77777777" w:rsidR="005939FE" w:rsidRPr="005939FE" w:rsidRDefault="005939FE" w:rsidP="005939FE">
            <w:pPr>
              <w:autoSpaceDE w:val="0"/>
              <w:autoSpaceDN w:val="0"/>
              <w:adjustRightInd w:val="0"/>
              <w:jc w:val="left"/>
              <w:rPr>
                <w:rFonts w:ascii="Times New Roman" w:eastAsia="等线" w:hAnsi="等线" w:cs="Times New Roman"/>
                <w:kern w:val="0"/>
                <w:sz w:val="24"/>
                <w:szCs w:val="24"/>
              </w:rPr>
            </w:pPr>
          </w:p>
        </w:tc>
        <w:tc>
          <w:tcPr>
            <w:tcW w:w="936" w:type="dxa"/>
            <w:hideMark/>
          </w:tcPr>
          <w:p w14:paraId="7E294026"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(0.025)</w:t>
            </w:r>
          </w:p>
        </w:tc>
        <w:tc>
          <w:tcPr>
            <w:tcW w:w="936" w:type="dxa"/>
            <w:hideMark/>
          </w:tcPr>
          <w:p w14:paraId="0F8EDCBB"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(0.024)</w:t>
            </w:r>
          </w:p>
        </w:tc>
        <w:tc>
          <w:tcPr>
            <w:tcW w:w="1029" w:type="dxa"/>
            <w:hideMark/>
          </w:tcPr>
          <w:p w14:paraId="76B6AD33"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(0.280)</w:t>
            </w:r>
          </w:p>
        </w:tc>
        <w:tc>
          <w:tcPr>
            <w:tcW w:w="1029" w:type="dxa"/>
            <w:hideMark/>
          </w:tcPr>
          <w:p w14:paraId="591F715E"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(0.258)</w:t>
            </w:r>
          </w:p>
        </w:tc>
        <w:tc>
          <w:tcPr>
            <w:tcW w:w="1216" w:type="dxa"/>
            <w:hideMark/>
          </w:tcPr>
          <w:p w14:paraId="264CF619"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(341.419)</w:t>
            </w:r>
          </w:p>
        </w:tc>
        <w:tc>
          <w:tcPr>
            <w:tcW w:w="1403" w:type="dxa"/>
            <w:hideMark/>
          </w:tcPr>
          <w:p w14:paraId="7189D37A"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(241.864)</w:t>
            </w:r>
          </w:p>
        </w:tc>
      </w:tr>
      <w:tr w:rsidR="005939FE" w:rsidRPr="005939FE" w14:paraId="72C7865E" w14:textId="77777777" w:rsidTr="005939FE">
        <w:trPr>
          <w:trHeight w:val="175"/>
        </w:trPr>
        <w:tc>
          <w:tcPr>
            <w:tcW w:w="1452" w:type="dxa"/>
            <w:hideMark/>
          </w:tcPr>
          <w:p w14:paraId="6C6E01F6" w14:textId="77777777" w:rsidR="005939FE" w:rsidRPr="005939FE" w:rsidRDefault="005939FE" w:rsidP="005939FE">
            <w:pPr>
              <w:autoSpaceDE w:val="0"/>
              <w:autoSpaceDN w:val="0"/>
              <w:adjustRightInd w:val="0"/>
              <w:jc w:val="left"/>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Edfr</w:t>
            </w:r>
          </w:p>
        </w:tc>
        <w:tc>
          <w:tcPr>
            <w:tcW w:w="936" w:type="dxa"/>
            <w:hideMark/>
          </w:tcPr>
          <w:p w14:paraId="534E1E2C"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-1.035***</w:t>
            </w:r>
          </w:p>
        </w:tc>
        <w:tc>
          <w:tcPr>
            <w:tcW w:w="936" w:type="dxa"/>
            <w:hideMark/>
          </w:tcPr>
          <w:p w14:paraId="76E855B9"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-0.997***</w:t>
            </w:r>
          </w:p>
        </w:tc>
        <w:tc>
          <w:tcPr>
            <w:tcW w:w="1029" w:type="dxa"/>
            <w:hideMark/>
          </w:tcPr>
          <w:p w14:paraId="4A2D8EF2"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-3.764***</w:t>
            </w:r>
          </w:p>
        </w:tc>
        <w:tc>
          <w:tcPr>
            <w:tcW w:w="1029" w:type="dxa"/>
            <w:hideMark/>
          </w:tcPr>
          <w:p w14:paraId="50D1B3C1"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-4.625***</w:t>
            </w:r>
          </w:p>
        </w:tc>
        <w:tc>
          <w:tcPr>
            <w:tcW w:w="1216" w:type="dxa"/>
            <w:hideMark/>
          </w:tcPr>
          <w:p w14:paraId="17E9C4CA"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817.633</w:t>
            </w:r>
          </w:p>
        </w:tc>
        <w:tc>
          <w:tcPr>
            <w:tcW w:w="1403" w:type="dxa"/>
            <w:hideMark/>
          </w:tcPr>
          <w:p w14:paraId="7E2F2C68"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227.127</w:t>
            </w:r>
          </w:p>
        </w:tc>
      </w:tr>
      <w:tr w:rsidR="005939FE" w:rsidRPr="005939FE" w14:paraId="489222B1" w14:textId="77777777" w:rsidTr="005939FE">
        <w:trPr>
          <w:trHeight w:val="184"/>
        </w:trPr>
        <w:tc>
          <w:tcPr>
            <w:tcW w:w="1452" w:type="dxa"/>
          </w:tcPr>
          <w:p w14:paraId="6B7AB643" w14:textId="77777777" w:rsidR="005939FE" w:rsidRPr="005939FE" w:rsidRDefault="005939FE" w:rsidP="005939FE">
            <w:pPr>
              <w:autoSpaceDE w:val="0"/>
              <w:autoSpaceDN w:val="0"/>
              <w:adjustRightInd w:val="0"/>
              <w:jc w:val="left"/>
              <w:rPr>
                <w:rFonts w:ascii="Times New Roman" w:eastAsia="等线" w:hAnsi="等线" w:cs="Times New Roman"/>
                <w:kern w:val="0"/>
                <w:sz w:val="24"/>
                <w:szCs w:val="24"/>
              </w:rPr>
            </w:pPr>
          </w:p>
        </w:tc>
        <w:tc>
          <w:tcPr>
            <w:tcW w:w="936" w:type="dxa"/>
            <w:hideMark/>
          </w:tcPr>
          <w:p w14:paraId="5DAF1AC1"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(0.117)</w:t>
            </w:r>
          </w:p>
        </w:tc>
        <w:tc>
          <w:tcPr>
            <w:tcW w:w="936" w:type="dxa"/>
            <w:hideMark/>
          </w:tcPr>
          <w:p w14:paraId="21A2460A"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(0.096)</w:t>
            </w:r>
          </w:p>
        </w:tc>
        <w:tc>
          <w:tcPr>
            <w:tcW w:w="1029" w:type="dxa"/>
            <w:hideMark/>
          </w:tcPr>
          <w:p w14:paraId="6965C4FF"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(1.339)</w:t>
            </w:r>
          </w:p>
        </w:tc>
        <w:tc>
          <w:tcPr>
            <w:tcW w:w="1029" w:type="dxa"/>
            <w:hideMark/>
          </w:tcPr>
          <w:p w14:paraId="004362E7"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(0.850)</w:t>
            </w:r>
          </w:p>
        </w:tc>
        <w:tc>
          <w:tcPr>
            <w:tcW w:w="1216" w:type="dxa"/>
            <w:hideMark/>
          </w:tcPr>
          <w:p w14:paraId="3435D97D"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(1,682.506)</w:t>
            </w:r>
          </w:p>
        </w:tc>
        <w:tc>
          <w:tcPr>
            <w:tcW w:w="1403" w:type="dxa"/>
            <w:hideMark/>
          </w:tcPr>
          <w:p w14:paraId="10E55247"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(473.079)</w:t>
            </w:r>
          </w:p>
        </w:tc>
      </w:tr>
      <w:tr w:rsidR="005939FE" w:rsidRPr="005939FE" w14:paraId="072C60DF" w14:textId="77777777" w:rsidTr="005939FE">
        <w:trPr>
          <w:trHeight w:val="184"/>
        </w:trPr>
        <w:tc>
          <w:tcPr>
            <w:tcW w:w="1452" w:type="dxa"/>
            <w:hideMark/>
          </w:tcPr>
          <w:p w14:paraId="2949C348" w14:textId="77777777" w:rsidR="005939FE" w:rsidRPr="005939FE" w:rsidRDefault="005939FE" w:rsidP="005939FE">
            <w:pPr>
              <w:autoSpaceDE w:val="0"/>
              <w:autoSpaceDN w:val="0"/>
              <w:adjustRightInd w:val="0"/>
              <w:jc w:val="left"/>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Ffr</w:t>
            </w:r>
          </w:p>
        </w:tc>
        <w:tc>
          <w:tcPr>
            <w:tcW w:w="936" w:type="dxa"/>
            <w:hideMark/>
          </w:tcPr>
          <w:p w14:paraId="0DD578FA"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0.053</w:t>
            </w:r>
          </w:p>
        </w:tc>
        <w:tc>
          <w:tcPr>
            <w:tcW w:w="936" w:type="dxa"/>
            <w:hideMark/>
          </w:tcPr>
          <w:p w14:paraId="518EBDCD"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0.032</w:t>
            </w:r>
          </w:p>
        </w:tc>
        <w:tc>
          <w:tcPr>
            <w:tcW w:w="1029" w:type="dxa"/>
            <w:hideMark/>
          </w:tcPr>
          <w:p w14:paraId="6C14370A"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-0.440</w:t>
            </w:r>
          </w:p>
        </w:tc>
        <w:tc>
          <w:tcPr>
            <w:tcW w:w="1029" w:type="dxa"/>
            <w:hideMark/>
          </w:tcPr>
          <w:p w14:paraId="5E90651B"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-1.622</w:t>
            </w:r>
          </w:p>
        </w:tc>
        <w:tc>
          <w:tcPr>
            <w:tcW w:w="1216" w:type="dxa"/>
            <w:hideMark/>
          </w:tcPr>
          <w:p w14:paraId="64839AFE"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8,771.568***</w:t>
            </w:r>
          </w:p>
        </w:tc>
        <w:tc>
          <w:tcPr>
            <w:tcW w:w="1403" w:type="dxa"/>
            <w:hideMark/>
          </w:tcPr>
          <w:p w14:paraId="27DDE87A"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5,273.315***</w:t>
            </w:r>
          </w:p>
        </w:tc>
      </w:tr>
      <w:tr w:rsidR="005939FE" w:rsidRPr="005939FE" w14:paraId="001A217C" w14:textId="77777777" w:rsidTr="005939FE">
        <w:trPr>
          <w:trHeight w:val="184"/>
        </w:trPr>
        <w:tc>
          <w:tcPr>
            <w:tcW w:w="1452" w:type="dxa"/>
          </w:tcPr>
          <w:p w14:paraId="4C8D089A" w14:textId="77777777" w:rsidR="005939FE" w:rsidRPr="005939FE" w:rsidRDefault="005939FE" w:rsidP="005939FE">
            <w:pPr>
              <w:autoSpaceDE w:val="0"/>
              <w:autoSpaceDN w:val="0"/>
              <w:adjustRightInd w:val="0"/>
              <w:jc w:val="left"/>
              <w:rPr>
                <w:rFonts w:ascii="Times New Roman" w:eastAsia="等线" w:hAnsi="等线" w:cs="Times New Roman"/>
                <w:kern w:val="0"/>
                <w:sz w:val="24"/>
                <w:szCs w:val="24"/>
              </w:rPr>
            </w:pPr>
          </w:p>
        </w:tc>
        <w:tc>
          <w:tcPr>
            <w:tcW w:w="936" w:type="dxa"/>
            <w:hideMark/>
          </w:tcPr>
          <w:p w14:paraId="598FE19F"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(0.185)</w:t>
            </w:r>
          </w:p>
        </w:tc>
        <w:tc>
          <w:tcPr>
            <w:tcW w:w="936" w:type="dxa"/>
            <w:hideMark/>
          </w:tcPr>
          <w:p w14:paraId="7FCF7D41"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(0.172)</w:t>
            </w:r>
          </w:p>
        </w:tc>
        <w:tc>
          <w:tcPr>
            <w:tcW w:w="1029" w:type="dxa"/>
            <w:hideMark/>
          </w:tcPr>
          <w:p w14:paraId="5605276A"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(2.108)</w:t>
            </w:r>
          </w:p>
        </w:tc>
        <w:tc>
          <w:tcPr>
            <w:tcW w:w="1029" w:type="dxa"/>
            <w:hideMark/>
          </w:tcPr>
          <w:p w14:paraId="1EC5F0A4"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(1.732)</w:t>
            </w:r>
          </w:p>
        </w:tc>
        <w:tc>
          <w:tcPr>
            <w:tcW w:w="1216" w:type="dxa"/>
            <w:hideMark/>
          </w:tcPr>
          <w:p w14:paraId="2AAD82F8"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(2,571.138)</w:t>
            </w:r>
          </w:p>
        </w:tc>
        <w:tc>
          <w:tcPr>
            <w:tcW w:w="1403" w:type="dxa"/>
            <w:hideMark/>
          </w:tcPr>
          <w:p w14:paraId="5D863132"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(1,110.829)</w:t>
            </w:r>
          </w:p>
        </w:tc>
      </w:tr>
      <w:tr w:rsidR="005939FE" w:rsidRPr="005939FE" w14:paraId="789170A3" w14:textId="77777777" w:rsidTr="005939FE">
        <w:trPr>
          <w:trHeight w:val="184"/>
        </w:trPr>
        <w:tc>
          <w:tcPr>
            <w:tcW w:w="1452" w:type="dxa"/>
            <w:hideMark/>
          </w:tcPr>
          <w:p w14:paraId="05834F1E" w14:textId="77777777" w:rsidR="005939FE" w:rsidRPr="005939FE" w:rsidRDefault="005939FE" w:rsidP="005939FE">
            <w:pPr>
              <w:autoSpaceDE w:val="0"/>
              <w:autoSpaceDN w:val="0"/>
              <w:adjustRightInd w:val="0"/>
              <w:jc w:val="left"/>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Dfr</w:t>
            </w:r>
          </w:p>
        </w:tc>
        <w:tc>
          <w:tcPr>
            <w:tcW w:w="936" w:type="dxa"/>
            <w:hideMark/>
          </w:tcPr>
          <w:p w14:paraId="197EE6CD"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0.287***</w:t>
            </w:r>
          </w:p>
        </w:tc>
        <w:tc>
          <w:tcPr>
            <w:tcW w:w="936" w:type="dxa"/>
            <w:hideMark/>
          </w:tcPr>
          <w:p w14:paraId="34691176"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0.327***</w:t>
            </w:r>
          </w:p>
        </w:tc>
        <w:tc>
          <w:tcPr>
            <w:tcW w:w="1029" w:type="dxa"/>
            <w:hideMark/>
          </w:tcPr>
          <w:p w14:paraId="3DCFBE5C"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2.061**</w:t>
            </w:r>
          </w:p>
        </w:tc>
        <w:tc>
          <w:tcPr>
            <w:tcW w:w="1029" w:type="dxa"/>
            <w:hideMark/>
          </w:tcPr>
          <w:p w14:paraId="65C6B37D"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2.070***</w:t>
            </w:r>
          </w:p>
        </w:tc>
        <w:tc>
          <w:tcPr>
            <w:tcW w:w="1216" w:type="dxa"/>
            <w:hideMark/>
          </w:tcPr>
          <w:p w14:paraId="12E09F53"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-2,197.845</w:t>
            </w:r>
            <w:r w:rsidRPr="005939FE">
              <w:rPr>
                <w:rFonts w:ascii="Times New Roman" w:eastAsia="等线" w:hAnsi="Times New Roman" w:cs="Times New Roman"/>
                <w:kern w:val="0"/>
                <w:sz w:val="24"/>
                <w:szCs w:val="24"/>
              </w:rPr>
              <w:lastRenderedPageBreak/>
              <w:t>**</w:t>
            </w:r>
          </w:p>
        </w:tc>
        <w:tc>
          <w:tcPr>
            <w:tcW w:w="1403" w:type="dxa"/>
            <w:hideMark/>
          </w:tcPr>
          <w:p w14:paraId="4E4CEF9E"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lastRenderedPageBreak/>
              <w:t>38.604</w:t>
            </w:r>
          </w:p>
        </w:tc>
      </w:tr>
      <w:tr w:rsidR="005939FE" w:rsidRPr="005939FE" w14:paraId="5FC86566" w14:textId="77777777" w:rsidTr="005939FE">
        <w:trPr>
          <w:trHeight w:val="184"/>
        </w:trPr>
        <w:tc>
          <w:tcPr>
            <w:tcW w:w="1452" w:type="dxa"/>
          </w:tcPr>
          <w:p w14:paraId="7E9B2129" w14:textId="77777777" w:rsidR="005939FE" w:rsidRPr="005939FE" w:rsidRDefault="005939FE" w:rsidP="005939FE">
            <w:pPr>
              <w:autoSpaceDE w:val="0"/>
              <w:autoSpaceDN w:val="0"/>
              <w:adjustRightInd w:val="0"/>
              <w:jc w:val="left"/>
              <w:rPr>
                <w:rFonts w:ascii="Times New Roman" w:eastAsia="等线" w:hAnsi="等线" w:cs="Times New Roman"/>
                <w:kern w:val="0"/>
                <w:sz w:val="24"/>
                <w:szCs w:val="24"/>
              </w:rPr>
            </w:pPr>
          </w:p>
        </w:tc>
        <w:tc>
          <w:tcPr>
            <w:tcW w:w="936" w:type="dxa"/>
            <w:hideMark/>
          </w:tcPr>
          <w:p w14:paraId="20541D27"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(0.071)</w:t>
            </w:r>
          </w:p>
        </w:tc>
        <w:tc>
          <w:tcPr>
            <w:tcW w:w="936" w:type="dxa"/>
            <w:hideMark/>
          </w:tcPr>
          <w:p w14:paraId="55EF335D"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(0.069)</w:t>
            </w:r>
          </w:p>
        </w:tc>
        <w:tc>
          <w:tcPr>
            <w:tcW w:w="1029" w:type="dxa"/>
            <w:hideMark/>
          </w:tcPr>
          <w:p w14:paraId="54925A97"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(0.810)</w:t>
            </w:r>
          </w:p>
        </w:tc>
        <w:tc>
          <w:tcPr>
            <w:tcW w:w="1029" w:type="dxa"/>
            <w:hideMark/>
          </w:tcPr>
          <w:p w14:paraId="0DAA2A9A"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(0.734)</w:t>
            </w:r>
          </w:p>
        </w:tc>
        <w:tc>
          <w:tcPr>
            <w:tcW w:w="1216" w:type="dxa"/>
            <w:hideMark/>
          </w:tcPr>
          <w:p w14:paraId="5430FDF5"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(1,043.606)</w:t>
            </w:r>
          </w:p>
        </w:tc>
        <w:tc>
          <w:tcPr>
            <w:tcW w:w="1403" w:type="dxa"/>
            <w:hideMark/>
          </w:tcPr>
          <w:p w14:paraId="768B79B1"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(620.466)</w:t>
            </w:r>
          </w:p>
        </w:tc>
      </w:tr>
      <w:tr w:rsidR="005939FE" w:rsidRPr="005939FE" w14:paraId="4F217A31" w14:textId="77777777" w:rsidTr="005939FE">
        <w:trPr>
          <w:trHeight w:val="184"/>
        </w:trPr>
        <w:tc>
          <w:tcPr>
            <w:tcW w:w="1452" w:type="dxa"/>
            <w:hideMark/>
          </w:tcPr>
          <w:p w14:paraId="25E6DBB0" w14:textId="77777777" w:rsidR="005939FE" w:rsidRPr="005939FE" w:rsidRDefault="005939FE" w:rsidP="005939FE">
            <w:pPr>
              <w:autoSpaceDE w:val="0"/>
              <w:autoSpaceDN w:val="0"/>
              <w:adjustRightInd w:val="0"/>
              <w:jc w:val="left"/>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Constant</w:t>
            </w:r>
          </w:p>
        </w:tc>
        <w:tc>
          <w:tcPr>
            <w:tcW w:w="936" w:type="dxa"/>
            <w:hideMark/>
          </w:tcPr>
          <w:p w14:paraId="2486BC6A"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85.242***</w:t>
            </w:r>
          </w:p>
        </w:tc>
        <w:tc>
          <w:tcPr>
            <w:tcW w:w="936" w:type="dxa"/>
            <w:hideMark/>
          </w:tcPr>
          <w:p w14:paraId="5FF7014D"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84.103***</w:t>
            </w:r>
          </w:p>
        </w:tc>
        <w:tc>
          <w:tcPr>
            <w:tcW w:w="1029" w:type="dxa"/>
            <w:hideMark/>
          </w:tcPr>
          <w:p w14:paraId="21F9DC2A"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156.596***</w:t>
            </w:r>
          </w:p>
        </w:tc>
        <w:tc>
          <w:tcPr>
            <w:tcW w:w="1029" w:type="dxa"/>
            <w:hideMark/>
          </w:tcPr>
          <w:p w14:paraId="097FEE09"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178.212***</w:t>
            </w:r>
          </w:p>
        </w:tc>
        <w:tc>
          <w:tcPr>
            <w:tcW w:w="1216" w:type="dxa"/>
            <w:hideMark/>
          </w:tcPr>
          <w:p w14:paraId="0BDB7A48"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-37,587.143*</w:t>
            </w:r>
          </w:p>
        </w:tc>
        <w:tc>
          <w:tcPr>
            <w:tcW w:w="1403" w:type="dxa"/>
            <w:hideMark/>
          </w:tcPr>
          <w:p w14:paraId="7DEED9AB"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-31,953.359***</w:t>
            </w:r>
          </w:p>
        </w:tc>
      </w:tr>
      <w:tr w:rsidR="005939FE" w:rsidRPr="005939FE" w14:paraId="61CB5885" w14:textId="77777777" w:rsidTr="005939FE">
        <w:trPr>
          <w:trHeight w:val="184"/>
        </w:trPr>
        <w:tc>
          <w:tcPr>
            <w:tcW w:w="1452" w:type="dxa"/>
          </w:tcPr>
          <w:p w14:paraId="52599A6B" w14:textId="77777777" w:rsidR="005939FE" w:rsidRPr="005939FE" w:rsidRDefault="005939FE" w:rsidP="005939FE">
            <w:pPr>
              <w:autoSpaceDE w:val="0"/>
              <w:autoSpaceDN w:val="0"/>
              <w:adjustRightInd w:val="0"/>
              <w:jc w:val="left"/>
              <w:rPr>
                <w:rFonts w:ascii="Times New Roman" w:eastAsia="等线" w:hAnsi="等线" w:cs="Times New Roman"/>
                <w:kern w:val="0"/>
                <w:sz w:val="24"/>
                <w:szCs w:val="24"/>
              </w:rPr>
            </w:pPr>
          </w:p>
        </w:tc>
        <w:tc>
          <w:tcPr>
            <w:tcW w:w="936" w:type="dxa"/>
            <w:hideMark/>
          </w:tcPr>
          <w:p w14:paraId="5285D4EF"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(1.533)</w:t>
            </w:r>
          </w:p>
        </w:tc>
        <w:tc>
          <w:tcPr>
            <w:tcW w:w="936" w:type="dxa"/>
            <w:hideMark/>
          </w:tcPr>
          <w:p w14:paraId="7346BB66"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(1.745)</w:t>
            </w:r>
          </w:p>
        </w:tc>
        <w:tc>
          <w:tcPr>
            <w:tcW w:w="1029" w:type="dxa"/>
            <w:hideMark/>
          </w:tcPr>
          <w:p w14:paraId="7B902B71"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(17.491)</w:t>
            </w:r>
          </w:p>
        </w:tc>
        <w:tc>
          <w:tcPr>
            <w:tcW w:w="1029" w:type="dxa"/>
            <w:hideMark/>
          </w:tcPr>
          <w:p w14:paraId="64DF83C3"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(15.217)</w:t>
            </w:r>
          </w:p>
        </w:tc>
        <w:tc>
          <w:tcPr>
            <w:tcW w:w="1216" w:type="dxa"/>
            <w:hideMark/>
          </w:tcPr>
          <w:p w14:paraId="6DCEB777"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(21,180.732)</w:t>
            </w:r>
          </w:p>
        </w:tc>
        <w:tc>
          <w:tcPr>
            <w:tcW w:w="1403" w:type="dxa"/>
            <w:hideMark/>
          </w:tcPr>
          <w:p w14:paraId="2E613217"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(10,517.686)</w:t>
            </w:r>
          </w:p>
        </w:tc>
      </w:tr>
      <w:tr w:rsidR="005939FE" w:rsidRPr="005939FE" w14:paraId="31C6436A" w14:textId="77777777" w:rsidTr="005939FE">
        <w:trPr>
          <w:trHeight w:val="368"/>
        </w:trPr>
        <w:tc>
          <w:tcPr>
            <w:tcW w:w="1452" w:type="dxa"/>
            <w:hideMark/>
          </w:tcPr>
          <w:p w14:paraId="510FE10C" w14:textId="77777777" w:rsidR="005939FE" w:rsidRPr="005939FE" w:rsidRDefault="005939FE" w:rsidP="005939FE">
            <w:pPr>
              <w:autoSpaceDE w:val="0"/>
              <w:autoSpaceDN w:val="0"/>
              <w:adjustRightInd w:val="0"/>
              <w:jc w:val="left"/>
              <w:rPr>
                <w:rFonts w:ascii="Times New Roman" w:eastAsia="等线" w:hAnsi="等线" w:cs="Times New Roman"/>
                <w:kern w:val="0"/>
                <w:sz w:val="24"/>
                <w:szCs w:val="24"/>
              </w:rPr>
            </w:pPr>
            <w:r w:rsidRPr="005939FE">
              <w:rPr>
                <w:rFonts w:ascii="Times New Roman" w:eastAsia="等线" w:hAnsi="Times New Roman" w:cs="Times New Roman"/>
                <w:kern w:val="0"/>
                <w:sz w:val="24"/>
                <w:szCs w:val="24"/>
              </w:rPr>
              <w:t>Hausman</w:t>
            </w:r>
          </w:p>
          <w:p w14:paraId="6939776D" w14:textId="77777777" w:rsidR="005939FE" w:rsidRPr="005939FE" w:rsidRDefault="005939FE" w:rsidP="005939FE">
            <w:pPr>
              <w:autoSpaceDE w:val="0"/>
              <w:autoSpaceDN w:val="0"/>
              <w:adjustRightInd w:val="0"/>
              <w:jc w:val="left"/>
              <w:rPr>
                <w:rFonts w:ascii="Times New Roman" w:eastAsia="等线" w:hAnsi="等线" w:cs="Times New Roman"/>
                <w:kern w:val="0"/>
                <w:sz w:val="24"/>
                <w:szCs w:val="24"/>
              </w:rPr>
            </w:pPr>
            <w:r w:rsidRPr="005939FE">
              <w:rPr>
                <w:rFonts w:ascii="Times New Roman" w:eastAsia="等线" w:hAnsi="Times New Roman" w:cs="Times New Roman"/>
                <w:kern w:val="0"/>
                <w:sz w:val="24"/>
                <w:szCs w:val="24"/>
              </w:rPr>
              <w:t>p-value</w:t>
            </w:r>
          </w:p>
        </w:tc>
        <w:tc>
          <w:tcPr>
            <w:tcW w:w="936" w:type="dxa"/>
          </w:tcPr>
          <w:p w14:paraId="5CA78A48" w14:textId="77777777" w:rsidR="005939FE" w:rsidRPr="005939FE" w:rsidRDefault="005939FE" w:rsidP="005939FE">
            <w:pPr>
              <w:autoSpaceDE w:val="0"/>
              <w:autoSpaceDN w:val="0"/>
              <w:adjustRightInd w:val="0"/>
              <w:jc w:val="center"/>
              <w:rPr>
                <w:rFonts w:ascii="Times New Roman" w:eastAsia="等线" w:hAnsi="等线" w:cs="Times New Roman"/>
                <w:kern w:val="0"/>
                <w:sz w:val="24"/>
                <w:szCs w:val="24"/>
              </w:rPr>
            </w:pPr>
          </w:p>
        </w:tc>
        <w:tc>
          <w:tcPr>
            <w:tcW w:w="936" w:type="dxa"/>
            <w:hideMark/>
          </w:tcPr>
          <w:p w14:paraId="2270C566" w14:textId="77777777" w:rsidR="005939FE" w:rsidRPr="005939FE" w:rsidRDefault="005939FE" w:rsidP="005939FE">
            <w:pPr>
              <w:autoSpaceDE w:val="0"/>
              <w:autoSpaceDN w:val="0"/>
              <w:adjustRightInd w:val="0"/>
              <w:jc w:val="center"/>
              <w:rPr>
                <w:rFonts w:ascii="Times New Roman" w:eastAsia="等线" w:hAnsi="等线" w:cs="Times New Roman"/>
                <w:kern w:val="0"/>
                <w:sz w:val="24"/>
                <w:szCs w:val="24"/>
              </w:rPr>
            </w:pPr>
            <w:r w:rsidRPr="005939FE">
              <w:rPr>
                <w:rFonts w:ascii="Times New Roman" w:eastAsia="等线" w:hAnsi="Times New Roman" w:cs="Times New Roman"/>
                <w:kern w:val="0"/>
                <w:sz w:val="24"/>
                <w:szCs w:val="24"/>
              </w:rPr>
              <w:t>17.21</w:t>
            </w:r>
          </w:p>
          <w:p w14:paraId="5B519A58"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等线" w:cs="Times New Roman"/>
                <w:kern w:val="0"/>
                <w:sz w:val="24"/>
                <w:szCs w:val="24"/>
              </w:rPr>
              <w:t>0</w:t>
            </w:r>
            <w:r w:rsidRPr="005939FE">
              <w:rPr>
                <w:rFonts w:ascii="Times New Roman" w:eastAsia="等线" w:hAnsi="Times New Roman" w:cs="Times New Roman"/>
                <w:kern w:val="0"/>
                <w:sz w:val="24"/>
                <w:szCs w:val="24"/>
              </w:rPr>
              <w:t>.0041</w:t>
            </w:r>
          </w:p>
        </w:tc>
        <w:tc>
          <w:tcPr>
            <w:tcW w:w="1029" w:type="dxa"/>
          </w:tcPr>
          <w:p w14:paraId="649AF5F6" w14:textId="77777777" w:rsidR="005939FE" w:rsidRPr="005939FE" w:rsidRDefault="005939FE" w:rsidP="005939FE">
            <w:pPr>
              <w:autoSpaceDE w:val="0"/>
              <w:autoSpaceDN w:val="0"/>
              <w:adjustRightInd w:val="0"/>
              <w:jc w:val="center"/>
              <w:rPr>
                <w:rFonts w:ascii="Times New Roman" w:eastAsia="等线" w:hAnsi="等线" w:cs="Times New Roman"/>
                <w:kern w:val="0"/>
                <w:sz w:val="24"/>
                <w:szCs w:val="24"/>
              </w:rPr>
            </w:pPr>
          </w:p>
        </w:tc>
        <w:tc>
          <w:tcPr>
            <w:tcW w:w="1029" w:type="dxa"/>
            <w:hideMark/>
          </w:tcPr>
          <w:p w14:paraId="27DACFF6" w14:textId="77777777" w:rsidR="005939FE" w:rsidRPr="005939FE" w:rsidRDefault="005939FE" w:rsidP="005939FE">
            <w:pPr>
              <w:autoSpaceDE w:val="0"/>
              <w:autoSpaceDN w:val="0"/>
              <w:adjustRightInd w:val="0"/>
              <w:jc w:val="center"/>
              <w:rPr>
                <w:rFonts w:ascii="Times New Roman" w:eastAsia="等线" w:hAnsi="等线" w:cs="Times New Roman"/>
                <w:kern w:val="0"/>
                <w:sz w:val="24"/>
                <w:szCs w:val="24"/>
              </w:rPr>
            </w:pPr>
            <w:r w:rsidRPr="005939FE">
              <w:rPr>
                <w:rFonts w:ascii="Times New Roman" w:eastAsia="等线" w:hAnsi="Times New Roman" w:cs="Times New Roman"/>
                <w:kern w:val="0"/>
                <w:sz w:val="24"/>
                <w:szCs w:val="24"/>
              </w:rPr>
              <w:t>15.27</w:t>
            </w:r>
          </w:p>
          <w:p w14:paraId="1068D1EF"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等线" w:cs="Times New Roman"/>
                <w:kern w:val="0"/>
                <w:sz w:val="24"/>
                <w:szCs w:val="24"/>
              </w:rPr>
              <w:t>0</w:t>
            </w:r>
            <w:r w:rsidRPr="005939FE">
              <w:rPr>
                <w:rFonts w:ascii="Times New Roman" w:eastAsia="等线" w:hAnsi="Times New Roman" w:cs="Times New Roman"/>
                <w:kern w:val="0"/>
                <w:sz w:val="24"/>
                <w:szCs w:val="24"/>
              </w:rPr>
              <w:t>.0093</w:t>
            </w:r>
          </w:p>
        </w:tc>
        <w:tc>
          <w:tcPr>
            <w:tcW w:w="1216" w:type="dxa"/>
          </w:tcPr>
          <w:p w14:paraId="204A6ED4" w14:textId="77777777" w:rsidR="005939FE" w:rsidRPr="005939FE" w:rsidRDefault="005939FE" w:rsidP="005939FE">
            <w:pPr>
              <w:autoSpaceDE w:val="0"/>
              <w:autoSpaceDN w:val="0"/>
              <w:adjustRightInd w:val="0"/>
              <w:jc w:val="center"/>
              <w:rPr>
                <w:rFonts w:ascii="Times New Roman" w:eastAsia="等线" w:hAnsi="等线" w:cs="Times New Roman"/>
                <w:kern w:val="0"/>
                <w:sz w:val="24"/>
                <w:szCs w:val="24"/>
              </w:rPr>
            </w:pPr>
          </w:p>
        </w:tc>
        <w:tc>
          <w:tcPr>
            <w:tcW w:w="1403" w:type="dxa"/>
            <w:hideMark/>
          </w:tcPr>
          <w:p w14:paraId="628A8CE9" w14:textId="77777777" w:rsidR="005939FE" w:rsidRPr="005939FE" w:rsidRDefault="005939FE" w:rsidP="005939FE">
            <w:pPr>
              <w:autoSpaceDE w:val="0"/>
              <w:autoSpaceDN w:val="0"/>
              <w:adjustRightInd w:val="0"/>
              <w:jc w:val="center"/>
              <w:rPr>
                <w:rFonts w:ascii="Times New Roman" w:eastAsia="等线" w:hAnsi="等线" w:cs="Times New Roman"/>
                <w:kern w:val="0"/>
                <w:sz w:val="24"/>
                <w:szCs w:val="24"/>
              </w:rPr>
            </w:pPr>
            <w:r w:rsidRPr="005939FE">
              <w:rPr>
                <w:rFonts w:ascii="Times New Roman" w:eastAsia="等线" w:hAnsi="Times New Roman" w:cs="Times New Roman"/>
                <w:kern w:val="0"/>
                <w:sz w:val="24"/>
                <w:szCs w:val="24"/>
              </w:rPr>
              <w:t>13.81</w:t>
            </w:r>
          </w:p>
          <w:p w14:paraId="784CB4F0"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0.0169</w:t>
            </w:r>
          </w:p>
        </w:tc>
      </w:tr>
      <w:tr w:rsidR="005939FE" w:rsidRPr="005939FE" w14:paraId="519B0BEF" w14:textId="77777777" w:rsidTr="005939FE">
        <w:trPr>
          <w:trHeight w:val="184"/>
        </w:trPr>
        <w:tc>
          <w:tcPr>
            <w:tcW w:w="1452" w:type="dxa"/>
            <w:hideMark/>
          </w:tcPr>
          <w:p w14:paraId="1E150676" w14:textId="77777777" w:rsidR="005939FE" w:rsidRPr="005939FE" w:rsidRDefault="005939FE" w:rsidP="005939FE">
            <w:pPr>
              <w:autoSpaceDE w:val="0"/>
              <w:autoSpaceDN w:val="0"/>
              <w:adjustRightInd w:val="0"/>
              <w:jc w:val="left"/>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Observations</w:t>
            </w:r>
          </w:p>
        </w:tc>
        <w:tc>
          <w:tcPr>
            <w:tcW w:w="936" w:type="dxa"/>
            <w:hideMark/>
          </w:tcPr>
          <w:p w14:paraId="27A5A540"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289</w:t>
            </w:r>
          </w:p>
        </w:tc>
        <w:tc>
          <w:tcPr>
            <w:tcW w:w="936" w:type="dxa"/>
            <w:hideMark/>
          </w:tcPr>
          <w:p w14:paraId="18C14D90"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289</w:t>
            </w:r>
          </w:p>
        </w:tc>
        <w:tc>
          <w:tcPr>
            <w:tcW w:w="1029" w:type="dxa"/>
            <w:hideMark/>
          </w:tcPr>
          <w:p w14:paraId="4AC94176"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289</w:t>
            </w:r>
          </w:p>
        </w:tc>
        <w:tc>
          <w:tcPr>
            <w:tcW w:w="1029" w:type="dxa"/>
            <w:hideMark/>
          </w:tcPr>
          <w:p w14:paraId="25E135E5"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289</w:t>
            </w:r>
          </w:p>
        </w:tc>
        <w:tc>
          <w:tcPr>
            <w:tcW w:w="1216" w:type="dxa"/>
            <w:hideMark/>
          </w:tcPr>
          <w:p w14:paraId="4BDD467E"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285</w:t>
            </w:r>
          </w:p>
        </w:tc>
        <w:tc>
          <w:tcPr>
            <w:tcW w:w="1403" w:type="dxa"/>
            <w:hideMark/>
          </w:tcPr>
          <w:p w14:paraId="02E62160"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285</w:t>
            </w:r>
          </w:p>
        </w:tc>
      </w:tr>
      <w:tr w:rsidR="005939FE" w:rsidRPr="005939FE" w14:paraId="6A71C1A9" w14:textId="77777777" w:rsidTr="005939FE">
        <w:trPr>
          <w:trHeight w:val="184"/>
        </w:trPr>
        <w:tc>
          <w:tcPr>
            <w:tcW w:w="1452" w:type="dxa"/>
            <w:hideMark/>
          </w:tcPr>
          <w:p w14:paraId="4425A22C" w14:textId="77777777" w:rsidR="005939FE" w:rsidRPr="005939FE" w:rsidRDefault="005939FE" w:rsidP="005939FE">
            <w:pPr>
              <w:autoSpaceDE w:val="0"/>
              <w:autoSpaceDN w:val="0"/>
              <w:adjustRightInd w:val="0"/>
              <w:jc w:val="left"/>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R-squared</w:t>
            </w:r>
          </w:p>
        </w:tc>
        <w:tc>
          <w:tcPr>
            <w:tcW w:w="936" w:type="dxa"/>
            <w:hideMark/>
          </w:tcPr>
          <w:p w14:paraId="72CB545D"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0.654</w:t>
            </w:r>
          </w:p>
        </w:tc>
        <w:tc>
          <w:tcPr>
            <w:tcW w:w="936" w:type="dxa"/>
          </w:tcPr>
          <w:p w14:paraId="7D706094"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p>
        </w:tc>
        <w:tc>
          <w:tcPr>
            <w:tcW w:w="1029" w:type="dxa"/>
            <w:hideMark/>
          </w:tcPr>
          <w:p w14:paraId="5B360413"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0.137</w:t>
            </w:r>
          </w:p>
        </w:tc>
        <w:tc>
          <w:tcPr>
            <w:tcW w:w="1029" w:type="dxa"/>
          </w:tcPr>
          <w:p w14:paraId="424745E9"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p>
        </w:tc>
        <w:tc>
          <w:tcPr>
            <w:tcW w:w="1216" w:type="dxa"/>
            <w:hideMark/>
          </w:tcPr>
          <w:p w14:paraId="4351E2E5"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0.104</w:t>
            </w:r>
          </w:p>
        </w:tc>
        <w:tc>
          <w:tcPr>
            <w:tcW w:w="1403" w:type="dxa"/>
          </w:tcPr>
          <w:p w14:paraId="377A5092"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p>
        </w:tc>
      </w:tr>
      <w:tr w:rsidR="005939FE" w:rsidRPr="005939FE" w14:paraId="755FCACB" w14:textId="77777777" w:rsidTr="005939FE">
        <w:trPr>
          <w:trHeight w:val="184"/>
        </w:trPr>
        <w:tc>
          <w:tcPr>
            <w:tcW w:w="1452" w:type="dxa"/>
            <w:hideMark/>
          </w:tcPr>
          <w:p w14:paraId="291F5B52" w14:textId="77777777" w:rsidR="005939FE" w:rsidRPr="005939FE" w:rsidRDefault="005939FE" w:rsidP="005939FE">
            <w:pPr>
              <w:autoSpaceDE w:val="0"/>
              <w:autoSpaceDN w:val="0"/>
              <w:adjustRightInd w:val="0"/>
              <w:jc w:val="left"/>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Number of Corp</w:t>
            </w:r>
          </w:p>
        </w:tc>
        <w:tc>
          <w:tcPr>
            <w:tcW w:w="936" w:type="dxa"/>
            <w:hideMark/>
          </w:tcPr>
          <w:p w14:paraId="32FF13FC"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81</w:t>
            </w:r>
          </w:p>
        </w:tc>
        <w:tc>
          <w:tcPr>
            <w:tcW w:w="936" w:type="dxa"/>
            <w:hideMark/>
          </w:tcPr>
          <w:p w14:paraId="7EAE710D"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81</w:t>
            </w:r>
          </w:p>
        </w:tc>
        <w:tc>
          <w:tcPr>
            <w:tcW w:w="1029" w:type="dxa"/>
            <w:hideMark/>
          </w:tcPr>
          <w:p w14:paraId="0533FD02"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81</w:t>
            </w:r>
          </w:p>
        </w:tc>
        <w:tc>
          <w:tcPr>
            <w:tcW w:w="1029" w:type="dxa"/>
            <w:hideMark/>
          </w:tcPr>
          <w:p w14:paraId="367DDDD0"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81</w:t>
            </w:r>
          </w:p>
        </w:tc>
        <w:tc>
          <w:tcPr>
            <w:tcW w:w="1216" w:type="dxa"/>
            <w:hideMark/>
          </w:tcPr>
          <w:p w14:paraId="15B35539"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81</w:t>
            </w:r>
          </w:p>
        </w:tc>
        <w:tc>
          <w:tcPr>
            <w:tcW w:w="1403" w:type="dxa"/>
            <w:hideMark/>
          </w:tcPr>
          <w:p w14:paraId="1BD92B53" w14:textId="77777777" w:rsidR="005939FE" w:rsidRPr="005939FE" w:rsidRDefault="005939FE" w:rsidP="005939FE">
            <w:pPr>
              <w:autoSpaceDE w:val="0"/>
              <w:autoSpaceDN w:val="0"/>
              <w:adjustRightInd w:val="0"/>
              <w:jc w:val="center"/>
              <w:rPr>
                <w:rFonts w:ascii="Times New Roman" w:eastAsia="等线" w:hAnsi="Times New Roman" w:cs="Times New Roman"/>
                <w:kern w:val="0"/>
                <w:sz w:val="24"/>
                <w:szCs w:val="24"/>
              </w:rPr>
            </w:pPr>
            <w:r w:rsidRPr="005939FE">
              <w:rPr>
                <w:rFonts w:ascii="Times New Roman" w:eastAsia="等线" w:hAnsi="Times New Roman" w:cs="Times New Roman"/>
                <w:kern w:val="0"/>
                <w:sz w:val="24"/>
                <w:szCs w:val="24"/>
              </w:rPr>
              <w:t>81</w:t>
            </w:r>
          </w:p>
        </w:tc>
      </w:tr>
    </w:tbl>
    <w:p w14:paraId="68BA8730" w14:textId="77777777" w:rsidR="005939FE" w:rsidRPr="005939FE" w:rsidRDefault="005939FE" w:rsidP="005939FE">
      <w:pPr>
        <w:spacing w:line="360" w:lineRule="auto"/>
        <w:rPr>
          <w:rFonts w:ascii="等线" w:eastAsia="宋体" w:hAnsi="等线" w:cs="Times New Roman"/>
          <w:sz w:val="24"/>
          <w:szCs w:val="24"/>
        </w:rPr>
      </w:pPr>
      <w:r w:rsidRPr="005939FE">
        <w:rPr>
          <w:rFonts w:ascii="宋体" w:eastAsia="宋体" w:hAnsi="宋体" w:cs="Times New Roman" w:hint="eastAsia"/>
          <w:kern w:val="0"/>
          <w:szCs w:val="21"/>
        </w:rPr>
        <w:t>注：</w:t>
      </w:r>
      <w:r w:rsidRPr="005939FE">
        <w:rPr>
          <w:rFonts w:ascii="Times New Roman" w:eastAsia="宋体" w:hAnsi="Times New Roman" w:cs="Times New Roman"/>
          <w:kern w:val="0"/>
          <w:szCs w:val="21"/>
        </w:rPr>
        <w:t>*** p&lt;0.01</w:t>
      </w:r>
      <w:r w:rsidRPr="005939FE">
        <w:rPr>
          <w:rFonts w:ascii="宋体" w:eastAsia="宋体" w:hAnsi="宋体" w:cs="Times New Roman" w:hint="eastAsia"/>
          <w:kern w:val="0"/>
          <w:szCs w:val="21"/>
        </w:rPr>
        <w:t>表示在</w:t>
      </w:r>
      <w:r w:rsidRPr="005939FE">
        <w:rPr>
          <w:rFonts w:ascii="Times New Roman" w:eastAsia="宋体" w:hAnsi="Times New Roman" w:cs="Times New Roman"/>
          <w:kern w:val="0"/>
          <w:szCs w:val="21"/>
        </w:rPr>
        <w:t>1%</w:t>
      </w:r>
      <w:r w:rsidRPr="005939FE">
        <w:rPr>
          <w:rFonts w:ascii="宋体" w:eastAsia="宋体" w:hAnsi="宋体" w:cs="Times New Roman" w:hint="eastAsia"/>
          <w:kern w:val="0"/>
          <w:szCs w:val="21"/>
        </w:rPr>
        <w:t xml:space="preserve">水平上显著, </w:t>
      </w:r>
      <w:r w:rsidRPr="005939FE">
        <w:rPr>
          <w:rFonts w:ascii="Times New Roman" w:eastAsia="宋体" w:hAnsi="Times New Roman" w:cs="Times New Roman"/>
          <w:kern w:val="0"/>
          <w:szCs w:val="21"/>
        </w:rPr>
        <w:t>** p&lt;0.05</w:t>
      </w:r>
      <w:r w:rsidRPr="005939FE">
        <w:rPr>
          <w:rFonts w:ascii="宋体" w:eastAsia="宋体" w:hAnsi="宋体" w:cs="Times New Roman" w:hint="eastAsia"/>
          <w:kern w:val="0"/>
          <w:szCs w:val="21"/>
        </w:rPr>
        <w:t>表示在</w:t>
      </w:r>
      <w:r w:rsidRPr="005939FE">
        <w:rPr>
          <w:rFonts w:ascii="Times New Roman" w:eastAsia="宋体" w:hAnsi="Times New Roman" w:cs="Times New Roman"/>
          <w:kern w:val="0"/>
          <w:szCs w:val="21"/>
        </w:rPr>
        <w:t>5%</w:t>
      </w:r>
      <w:r w:rsidRPr="005939FE">
        <w:rPr>
          <w:rFonts w:ascii="宋体" w:eastAsia="宋体" w:hAnsi="宋体" w:cs="Times New Roman" w:hint="eastAsia"/>
          <w:kern w:val="0"/>
          <w:szCs w:val="21"/>
        </w:rPr>
        <w:t xml:space="preserve">水平上显著, </w:t>
      </w:r>
      <w:r w:rsidRPr="005939FE">
        <w:rPr>
          <w:rFonts w:ascii="Times New Roman" w:eastAsia="宋体" w:hAnsi="Times New Roman" w:cs="Times New Roman"/>
          <w:kern w:val="0"/>
          <w:szCs w:val="21"/>
        </w:rPr>
        <w:t>* p&lt;0.1</w:t>
      </w:r>
      <w:r w:rsidRPr="005939FE">
        <w:rPr>
          <w:rFonts w:ascii="宋体" w:eastAsia="宋体" w:hAnsi="宋体" w:cs="Times New Roman" w:hint="eastAsia"/>
          <w:kern w:val="0"/>
          <w:szCs w:val="21"/>
        </w:rPr>
        <w:t>表示在</w:t>
      </w:r>
      <w:r w:rsidRPr="005939FE">
        <w:rPr>
          <w:rFonts w:ascii="Times New Roman" w:eastAsia="宋体" w:hAnsi="Times New Roman" w:cs="Times New Roman"/>
          <w:kern w:val="0"/>
          <w:szCs w:val="21"/>
        </w:rPr>
        <w:t>10%</w:t>
      </w:r>
      <w:r w:rsidRPr="005939FE">
        <w:rPr>
          <w:rFonts w:ascii="宋体" w:eastAsia="宋体" w:hAnsi="宋体" w:cs="Times New Roman" w:hint="eastAsia"/>
          <w:kern w:val="0"/>
          <w:szCs w:val="21"/>
        </w:rPr>
        <w:t>水平上显著，括号内为标准误。</w:t>
      </w:r>
    </w:p>
    <w:p w14:paraId="38548C0A" w14:textId="77777777" w:rsidR="005939FE" w:rsidRDefault="005939FE" w:rsidP="00823A36">
      <w:pPr>
        <w:rPr>
          <w:rFonts w:ascii="宋体" w:eastAsia="宋体" w:hAnsi="宋体"/>
          <w:sz w:val="24"/>
          <w:szCs w:val="24"/>
        </w:rPr>
      </w:pPr>
    </w:p>
    <w:p w14:paraId="6ED99278" w14:textId="77777777" w:rsidR="005939FE" w:rsidRDefault="005939FE" w:rsidP="005939FE">
      <w:pPr>
        <w:ind w:firstLineChars="200" w:firstLine="480"/>
        <w:rPr>
          <w:rFonts w:ascii="宋体" w:eastAsia="宋体" w:hAnsi="宋体"/>
          <w:sz w:val="24"/>
          <w:szCs w:val="24"/>
        </w:rPr>
      </w:pPr>
      <w:r>
        <w:rPr>
          <w:rFonts w:ascii="宋体" w:eastAsia="宋体" w:hAnsi="宋体" w:hint="eastAsia"/>
          <w:sz w:val="24"/>
          <w:szCs w:val="24"/>
        </w:rPr>
        <w:t>从Hausman检验的结果来看，被解释变量Y</w:t>
      </w:r>
      <w:r>
        <w:rPr>
          <w:rFonts w:ascii="宋体" w:eastAsia="宋体" w:hAnsi="宋体"/>
          <w:sz w:val="24"/>
          <w:szCs w:val="24"/>
        </w:rPr>
        <w:t xml:space="preserve"> 1</w:t>
      </w:r>
      <w:r>
        <w:rPr>
          <w:rFonts w:ascii="宋体" w:eastAsia="宋体" w:hAnsi="宋体" w:hint="eastAsia"/>
          <w:sz w:val="24"/>
          <w:szCs w:val="24"/>
        </w:rPr>
        <w:t>的P值为0</w:t>
      </w:r>
      <w:r>
        <w:rPr>
          <w:rFonts w:ascii="宋体" w:eastAsia="宋体" w:hAnsi="宋体"/>
          <w:sz w:val="24"/>
          <w:szCs w:val="24"/>
        </w:rPr>
        <w:t>.0041</w:t>
      </w:r>
      <w:r>
        <w:rPr>
          <w:rFonts w:ascii="宋体" w:eastAsia="宋体" w:hAnsi="宋体" w:hint="eastAsia"/>
          <w:sz w:val="24"/>
          <w:szCs w:val="24"/>
        </w:rPr>
        <w:t>，被解释变量Y</w:t>
      </w:r>
      <w:r>
        <w:rPr>
          <w:rFonts w:ascii="宋体" w:eastAsia="宋体" w:hAnsi="宋体"/>
          <w:sz w:val="24"/>
          <w:szCs w:val="24"/>
        </w:rPr>
        <w:t>2</w:t>
      </w:r>
      <w:r>
        <w:rPr>
          <w:rFonts w:ascii="宋体" w:eastAsia="宋体" w:hAnsi="宋体" w:hint="eastAsia"/>
          <w:sz w:val="24"/>
          <w:szCs w:val="24"/>
        </w:rPr>
        <w:t>的P值为0</w:t>
      </w:r>
      <w:r>
        <w:rPr>
          <w:rFonts w:ascii="宋体" w:eastAsia="宋体" w:hAnsi="宋体"/>
          <w:sz w:val="24"/>
          <w:szCs w:val="24"/>
        </w:rPr>
        <w:t>.0093</w:t>
      </w:r>
      <w:r>
        <w:rPr>
          <w:rFonts w:ascii="宋体" w:eastAsia="宋体" w:hAnsi="宋体" w:hint="eastAsia"/>
          <w:sz w:val="24"/>
          <w:szCs w:val="24"/>
        </w:rPr>
        <w:t>，被解释变量Y</w:t>
      </w:r>
      <w:r>
        <w:rPr>
          <w:rFonts w:ascii="宋体" w:eastAsia="宋体" w:hAnsi="宋体"/>
          <w:sz w:val="24"/>
          <w:szCs w:val="24"/>
        </w:rPr>
        <w:t>3</w:t>
      </w:r>
      <w:r>
        <w:rPr>
          <w:rFonts w:ascii="宋体" w:eastAsia="宋体" w:hAnsi="宋体" w:hint="eastAsia"/>
          <w:sz w:val="24"/>
          <w:szCs w:val="24"/>
        </w:rPr>
        <w:t>的P</w:t>
      </w:r>
      <w:r>
        <w:rPr>
          <w:rFonts w:ascii="宋体" w:eastAsia="宋体" w:hAnsi="宋体"/>
          <w:sz w:val="24"/>
          <w:szCs w:val="24"/>
        </w:rPr>
        <w:t xml:space="preserve"> </w:t>
      </w:r>
      <w:r>
        <w:rPr>
          <w:rFonts w:ascii="宋体" w:eastAsia="宋体" w:hAnsi="宋体" w:hint="eastAsia"/>
          <w:sz w:val="24"/>
          <w:szCs w:val="24"/>
        </w:rPr>
        <w:t>值为0</w:t>
      </w:r>
      <w:r>
        <w:rPr>
          <w:rFonts w:ascii="宋体" w:eastAsia="宋体" w:hAnsi="宋体"/>
          <w:sz w:val="24"/>
          <w:szCs w:val="24"/>
        </w:rPr>
        <w:t>.0169</w:t>
      </w:r>
      <w:r>
        <w:rPr>
          <w:rFonts w:ascii="宋体" w:eastAsia="宋体" w:hAnsi="宋体" w:hint="eastAsia"/>
          <w:sz w:val="24"/>
          <w:szCs w:val="24"/>
        </w:rPr>
        <w:t>。三个被解释变量的P</w:t>
      </w:r>
      <w:r>
        <w:rPr>
          <w:rFonts w:ascii="宋体" w:eastAsia="宋体" w:hAnsi="宋体"/>
          <w:sz w:val="24"/>
          <w:szCs w:val="24"/>
        </w:rPr>
        <w:t xml:space="preserve"> </w:t>
      </w:r>
      <w:r>
        <w:rPr>
          <w:rFonts w:ascii="宋体" w:eastAsia="宋体" w:hAnsi="宋体" w:hint="eastAsia"/>
          <w:sz w:val="24"/>
          <w:szCs w:val="24"/>
        </w:rPr>
        <w:t>值均小于0</w:t>
      </w:r>
      <w:r>
        <w:rPr>
          <w:rFonts w:ascii="宋体" w:eastAsia="宋体" w:hAnsi="宋体"/>
          <w:sz w:val="24"/>
          <w:szCs w:val="24"/>
        </w:rPr>
        <w:t>.05</w:t>
      </w:r>
      <w:r>
        <w:rPr>
          <w:rFonts w:ascii="宋体" w:eastAsia="宋体" w:hAnsi="宋体" w:hint="eastAsia"/>
          <w:sz w:val="24"/>
          <w:szCs w:val="24"/>
        </w:rPr>
        <w:t>，所以论文拒绝了随机效应模型，采用双向固定效应模型进行回归分析。</w:t>
      </w:r>
    </w:p>
    <w:p w14:paraId="5C2F0DA2" w14:textId="77777777" w:rsidR="00170150" w:rsidRDefault="00170150" w:rsidP="00170150">
      <w:pPr>
        <w:rPr>
          <w:rFonts w:ascii="宋体" w:eastAsia="宋体" w:hAnsi="宋体" w:hint="eastAsia"/>
          <w:sz w:val="24"/>
          <w:szCs w:val="24"/>
        </w:rPr>
      </w:pPr>
    </w:p>
    <w:p w14:paraId="20BDFB0A" w14:textId="77777777" w:rsidR="00170150" w:rsidRDefault="00170150" w:rsidP="00170150">
      <w:pPr>
        <w:pStyle w:val="3"/>
      </w:pPr>
      <w:bookmarkStart w:id="38" w:name="_Toc103640991"/>
      <w:r>
        <w:t xml:space="preserve">3.3.3 </w:t>
      </w:r>
      <w:r>
        <w:rPr>
          <w:rFonts w:hint="eastAsia"/>
        </w:rPr>
        <w:t>模型的建立</w:t>
      </w:r>
      <w:bookmarkEnd w:id="38"/>
    </w:p>
    <w:p w14:paraId="10461F92" w14:textId="06093514" w:rsidR="00170150" w:rsidRDefault="00170150" w:rsidP="00170150">
      <w:pPr>
        <w:rPr>
          <w:rFonts w:ascii="宋体" w:eastAsia="宋体" w:hAnsi="宋体" w:hint="eastAsia"/>
          <w:sz w:val="24"/>
          <w:szCs w:val="24"/>
        </w:rPr>
      </w:pPr>
      <w:r>
        <w:rPr>
          <w:rFonts w:hint="eastAsia"/>
        </w:rPr>
        <w:t xml:space="preserve"> </w:t>
      </w:r>
      <w:r>
        <w:t xml:space="preserve">   </w:t>
      </w:r>
      <w:r w:rsidRPr="00170150">
        <w:rPr>
          <w:rFonts w:ascii="宋体" w:eastAsia="宋体" w:hAnsi="宋体" w:hint="eastAsia"/>
          <w:sz w:val="24"/>
          <w:szCs w:val="24"/>
        </w:rPr>
        <w:t>通过上述的检验和筛选，本文最终采用双向固定效应模型来辅佐论文的研究。建立“三道红线”政策对房地产企业各类融资占比的多元回归模型，主要从五类融资比率对“剔除预收款后的资产负债率”；五类融资比率对“净负债率”；五类融资比率对“现金短债比”三个方面的作出研究，设定如下的</w:t>
      </w:r>
      <w:r>
        <w:rPr>
          <w:rFonts w:ascii="宋体" w:eastAsia="宋体" w:hAnsi="宋体" w:hint="eastAsia"/>
          <w:sz w:val="24"/>
          <w:szCs w:val="24"/>
        </w:rPr>
        <w:t>双向固定回归模型：</w:t>
      </w:r>
    </w:p>
    <w:bookmarkStart w:id="39" w:name="_Hlk103606066"/>
    <w:bookmarkStart w:id="40" w:name="_Hlk103611271"/>
    <w:p w14:paraId="36ADE69B" w14:textId="77777777" w:rsidR="00170150" w:rsidRDefault="00170150" w:rsidP="00170150">
      <w:pPr>
        <w:jc w:val="center"/>
      </w:pPr>
      <m:oMathPara>
        <m:oMath>
          <m:sSub>
            <m:sSubPr>
              <m:ctrlPr>
                <w:rPr>
                  <w:rFonts w:ascii="Cambria Math" w:eastAsia="宋体" w:hAnsi="Cambria Math"/>
                  <w:i/>
                  <w:sz w:val="24"/>
                </w:rPr>
              </m:ctrlPr>
            </m:sSubPr>
            <m:e>
              <m:r>
                <w:rPr>
                  <w:rFonts w:ascii="Cambria Math" w:hAnsi="Cambria Math"/>
                </w:rPr>
                <m:t>Y</m:t>
              </m:r>
            </m:e>
            <m:sub>
              <m:r>
                <w:rPr>
                  <w:rFonts w:ascii="Cambria Math" w:hAnsi="Cambria Math"/>
                </w:rPr>
                <m:t>it</m:t>
              </m:r>
            </m:sub>
          </m:sSub>
          <w:bookmarkEnd w:id="39"/>
          <m:r>
            <w:rPr>
              <w:rFonts w:ascii="Cambria Math" w:hAnsi="Cambria Math"/>
            </w:rPr>
            <m:t>=</m:t>
          </m:r>
          <m:sSub>
            <m:sSubPr>
              <m:ctrlPr>
                <w:rPr>
                  <w:rFonts w:ascii="Cambria Math" w:eastAsia="宋体" w:hAnsi="Cambria Math"/>
                  <w:i/>
                  <w:sz w:val="24"/>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eastAsia="宋体" w:hAnsi="Cambria Math"/>
                  <w:i/>
                  <w:sz w:val="24"/>
                </w:rPr>
              </m:ctrlPr>
            </m:sSubPr>
            <m:e>
              <m:r>
                <w:rPr>
                  <w:rFonts w:ascii="Cambria Math" w:hAnsi="Cambria Math"/>
                </w:rPr>
                <m:t>a</m:t>
              </m:r>
            </m:e>
            <m:sub>
              <m:r>
                <w:rPr>
                  <w:rFonts w:ascii="Cambria Math" w:hAnsi="Cambria Math"/>
                </w:rPr>
                <m:t>n</m:t>
              </m:r>
            </m:sub>
          </m:sSub>
          <m:sSub>
            <m:sSubPr>
              <m:ctrlPr>
                <w:rPr>
                  <w:rFonts w:ascii="Cambria Math" w:eastAsia="宋体" w:hAnsi="Cambria Math"/>
                  <w:i/>
                  <w:sz w:val="24"/>
                </w:rPr>
              </m:ctrlPr>
            </m:sSubPr>
            <m:e>
              <m:r>
                <w:rPr>
                  <w:rFonts w:ascii="Cambria Math" w:hAnsi="Cambria Math"/>
                </w:rPr>
                <m:t>x</m:t>
              </m:r>
            </m:e>
            <m:sub>
              <m:r>
                <w:rPr>
                  <w:rFonts w:ascii="Cambria Math" w:hAnsi="Cambria Math"/>
                </w:rPr>
                <m:t>nit</m:t>
              </m:r>
            </m:sub>
          </m:sSub>
          <m:r>
            <w:rPr>
              <w:rFonts w:ascii="Cambria Math" w:hAnsi="Cambria Math"/>
            </w:rPr>
            <m:t>+</m:t>
          </m:r>
          <m:sSub>
            <m:sSubPr>
              <m:ctrlPr>
                <w:rPr>
                  <w:rFonts w:ascii="Cambria Math" w:eastAsia="宋体" w:hAnsi="Cambria Math"/>
                  <w:i/>
                  <w:sz w:val="24"/>
                </w:rPr>
              </m:ctrlPr>
            </m:sSubPr>
            <m:e>
              <m:r>
                <w:rPr>
                  <w:rFonts w:ascii="Cambria Math" w:hAnsi="Cambria Math"/>
                </w:rPr>
                <m:t>β</m:t>
              </m:r>
            </m:e>
            <m:sub>
              <m:r>
                <w:rPr>
                  <w:rFonts w:ascii="Cambria Math" w:hAnsi="Cambria Math"/>
                </w:rPr>
                <m:t>i</m:t>
              </m:r>
            </m:sub>
          </m:sSub>
          <m:r>
            <w:rPr>
              <w:rFonts w:ascii="Cambria Math" w:hAnsi="Cambria Math"/>
            </w:rPr>
            <m:t>+</m:t>
          </m:r>
          <m:sSub>
            <m:sSubPr>
              <m:ctrlPr>
                <w:rPr>
                  <w:rFonts w:ascii="Cambria Math" w:eastAsia="宋体" w:hAnsi="Cambria Math"/>
                  <w:i/>
                  <w:sz w:val="24"/>
                </w:rPr>
              </m:ctrlPr>
            </m:sSubPr>
            <m:e>
              <m:r>
                <w:rPr>
                  <w:rFonts w:ascii="Cambria Math" w:hAnsi="Cambria Math"/>
                </w:rPr>
                <m:t>δ</m:t>
              </m:r>
            </m:e>
            <m:sub>
              <m:r>
                <w:rPr>
                  <w:rFonts w:ascii="Cambria Math" w:hAnsi="Cambria Math"/>
                </w:rPr>
                <m:t>t</m:t>
              </m:r>
            </m:sub>
          </m:sSub>
          <m:r>
            <w:rPr>
              <w:rFonts w:ascii="Cambria Math" w:hAnsi="Cambria Math"/>
            </w:rPr>
            <m:t>+</m:t>
          </m:r>
          <m:sSub>
            <m:sSubPr>
              <m:ctrlPr>
                <w:rPr>
                  <w:rFonts w:ascii="Cambria Math" w:eastAsia="宋体" w:hAnsi="Cambria Math"/>
                  <w:i/>
                  <w:sz w:val="24"/>
                </w:rPr>
              </m:ctrlPr>
            </m:sSubPr>
            <m:e>
              <m:r>
                <w:rPr>
                  <w:rFonts w:ascii="Cambria Math" w:hAnsi="Cambria Math"/>
                </w:rPr>
                <m:t>ε</m:t>
              </m:r>
            </m:e>
            <m:sub>
              <m:r>
                <w:rPr>
                  <w:rFonts w:ascii="Cambria Math" w:hAnsi="Cambria Math"/>
                </w:rPr>
                <m:t>it</m:t>
              </m:r>
            </m:sub>
          </m:sSub>
        </m:oMath>
      </m:oMathPara>
    </w:p>
    <w:bookmarkEnd w:id="40"/>
    <w:p w14:paraId="7CD65974" w14:textId="77777777" w:rsidR="00170150" w:rsidRDefault="00170150" w:rsidP="00170150">
      <w:pPr>
        <w:rPr>
          <w:rFonts w:ascii="宋体" w:eastAsia="宋体" w:hAnsi="宋体"/>
          <w:sz w:val="24"/>
          <w:szCs w:val="24"/>
        </w:rPr>
      </w:pPr>
    </w:p>
    <w:p w14:paraId="0E238556" w14:textId="05A783DF" w:rsidR="00170150" w:rsidRDefault="00170150" w:rsidP="00170150">
      <w:pPr>
        <w:rPr>
          <w:rFonts w:ascii="宋体" w:eastAsia="宋体" w:hAnsi="宋体"/>
          <w:sz w:val="24"/>
          <w:szCs w:val="24"/>
        </w:rPr>
      </w:pPr>
      <w:r w:rsidRPr="00170150">
        <w:rPr>
          <w:rFonts w:ascii="宋体" w:eastAsia="宋体" w:hAnsi="宋体" w:hint="eastAsia"/>
          <w:sz w:val="24"/>
          <w:szCs w:val="24"/>
        </w:rPr>
        <w:t>面板数据中的每个上市房地产企业的的截面单元用</w:t>
      </w:r>
      <w:r w:rsidRPr="00170150">
        <w:rPr>
          <w:rFonts w:ascii="宋体" w:eastAsia="宋体" w:hAnsi="宋体"/>
          <w:sz w:val="24"/>
          <w:szCs w:val="24"/>
        </w:rPr>
        <w:t>i</w:t>
      </w:r>
      <w:r w:rsidRPr="00170150">
        <w:rPr>
          <w:rFonts w:ascii="宋体" w:eastAsia="宋体" w:hAnsi="宋体" w:hint="eastAsia"/>
          <w:sz w:val="24"/>
          <w:szCs w:val="24"/>
        </w:rPr>
        <w:t>表示，i</w:t>
      </w:r>
      <w:r w:rsidRPr="00170150">
        <w:rPr>
          <w:rFonts w:ascii="宋体" w:eastAsia="宋体" w:hAnsi="宋体"/>
          <w:sz w:val="24"/>
          <w:szCs w:val="24"/>
        </w:rPr>
        <w:t>=1</w:t>
      </w:r>
      <w:r w:rsidRPr="00170150">
        <w:rPr>
          <w:rFonts w:ascii="宋体" w:eastAsia="宋体" w:hAnsi="宋体" w:hint="eastAsia"/>
          <w:sz w:val="24"/>
          <w:szCs w:val="24"/>
        </w:rPr>
        <w:t>,</w:t>
      </w:r>
      <w:r w:rsidRPr="00170150">
        <w:rPr>
          <w:rFonts w:ascii="宋体" w:eastAsia="宋体" w:hAnsi="宋体"/>
          <w:sz w:val="24"/>
          <w:szCs w:val="24"/>
        </w:rPr>
        <w:t>2</w:t>
      </w:r>
      <w:r w:rsidRPr="00170150">
        <w:rPr>
          <w:rFonts w:ascii="宋体" w:eastAsia="宋体" w:hAnsi="宋体" w:hint="eastAsia"/>
          <w:sz w:val="24"/>
          <w:szCs w:val="24"/>
        </w:rPr>
        <w:t>,</w:t>
      </w:r>
      <w:r w:rsidRPr="00170150">
        <w:rPr>
          <w:rFonts w:ascii="宋体" w:eastAsia="宋体" w:hAnsi="宋体"/>
          <w:sz w:val="24"/>
          <w:szCs w:val="24"/>
        </w:rPr>
        <w:t xml:space="preserve">3…,117; </w:t>
      </w:r>
      <w:r w:rsidRPr="00170150">
        <w:rPr>
          <w:rFonts w:ascii="宋体" w:eastAsia="宋体" w:hAnsi="宋体" w:hint="eastAsia"/>
          <w:sz w:val="24"/>
          <w:szCs w:val="24"/>
        </w:rPr>
        <w:t>时间用t表示，t</w:t>
      </w:r>
      <w:r w:rsidRPr="00170150">
        <w:rPr>
          <w:rFonts w:ascii="宋体" w:eastAsia="宋体" w:hAnsi="宋体"/>
          <w:sz w:val="24"/>
          <w:szCs w:val="24"/>
        </w:rPr>
        <w:t>=2017</w:t>
      </w:r>
      <w:r w:rsidRPr="00170150">
        <w:rPr>
          <w:rFonts w:ascii="宋体" w:eastAsia="宋体" w:hAnsi="宋体" w:hint="eastAsia"/>
          <w:sz w:val="24"/>
          <w:szCs w:val="24"/>
        </w:rPr>
        <w:t>,</w:t>
      </w:r>
      <w:r w:rsidRPr="00170150">
        <w:rPr>
          <w:rFonts w:ascii="宋体" w:eastAsia="宋体" w:hAnsi="宋体"/>
          <w:sz w:val="24"/>
          <w:szCs w:val="24"/>
        </w:rPr>
        <w:t>2018</w:t>
      </w:r>
      <w:r w:rsidRPr="00170150">
        <w:rPr>
          <w:rFonts w:ascii="宋体" w:eastAsia="宋体" w:hAnsi="宋体" w:hint="eastAsia"/>
          <w:sz w:val="24"/>
          <w:szCs w:val="24"/>
        </w:rPr>
        <w:t>,</w:t>
      </w:r>
      <w:r w:rsidRPr="00170150">
        <w:rPr>
          <w:rFonts w:ascii="宋体" w:eastAsia="宋体" w:hAnsi="宋体"/>
          <w:sz w:val="24"/>
          <w:szCs w:val="24"/>
        </w:rPr>
        <w:t>2019</w:t>
      </w:r>
      <w:r w:rsidRPr="00170150">
        <w:rPr>
          <w:rFonts w:ascii="宋体" w:eastAsia="宋体" w:hAnsi="宋体" w:hint="eastAsia"/>
          <w:sz w:val="24"/>
          <w:szCs w:val="24"/>
        </w:rPr>
        <w:t>,</w:t>
      </w:r>
      <w:r w:rsidRPr="00170150">
        <w:rPr>
          <w:rFonts w:ascii="宋体" w:eastAsia="宋体" w:hAnsi="宋体"/>
          <w:sz w:val="24"/>
          <w:szCs w:val="24"/>
        </w:rPr>
        <w:t>2020</w:t>
      </w:r>
      <w:r w:rsidRPr="00170150">
        <w:rPr>
          <w:rFonts w:ascii="宋体" w:eastAsia="宋体" w:hAnsi="宋体" w:hint="eastAsia"/>
          <w:sz w:val="24"/>
          <w:szCs w:val="24"/>
        </w:rPr>
        <w:t>,</w:t>
      </w:r>
      <w:r w:rsidRPr="00170150">
        <w:rPr>
          <w:rFonts w:ascii="宋体" w:eastAsia="宋体" w:hAnsi="宋体"/>
          <w:sz w:val="24"/>
          <w:szCs w:val="24"/>
        </w:rPr>
        <w:t>2021</w:t>
      </w:r>
      <w:r w:rsidRPr="00170150">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it</m:t>
            </m:r>
          </m:sub>
        </m:sSub>
      </m:oMath>
      <w:r w:rsidRPr="00170150">
        <w:rPr>
          <w:rFonts w:ascii="宋体" w:eastAsia="宋体" w:hAnsi="宋体" w:hint="eastAsia"/>
          <w:sz w:val="24"/>
          <w:szCs w:val="24"/>
        </w:rPr>
        <w:t>表示整体房企的“剔除预收款后的资产负债率”，“净负债率”，“现金短债比”；Xit表示整体房企的“股权融资率”；“商业信用融资率”；“内源融资率”；“商业信用融资率”；“财政融资率”；“债券融资率”，具体设置为下列3个回归模型：</w:t>
      </w:r>
    </w:p>
    <w:p w14:paraId="4361B408" w14:textId="288FF25D" w:rsidR="00170150" w:rsidRDefault="00170150" w:rsidP="00170150">
      <w:pPr>
        <w:rPr>
          <w:rFonts w:ascii="宋体" w:eastAsia="宋体" w:hAnsi="宋体"/>
          <w:sz w:val="24"/>
          <w:szCs w:val="24"/>
        </w:rPr>
      </w:pPr>
      <w:r w:rsidRPr="00170150">
        <w:rPr>
          <w:rFonts w:ascii="宋体" w:eastAsia="宋体" w:hAnsi="宋体" w:hint="eastAsia"/>
          <w:sz w:val="24"/>
          <w:szCs w:val="24"/>
        </w:rPr>
        <w:t>模型（a）：研究五类融资率对上市房企“剔除预收款后的资产负债率”的影响。</w:t>
      </w:r>
    </w:p>
    <w:p w14:paraId="3551907C" w14:textId="77777777" w:rsidR="00170150" w:rsidRPr="00170150" w:rsidRDefault="00170150" w:rsidP="00170150">
      <w:pPr>
        <w:rPr>
          <w:rFonts w:ascii="宋体" w:eastAsia="宋体" w:hAnsi="宋体" w:hint="eastAsia"/>
          <w:sz w:val="24"/>
          <w:szCs w:val="24"/>
        </w:rPr>
      </w:pPr>
    </w:p>
    <w:bookmarkStart w:id="41" w:name="_Hlk103611387"/>
    <w:p w14:paraId="16446296" w14:textId="378CD746" w:rsidR="00170150" w:rsidRPr="00170150" w:rsidRDefault="00170150" w:rsidP="00170150">
      <w:pP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0</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1it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2</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2it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3</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3it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4</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4it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5</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5it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sz w:val="24"/>
                  <w:szCs w:val="24"/>
                </w:rPr>
                <m:t>it</m:t>
              </m:r>
            </m:sub>
          </m:sSub>
        </m:oMath>
      </m:oMathPara>
    </w:p>
    <w:bookmarkEnd w:id="41"/>
    <w:p w14:paraId="067AAF7F" w14:textId="77777777" w:rsidR="00170150" w:rsidRPr="00170150" w:rsidRDefault="00170150" w:rsidP="00170150">
      <w:pPr>
        <w:rPr>
          <w:rFonts w:ascii="宋体" w:eastAsia="宋体" w:hAnsi="宋体" w:hint="eastAsia"/>
          <w:sz w:val="24"/>
          <w:szCs w:val="24"/>
        </w:rPr>
      </w:pPr>
    </w:p>
    <w:p w14:paraId="6BC53155" w14:textId="77777777" w:rsidR="00170150" w:rsidRPr="00170150" w:rsidRDefault="00170150" w:rsidP="00170150">
      <w:pPr>
        <w:rPr>
          <w:rFonts w:ascii="宋体" w:eastAsia="宋体" w:hAnsi="宋体"/>
          <w:sz w:val="24"/>
          <w:szCs w:val="24"/>
        </w:rPr>
      </w:pPr>
      <w:r w:rsidRPr="00170150">
        <w:rPr>
          <w:rFonts w:ascii="宋体" w:eastAsia="宋体" w:hAnsi="宋体" w:hint="eastAsia"/>
          <w:sz w:val="24"/>
          <w:szCs w:val="24"/>
        </w:rPr>
        <w:t>模型（b）：研究五类融资率对上市房企“净负债率”的影响</w:t>
      </w:r>
    </w:p>
    <w:p w14:paraId="0C595CD8" w14:textId="0E4762B1" w:rsidR="00170150" w:rsidRPr="00170150" w:rsidRDefault="00170150" w:rsidP="00170150">
      <w:pPr>
        <w:tabs>
          <w:tab w:val="left" w:pos="1540"/>
        </w:tabs>
        <w:rPr>
          <w:rFonts w:ascii="Cambria Math" w:eastAsia="宋体" w:hAnsi="Cambria Math"/>
          <w:i/>
          <w:sz w:val="24"/>
          <w:szCs w:val="24"/>
        </w:rPr>
      </w:pPr>
      <w:r>
        <w:rPr>
          <w:rFonts w:ascii="宋体" w:eastAsia="宋体" w:hAnsi="宋体"/>
          <w:sz w:val="24"/>
          <w:szCs w:val="24"/>
        </w:rPr>
        <w:tab/>
      </w:r>
      <w:r w:rsidRPr="00170150">
        <w:rPr>
          <w:rFonts w:ascii="Cambria Math" w:eastAsia="宋体" w:hAnsi="Cambria Math"/>
          <w:i/>
          <w:sz w:val="24"/>
        </w:rPr>
        <w:br/>
      </w:r>
      <m:oMathPara>
        <m:oMath>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0</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1it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2</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2it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3</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3it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4</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4it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5</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5it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sz w:val="24"/>
                  <w:szCs w:val="24"/>
                </w:rPr>
                <m:t>it</m:t>
              </m:r>
            </m:sub>
          </m:sSub>
        </m:oMath>
      </m:oMathPara>
    </w:p>
    <w:p w14:paraId="63A1C6D0" w14:textId="77777777" w:rsidR="00170150" w:rsidRPr="00170150" w:rsidRDefault="00170150" w:rsidP="00170150">
      <w:pPr>
        <w:tabs>
          <w:tab w:val="left" w:pos="1540"/>
        </w:tabs>
        <w:rPr>
          <w:rFonts w:ascii="宋体" w:eastAsia="宋体" w:hAnsi="宋体" w:hint="eastAsia"/>
          <w:sz w:val="24"/>
          <w:szCs w:val="24"/>
        </w:rPr>
      </w:pPr>
    </w:p>
    <w:p w14:paraId="7D1DA658" w14:textId="77777777" w:rsidR="00170150" w:rsidRPr="00170150" w:rsidRDefault="00170150" w:rsidP="00170150">
      <w:pPr>
        <w:tabs>
          <w:tab w:val="left" w:pos="1540"/>
        </w:tabs>
        <w:rPr>
          <w:rFonts w:ascii="宋体" w:eastAsia="宋体" w:hAnsi="宋体"/>
          <w:sz w:val="24"/>
          <w:szCs w:val="24"/>
        </w:rPr>
      </w:pPr>
      <w:r w:rsidRPr="00170150">
        <w:rPr>
          <w:rFonts w:ascii="宋体" w:eastAsia="宋体" w:hAnsi="宋体" w:hint="eastAsia"/>
          <w:sz w:val="24"/>
          <w:szCs w:val="24"/>
        </w:rPr>
        <w:t>模型（c）：研究五类融资率对上市房企“现金短债比”的影响</w:t>
      </w:r>
    </w:p>
    <w:p w14:paraId="1EB7009C" w14:textId="5DD05384" w:rsidR="00170150" w:rsidRDefault="00170150" w:rsidP="00170150">
      <w:pPr>
        <w:tabs>
          <w:tab w:val="left" w:pos="1540"/>
        </w:tabs>
        <w:rPr>
          <w:rFonts w:ascii="宋体" w:eastAsia="宋体" w:hAnsi="宋体"/>
          <w:sz w:val="24"/>
          <w:szCs w:val="24"/>
        </w:rPr>
      </w:pPr>
    </w:p>
    <w:p w14:paraId="3D5A7BFE" w14:textId="69548DEA" w:rsidR="00170150" w:rsidRPr="00170150" w:rsidRDefault="00170150" w:rsidP="00170150">
      <w:pPr>
        <w:tabs>
          <w:tab w:val="left" w:pos="1540"/>
        </w:tabs>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3</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0</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1it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2</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2it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3</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3it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4</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4it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5</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5it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sz w:val="24"/>
                  <w:szCs w:val="24"/>
                </w:rPr>
                <m:t>it</m:t>
              </m:r>
            </m:sub>
          </m:sSub>
        </m:oMath>
      </m:oMathPara>
    </w:p>
    <w:p w14:paraId="1C20D9BA" w14:textId="77777777" w:rsidR="00170150" w:rsidRPr="00170150" w:rsidRDefault="00170150" w:rsidP="00170150">
      <w:pPr>
        <w:tabs>
          <w:tab w:val="left" w:pos="1540"/>
        </w:tabs>
        <w:rPr>
          <w:rFonts w:ascii="宋体" w:eastAsia="宋体" w:hAnsi="宋体" w:hint="eastAsia"/>
          <w:sz w:val="24"/>
          <w:szCs w:val="24"/>
        </w:rPr>
      </w:pPr>
    </w:p>
    <w:p w14:paraId="70FE7479" w14:textId="77777777" w:rsidR="00170150" w:rsidRDefault="00170150" w:rsidP="00170150">
      <w:pPr>
        <w:tabs>
          <w:tab w:val="left" w:pos="1540"/>
        </w:tabs>
        <w:rPr>
          <w:rFonts w:ascii="宋体" w:eastAsia="宋体" w:hAnsi="宋体"/>
          <w:sz w:val="24"/>
          <w:szCs w:val="24"/>
        </w:rPr>
      </w:pPr>
      <w:r>
        <w:rPr>
          <w:rFonts w:ascii="宋体" w:eastAsia="宋体" w:hAnsi="宋体"/>
          <w:sz w:val="24"/>
          <w:szCs w:val="24"/>
        </w:rPr>
        <w:tab/>
      </w:r>
    </w:p>
    <w:p w14:paraId="310FA4EB" w14:textId="77777777" w:rsidR="00170150" w:rsidRDefault="00170150" w:rsidP="00170150">
      <w:pPr>
        <w:tabs>
          <w:tab w:val="left" w:pos="1540"/>
        </w:tabs>
        <w:rPr>
          <w:rFonts w:ascii="宋体" w:eastAsia="宋体" w:hAnsi="宋体"/>
          <w:sz w:val="24"/>
          <w:szCs w:val="24"/>
        </w:rPr>
      </w:pPr>
    </w:p>
    <w:p w14:paraId="732626FB" w14:textId="77777777" w:rsidR="00170150" w:rsidRDefault="00170150" w:rsidP="00170150">
      <w:pPr>
        <w:pStyle w:val="2"/>
      </w:pPr>
      <w:bookmarkStart w:id="42" w:name="_Toc103640992"/>
      <w:r>
        <w:t>3.4</w:t>
      </w:r>
      <w:r>
        <w:rPr>
          <w:rFonts w:hint="eastAsia"/>
        </w:rPr>
        <w:t>实证分析</w:t>
      </w:r>
      <w:bookmarkEnd w:id="42"/>
    </w:p>
    <w:p w14:paraId="19B25702" w14:textId="77777777" w:rsidR="00170150" w:rsidRDefault="00170150" w:rsidP="00170150">
      <w:pPr>
        <w:pStyle w:val="3"/>
      </w:pPr>
      <w:bookmarkStart w:id="43" w:name="_Toc103640993"/>
      <w:r>
        <w:t xml:space="preserve">3.4.1 </w:t>
      </w:r>
      <w:r>
        <w:rPr>
          <w:rFonts w:hint="eastAsia"/>
        </w:rPr>
        <w:t>描述性统计</w:t>
      </w:r>
      <w:bookmarkEnd w:id="43"/>
    </w:p>
    <w:p w14:paraId="69C0A9E3" w14:textId="77777777" w:rsidR="00170150" w:rsidRPr="00170150" w:rsidRDefault="00170150" w:rsidP="00170150">
      <w:pPr>
        <w:rPr>
          <w:rFonts w:ascii="宋体" w:eastAsia="宋体" w:hAnsi="宋体"/>
          <w:sz w:val="24"/>
          <w:szCs w:val="24"/>
        </w:rPr>
      </w:pPr>
      <w:r w:rsidRPr="00170150">
        <w:rPr>
          <w:rFonts w:ascii="宋体" w:eastAsia="宋体" w:hAnsi="宋体" w:hint="eastAsia"/>
          <w:sz w:val="24"/>
          <w:szCs w:val="24"/>
        </w:rPr>
        <w:t>在开始利用上述的模型开始回归分析之前，本文将对收集到的数据进行两个角度的描述性统计分析，具体内容如下：</w:t>
      </w:r>
    </w:p>
    <w:p w14:paraId="1F425238" w14:textId="77777777" w:rsidR="00170150" w:rsidRPr="00C528FF" w:rsidRDefault="00170150" w:rsidP="00170150">
      <w:pPr>
        <w:pStyle w:val="4"/>
      </w:pPr>
      <w:r>
        <w:t xml:space="preserve">3.4.1.1 </w:t>
      </w:r>
      <w:r>
        <w:rPr>
          <w:rFonts w:hint="eastAsia"/>
        </w:rPr>
        <w:t>面板数据描述性统计分析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5"/>
        <w:gridCol w:w="1340"/>
        <w:gridCol w:w="1400"/>
        <w:gridCol w:w="1385"/>
        <w:gridCol w:w="1431"/>
        <w:gridCol w:w="1385"/>
      </w:tblGrid>
      <w:tr w:rsidR="00170150" w:rsidRPr="00F65475" w14:paraId="5B543080" w14:textId="77777777" w:rsidTr="009A6B96">
        <w:tc>
          <w:tcPr>
            <w:tcW w:w="1476" w:type="dxa"/>
            <w:tcBorders>
              <w:top w:val="single" w:sz="4" w:space="0" w:color="auto"/>
              <w:left w:val="single" w:sz="4" w:space="0" w:color="auto"/>
              <w:bottom w:val="single" w:sz="4" w:space="0" w:color="auto"/>
              <w:right w:val="single" w:sz="4" w:space="0" w:color="auto"/>
            </w:tcBorders>
            <w:hideMark/>
          </w:tcPr>
          <w:p w14:paraId="4E58DF45"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hint="eastAsia"/>
                <w:szCs w:val="24"/>
              </w:rPr>
              <w:t>变量名称</w:t>
            </w:r>
          </w:p>
        </w:tc>
        <w:tc>
          <w:tcPr>
            <w:tcW w:w="1476" w:type="dxa"/>
            <w:tcBorders>
              <w:top w:val="single" w:sz="4" w:space="0" w:color="auto"/>
              <w:left w:val="nil"/>
              <w:bottom w:val="single" w:sz="4" w:space="0" w:color="auto"/>
              <w:right w:val="single" w:sz="4" w:space="0" w:color="auto"/>
            </w:tcBorders>
            <w:hideMark/>
          </w:tcPr>
          <w:p w14:paraId="427A4B5C"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hint="eastAsia"/>
                <w:szCs w:val="24"/>
              </w:rPr>
              <w:t>观测数</w:t>
            </w:r>
          </w:p>
        </w:tc>
        <w:tc>
          <w:tcPr>
            <w:tcW w:w="1476" w:type="dxa"/>
            <w:tcBorders>
              <w:top w:val="single" w:sz="4" w:space="0" w:color="auto"/>
              <w:left w:val="nil"/>
              <w:bottom w:val="single" w:sz="4" w:space="0" w:color="auto"/>
              <w:right w:val="single" w:sz="4" w:space="0" w:color="auto"/>
            </w:tcBorders>
            <w:hideMark/>
          </w:tcPr>
          <w:p w14:paraId="68A9D479"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hint="eastAsia"/>
                <w:szCs w:val="24"/>
              </w:rPr>
              <w:t>均值</w:t>
            </w:r>
          </w:p>
        </w:tc>
        <w:tc>
          <w:tcPr>
            <w:tcW w:w="1476" w:type="dxa"/>
            <w:tcBorders>
              <w:top w:val="single" w:sz="4" w:space="0" w:color="auto"/>
              <w:left w:val="nil"/>
              <w:bottom w:val="single" w:sz="4" w:space="0" w:color="auto"/>
              <w:right w:val="single" w:sz="4" w:space="0" w:color="auto"/>
            </w:tcBorders>
            <w:hideMark/>
          </w:tcPr>
          <w:p w14:paraId="56490DCE"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hint="eastAsia"/>
                <w:szCs w:val="24"/>
              </w:rPr>
              <w:t>最小值</w:t>
            </w:r>
          </w:p>
        </w:tc>
        <w:tc>
          <w:tcPr>
            <w:tcW w:w="1476" w:type="dxa"/>
            <w:tcBorders>
              <w:top w:val="single" w:sz="4" w:space="0" w:color="auto"/>
              <w:left w:val="nil"/>
              <w:bottom w:val="single" w:sz="4" w:space="0" w:color="auto"/>
              <w:right w:val="single" w:sz="4" w:space="0" w:color="auto"/>
            </w:tcBorders>
            <w:hideMark/>
          </w:tcPr>
          <w:p w14:paraId="4BA38E99"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hint="eastAsia"/>
                <w:szCs w:val="24"/>
              </w:rPr>
              <w:t>最大值</w:t>
            </w:r>
          </w:p>
        </w:tc>
        <w:tc>
          <w:tcPr>
            <w:tcW w:w="1476" w:type="dxa"/>
            <w:tcBorders>
              <w:top w:val="single" w:sz="4" w:space="0" w:color="auto"/>
              <w:left w:val="nil"/>
              <w:bottom w:val="single" w:sz="4" w:space="0" w:color="auto"/>
              <w:right w:val="single" w:sz="4" w:space="0" w:color="auto"/>
            </w:tcBorders>
            <w:hideMark/>
          </w:tcPr>
          <w:p w14:paraId="5CA25999"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hint="eastAsia"/>
                <w:szCs w:val="24"/>
              </w:rPr>
              <w:t>中位数</w:t>
            </w:r>
          </w:p>
        </w:tc>
      </w:tr>
      <w:tr w:rsidR="00170150" w:rsidRPr="00F65475" w14:paraId="6304DDA8" w14:textId="77777777" w:rsidTr="009A6B96">
        <w:tc>
          <w:tcPr>
            <w:tcW w:w="1476" w:type="dxa"/>
            <w:tcBorders>
              <w:top w:val="single" w:sz="4" w:space="0" w:color="auto"/>
              <w:left w:val="single" w:sz="4" w:space="0" w:color="auto"/>
              <w:bottom w:val="single" w:sz="4" w:space="0" w:color="auto"/>
              <w:right w:val="single" w:sz="4" w:space="0" w:color="auto"/>
            </w:tcBorders>
            <w:hideMark/>
          </w:tcPr>
          <w:p w14:paraId="47D58A3F"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szCs w:val="24"/>
              </w:rPr>
              <w:t>Y1</w:t>
            </w:r>
          </w:p>
        </w:tc>
        <w:tc>
          <w:tcPr>
            <w:tcW w:w="1476" w:type="dxa"/>
            <w:tcBorders>
              <w:top w:val="single" w:sz="4" w:space="0" w:color="auto"/>
              <w:left w:val="nil"/>
              <w:bottom w:val="single" w:sz="4" w:space="0" w:color="auto"/>
              <w:right w:val="single" w:sz="4" w:space="0" w:color="auto"/>
            </w:tcBorders>
            <w:hideMark/>
          </w:tcPr>
          <w:p w14:paraId="6625745E"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kern w:val="0"/>
                <w:szCs w:val="24"/>
              </w:rPr>
              <w:t>493</w:t>
            </w:r>
          </w:p>
        </w:tc>
        <w:tc>
          <w:tcPr>
            <w:tcW w:w="1476" w:type="dxa"/>
            <w:tcBorders>
              <w:top w:val="single" w:sz="4" w:space="0" w:color="auto"/>
              <w:left w:val="nil"/>
              <w:bottom w:val="single" w:sz="4" w:space="0" w:color="auto"/>
              <w:right w:val="single" w:sz="4" w:space="0" w:color="auto"/>
            </w:tcBorders>
            <w:hideMark/>
          </w:tcPr>
          <w:p w14:paraId="45EE200D"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kern w:val="0"/>
                <w:szCs w:val="24"/>
              </w:rPr>
              <w:t>55.55</w:t>
            </w:r>
          </w:p>
        </w:tc>
        <w:tc>
          <w:tcPr>
            <w:tcW w:w="1476" w:type="dxa"/>
            <w:tcBorders>
              <w:top w:val="single" w:sz="4" w:space="0" w:color="auto"/>
              <w:left w:val="nil"/>
              <w:bottom w:val="single" w:sz="4" w:space="0" w:color="auto"/>
              <w:right w:val="single" w:sz="4" w:space="0" w:color="auto"/>
            </w:tcBorders>
            <w:hideMark/>
          </w:tcPr>
          <w:p w14:paraId="5B506DC2"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kern w:val="0"/>
                <w:szCs w:val="24"/>
              </w:rPr>
              <w:t>9.74</w:t>
            </w:r>
          </w:p>
        </w:tc>
        <w:tc>
          <w:tcPr>
            <w:tcW w:w="1476" w:type="dxa"/>
            <w:tcBorders>
              <w:top w:val="single" w:sz="4" w:space="0" w:color="auto"/>
              <w:left w:val="nil"/>
              <w:bottom w:val="single" w:sz="4" w:space="0" w:color="auto"/>
              <w:right w:val="single" w:sz="4" w:space="0" w:color="auto"/>
            </w:tcBorders>
            <w:hideMark/>
          </w:tcPr>
          <w:p w14:paraId="378F9FEA"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kern w:val="0"/>
                <w:szCs w:val="24"/>
              </w:rPr>
              <w:t>91.61</w:t>
            </w:r>
          </w:p>
        </w:tc>
        <w:tc>
          <w:tcPr>
            <w:tcW w:w="1476" w:type="dxa"/>
            <w:tcBorders>
              <w:top w:val="single" w:sz="4" w:space="0" w:color="auto"/>
              <w:left w:val="nil"/>
              <w:bottom w:val="single" w:sz="4" w:space="0" w:color="auto"/>
              <w:right w:val="single" w:sz="4" w:space="0" w:color="auto"/>
            </w:tcBorders>
            <w:hideMark/>
          </w:tcPr>
          <w:p w14:paraId="1BF6B831"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kern w:val="0"/>
                <w:szCs w:val="24"/>
              </w:rPr>
              <w:t>55.78</w:t>
            </w:r>
          </w:p>
        </w:tc>
      </w:tr>
      <w:tr w:rsidR="00170150" w:rsidRPr="00F65475" w14:paraId="00621227" w14:textId="77777777" w:rsidTr="009A6B96">
        <w:tc>
          <w:tcPr>
            <w:tcW w:w="1476" w:type="dxa"/>
            <w:tcBorders>
              <w:top w:val="single" w:sz="4" w:space="0" w:color="auto"/>
              <w:left w:val="single" w:sz="4" w:space="0" w:color="auto"/>
              <w:bottom w:val="single" w:sz="4" w:space="0" w:color="auto"/>
              <w:right w:val="single" w:sz="4" w:space="0" w:color="auto"/>
            </w:tcBorders>
            <w:hideMark/>
          </w:tcPr>
          <w:p w14:paraId="4CB8562A"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szCs w:val="24"/>
              </w:rPr>
              <w:t>Y2</w:t>
            </w:r>
          </w:p>
        </w:tc>
        <w:tc>
          <w:tcPr>
            <w:tcW w:w="1476" w:type="dxa"/>
            <w:tcBorders>
              <w:top w:val="single" w:sz="4" w:space="0" w:color="auto"/>
              <w:left w:val="nil"/>
              <w:bottom w:val="single" w:sz="4" w:space="0" w:color="auto"/>
              <w:right w:val="single" w:sz="4" w:space="0" w:color="auto"/>
            </w:tcBorders>
            <w:hideMark/>
          </w:tcPr>
          <w:p w14:paraId="56CE64D2"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kern w:val="0"/>
                <w:szCs w:val="24"/>
              </w:rPr>
              <w:t>494</w:t>
            </w:r>
          </w:p>
        </w:tc>
        <w:tc>
          <w:tcPr>
            <w:tcW w:w="1476" w:type="dxa"/>
            <w:tcBorders>
              <w:top w:val="single" w:sz="4" w:space="0" w:color="auto"/>
              <w:left w:val="nil"/>
              <w:bottom w:val="single" w:sz="4" w:space="0" w:color="auto"/>
              <w:right w:val="single" w:sz="4" w:space="0" w:color="auto"/>
            </w:tcBorders>
            <w:hideMark/>
          </w:tcPr>
          <w:p w14:paraId="46FEA4C7"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kern w:val="0"/>
                <w:szCs w:val="24"/>
              </w:rPr>
              <w:t>63.22</w:t>
            </w:r>
          </w:p>
        </w:tc>
        <w:tc>
          <w:tcPr>
            <w:tcW w:w="1476" w:type="dxa"/>
            <w:tcBorders>
              <w:top w:val="single" w:sz="4" w:space="0" w:color="auto"/>
              <w:left w:val="nil"/>
              <w:bottom w:val="single" w:sz="4" w:space="0" w:color="auto"/>
              <w:right w:val="single" w:sz="4" w:space="0" w:color="auto"/>
            </w:tcBorders>
            <w:hideMark/>
          </w:tcPr>
          <w:p w14:paraId="320453FD"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kern w:val="0"/>
                <w:szCs w:val="24"/>
              </w:rPr>
              <w:t>-168.40</w:t>
            </w:r>
          </w:p>
        </w:tc>
        <w:tc>
          <w:tcPr>
            <w:tcW w:w="1476" w:type="dxa"/>
            <w:tcBorders>
              <w:top w:val="single" w:sz="4" w:space="0" w:color="auto"/>
              <w:left w:val="nil"/>
              <w:bottom w:val="single" w:sz="4" w:space="0" w:color="auto"/>
              <w:right w:val="single" w:sz="4" w:space="0" w:color="auto"/>
            </w:tcBorders>
            <w:hideMark/>
          </w:tcPr>
          <w:p w14:paraId="6B16E7C0"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kern w:val="0"/>
                <w:szCs w:val="24"/>
              </w:rPr>
              <w:t>710.30</w:t>
            </w:r>
          </w:p>
        </w:tc>
        <w:tc>
          <w:tcPr>
            <w:tcW w:w="1476" w:type="dxa"/>
            <w:tcBorders>
              <w:top w:val="single" w:sz="4" w:space="0" w:color="auto"/>
              <w:left w:val="nil"/>
              <w:bottom w:val="single" w:sz="4" w:space="0" w:color="auto"/>
              <w:right w:val="single" w:sz="4" w:space="0" w:color="auto"/>
            </w:tcBorders>
            <w:hideMark/>
          </w:tcPr>
          <w:p w14:paraId="68C59E98"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kern w:val="0"/>
                <w:szCs w:val="24"/>
              </w:rPr>
              <w:t>42.10</w:t>
            </w:r>
          </w:p>
        </w:tc>
      </w:tr>
      <w:tr w:rsidR="00170150" w:rsidRPr="00F65475" w14:paraId="6E59E21A" w14:textId="77777777" w:rsidTr="009A6B96">
        <w:tc>
          <w:tcPr>
            <w:tcW w:w="1476" w:type="dxa"/>
            <w:tcBorders>
              <w:top w:val="single" w:sz="4" w:space="0" w:color="auto"/>
              <w:left w:val="single" w:sz="4" w:space="0" w:color="auto"/>
              <w:bottom w:val="single" w:sz="4" w:space="0" w:color="auto"/>
              <w:right w:val="single" w:sz="4" w:space="0" w:color="auto"/>
            </w:tcBorders>
            <w:hideMark/>
          </w:tcPr>
          <w:p w14:paraId="4D5F08FB"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szCs w:val="24"/>
              </w:rPr>
              <w:t>Y3</w:t>
            </w:r>
          </w:p>
        </w:tc>
        <w:tc>
          <w:tcPr>
            <w:tcW w:w="1476" w:type="dxa"/>
            <w:tcBorders>
              <w:top w:val="single" w:sz="4" w:space="0" w:color="auto"/>
              <w:left w:val="nil"/>
              <w:bottom w:val="single" w:sz="4" w:space="0" w:color="auto"/>
              <w:right w:val="single" w:sz="4" w:space="0" w:color="auto"/>
            </w:tcBorders>
            <w:hideMark/>
          </w:tcPr>
          <w:p w14:paraId="51E86278"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kern w:val="0"/>
                <w:szCs w:val="24"/>
              </w:rPr>
              <w:t>461</w:t>
            </w:r>
          </w:p>
        </w:tc>
        <w:tc>
          <w:tcPr>
            <w:tcW w:w="1476" w:type="dxa"/>
            <w:tcBorders>
              <w:top w:val="single" w:sz="4" w:space="0" w:color="auto"/>
              <w:left w:val="nil"/>
              <w:bottom w:val="single" w:sz="4" w:space="0" w:color="auto"/>
              <w:right w:val="single" w:sz="4" w:space="0" w:color="auto"/>
            </w:tcBorders>
            <w:hideMark/>
          </w:tcPr>
          <w:p w14:paraId="5B16834A"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kern w:val="0"/>
                <w:szCs w:val="24"/>
              </w:rPr>
              <w:t>3876.00</w:t>
            </w:r>
          </w:p>
        </w:tc>
        <w:tc>
          <w:tcPr>
            <w:tcW w:w="1476" w:type="dxa"/>
            <w:tcBorders>
              <w:top w:val="single" w:sz="4" w:space="0" w:color="auto"/>
              <w:left w:val="nil"/>
              <w:bottom w:val="single" w:sz="4" w:space="0" w:color="auto"/>
              <w:right w:val="single" w:sz="4" w:space="0" w:color="auto"/>
            </w:tcBorders>
            <w:hideMark/>
          </w:tcPr>
          <w:p w14:paraId="09B784BA"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kern w:val="0"/>
                <w:szCs w:val="24"/>
              </w:rPr>
              <w:t>3.07</w:t>
            </w:r>
          </w:p>
        </w:tc>
        <w:tc>
          <w:tcPr>
            <w:tcW w:w="1476" w:type="dxa"/>
            <w:tcBorders>
              <w:top w:val="single" w:sz="4" w:space="0" w:color="auto"/>
              <w:left w:val="nil"/>
              <w:bottom w:val="single" w:sz="4" w:space="0" w:color="auto"/>
              <w:right w:val="single" w:sz="4" w:space="0" w:color="auto"/>
            </w:tcBorders>
            <w:hideMark/>
          </w:tcPr>
          <w:p w14:paraId="606B9B0D"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kern w:val="0"/>
                <w:szCs w:val="24"/>
              </w:rPr>
              <w:t>872954.00</w:t>
            </w:r>
          </w:p>
        </w:tc>
        <w:tc>
          <w:tcPr>
            <w:tcW w:w="1476" w:type="dxa"/>
            <w:tcBorders>
              <w:top w:val="single" w:sz="4" w:space="0" w:color="auto"/>
              <w:left w:val="nil"/>
              <w:bottom w:val="single" w:sz="4" w:space="0" w:color="auto"/>
              <w:right w:val="single" w:sz="4" w:space="0" w:color="auto"/>
            </w:tcBorders>
            <w:hideMark/>
          </w:tcPr>
          <w:p w14:paraId="1B282681"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kern w:val="0"/>
                <w:szCs w:val="24"/>
              </w:rPr>
              <w:t>126.60</w:t>
            </w:r>
          </w:p>
        </w:tc>
      </w:tr>
      <w:tr w:rsidR="00170150" w:rsidRPr="00F65475" w14:paraId="7A403522" w14:textId="77777777" w:rsidTr="009A6B96">
        <w:tc>
          <w:tcPr>
            <w:tcW w:w="1476" w:type="dxa"/>
            <w:tcBorders>
              <w:top w:val="single" w:sz="4" w:space="0" w:color="auto"/>
              <w:left w:val="single" w:sz="4" w:space="0" w:color="auto"/>
              <w:bottom w:val="single" w:sz="4" w:space="0" w:color="auto"/>
              <w:right w:val="single" w:sz="4" w:space="0" w:color="auto"/>
            </w:tcBorders>
            <w:hideMark/>
          </w:tcPr>
          <w:p w14:paraId="0943E4FA"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szCs w:val="24"/>
              </w:rPr>
              <w:t>Efr</w:t>
            </w:r>
          </w:p>
        </w:tc>
        <w:tc>
          <w:tcPr>
            <w:tcW w:w="1476" w:type="dxa"/>
            <w:tcBorders>
              <w:top w:val="single" w:sz="4" w:space="0" w:color="auto"/>
              <w:left w:val="nil"/>
              <w:bottom w:val="single" w:sz="4" w:space="0" w:color="auto"/>
              <w:right w:val="single" w:sz="4" w:space="0" w:color="auto"/>
            </w:tcBorders>
            <w:hideMark/>
          </w:tcPr>
          <w:p w14:paraId="0CB40318"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kern w:val="0"/>
                <w:szCs w:val="24"/>
              </w:rPr>
              <w:t>493</w:t>
            </w:r>
          </w:p>
        </w:tc>
        <w:tc>
          <w:tcPr>
            <w:tcW w:w="1476" w:type="dxa"/>
            <w:tcBorders>
              <w:top w:val="single" w:sz="4" w:space="0" w:color="auto"/>
              <w:left w:val="nil"/>
              <w:bottom w:val="single" w:sz="4" w:space="0" w:color="auto"/>
              <w:right w:val="single" w:sz="4" w:space="0" w:color="auto"/>
            </w:tcBorders>
            <w:hideMark/>
          </w:tcPr>
          <w:p w14:paraId="70E77300"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kern w:val="0"/>
                <w:szCs w:val="24"/>
              </w:rPr>
              <w:t>19.43</w:t>
            </w:r>
          </w:p>
        </w:tc>
        <w:tc>
          <w:tcPr>
            <w:tcW w:w="1476" w:type="dxa"/>
            <w:tcBorders>
              <w:top w:val="single" w:sz="4" w:space="0" w:color="auto"/>
              <w:left w:val="nil"/>
              <w:bottom w:val="single" w:sz="4" w:space="0" w:color="auto"/>
              <w:right w:val="single" w:sz="4" w:space="0" w:color="auto"/>
            </w:tcBorders>
            <w:hideMark/>
          </w:tcPr>
          <w:p w14:paraId="7A33CB8C"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kern w:val="0"/>
                <w:szCs w:val="24"/>
              </w:rPr>
              <w:t>0.80</w:t>
            </w:r>
          </w:p>
        </w:tc>
        <w:tc>
          <w:tcPr>
            <w:tcW w:w="1476" w:type="dxa"/>
            <w:tcBorders>
              <w:top w:val="single" w:sz="4" w:space="0" w:color="auto"/>
              <w:left w:val="nil"/>
              <w:bottom w:val="single" w:sz="4" w:space="0" w:color="auto"/>
              <w:right w:val="single" w:sz="4" w:space="0" w:color="auto"/>
            </w:tcBorders>
            <w:hideMark/>
          </w:tcPr>
          <w:p w14:paraId="3014A023"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kern w:val="0"/>
                <w:szCs w:val="24"/>
              </w:rPr>
              <w:t>348.90</w:t>
            </w:r>
          </w:p>
        </w:tc>
        <w:tc>
          <w:tcPr>
            <w:tcW w:w="1476" w:type="dxa"/>
            <w:tcBorders>
              <w:top w:val="single" w:sz="4" w:space="0" w:color="auto"/>
              <w:left w:val="nil"/>
              <w:bottom w:val="single" w:sz="4" w:space="0" w:color="auto"/>
              <w:right w:val="single" w:sz="4" w:space="0" w:color="auto"/>
            </w:tcBorders>
            <w:hideMark/>
          </w:tcPr>
          <w:p w14:paraId="2250364F"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kern w:val="0"/>
                <w:szCs w:val="24"/>
              </w:rPr>
              <w:t>11.81</w:t>
            </w:r>
          </w:p>
        </w:tc>
      </w:tr>
      <w:tr w:rsidR="00170150" w:rsidRPr="00F65475" w14:paraId="7B177AB3" w14:textId="77777777" w:rsidTr="009A6B96">
        <w:tc>
          <w:tcPr>
            <w:tcW w:w="1476" w:type="dxa"/>
            <w:tcBorders>
              <w:top w:val="single" w:sz="4" w:space="0" w:color="auto"/>
              <w:left w:val="single" w:sz="4" w:space="0" w:color="auto"/>
              <w:bottom w:val="single" w:sz="4" w:space="0" w:color="auto"/>
              <w:right w:val="single" w:sz="4" w:space="0" w:color="auto"/>
            </w:tcBorders>
            <w:hideMark/>
          </w:tcPr>
          <w:p w14:paraId="0C4361A6"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kern w:val="0"/>
                <w:szCs w:val="24"/>
              </w:rPr>
              <w:t>Cfr</w:t>
            </w:r>
          </w:p>
        </w:tc>
        <w:tc>
          <w:tcPr>
            <w:tcW w:w="1476" w:type="dxa"/>
            <w:tcBorders>
              <w:top w:val="single" w:sz="4" w:space="0" w:color="auto"/>
              <w:left w:val="nil"/>
              <w:bottom w:val="single" w:sz="4" w:space="0" w:color="auto"/>
              <w:right w:val="single" w:sz="4" w:space="0" w:color="auto"/>
            </w:tcBorders>
            <w:hideMark/>
          </w:tcPr>
          <w:p w14:paraId="1005E05E"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kern w:val="0"/>
                <w:szCs w:val="24"/>
              </w:rPr>
              <w:t>493</w:t>
            </w:r>
          </w:p>
        </w:tc>
        <w:tc>
          <w:tcPr>
            <w:tcW w:w="1476" w:type="dxa"/>
            <w:tcBorders>
              <w:top w:val="single" w:sz="4" w:space="0" w:color="auto"/>
              <w:left w:val="nil"/>
              <w:bottom w:val="single" w:sz="4" w:space="0" w:color="auto"/>
              <w:right w:val="single" w:sz="4" w:space="0" w:color="auto"/>
            </w:tcBorders>
            <w:hideMark/>
          </w:tcPr>
          <w:p w14:paraId="4C7D3F6E"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kern w:val="0"/>
                <w:szCs w:val="24"/>
              </w:rPr>
              <w:t>17.39</w:t>
            </w:r>
          </w:p>
        </w:tc>
        <w:tc>
          <w:tcPr>
            <w:tcW w:w="1476" w:type="dxa"/>
            <w:tcBorders>
              <w:top w:val="single" w:sz="4" w:space="0" w:color="auto"/>
              <w:left w:val="nil"/>
              <w:bottom w:val="single" w:sz="4" w:space="0" w:color="auto"/>
              <w:right w:val="single" w:sz="4" w:space="0" w:color="auto"/>
            </w:tcBorders>
            <w:hideMark/>
          </w:tcPr>
          <w:p w14:paraId="7BF72B29"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kern w:val="0"/>
                <w:szCs w:val="24"/>
              </w:rPr>
              <w:t>0.07</w:t>
            </w:r>
          </w:p>
        </w:tc>
        <w:tc>
          <w:tcPr>
            <w:tcW w:w="1476" w:type="dxa"/>
            <w:tcBorders>
              <w:top w:val="single" w:sz="4" w:space="0" w:color="auto"/>
              <w:left w:val="nil"/>
              <w:bottom w:val="single" w:sz="4" w:space="0" w:color="auto"/>
              <w:right w:val="single" w:sz="4" w:space="0" w:color="auto"/>
            </w:tcBorders>
            <w:hideMark/>
          </w:tcPr>
          <w:p w14:paraId="543FB9AE"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kern w:val="0"/>
                <w:szCs w:val="24"/>
              </w:rPr>
              <w:t>57.75</w:t>
            </w:r>
          </w:p>
        </w:tc>
        <w:tc>
          <w:tcPr>
            <w:tcW w:w="1476" w:type="dxa"/>
            <w:tcBorders>
              <w:top w:val="single" w:sz="4" w:space="0" w:color="auto"/>
              <w:left w:val="nil"/>
              <w:bottom w:val="single" w:sz="4" w:space="0" w:color="auto"/>
              <w:right w:val="single" w:sz="4" w:space="0" w:color="auto"/>
            </w:tcBorders>
            <w:hideMark/>
          </w:tcPr>
          <w:p w14:paraId="2BC336BB"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kern w:val="0"/>
                <w:szCs w:val="24"/>
              </w:rPr>
              <w:t>13.24</w:t>
            </w:r>
          </w:p>
        </w:tc>
      </w:tr>
      <w:tr w:rsidR="00170150" w:rsidRPr="00F65475" w14:paraId="1203A202" w14:textId="77777777" w:rsidTr="009A6B96">
        <w:tc>
          <w:tcPr>
            <w:tcW w:w="1476" w:type="dxa"/>
            <w:tcBorders>
              <w:top w:val="single" w:sz="4" w:space="0" w:color="auto"/>
              <w:left w:val="single" w:sz="4" w:space="0" w:color="auto"/>
              <w:bottom w:val="single" w:sz="4" w:space="0" w:color="auto"/>
              <w:right w:val="single" w:sz="4" w:space="0" w:color="auto"/>
            </w:tcBorders>
            <w:hideMark/>
          </w:tcPr>
          <w:p w14:paraId="4ECB0BE7"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kern w:val="0"/>
                <w:szCs w:val="24"/>
              </w:rPr>
              <w:t>Edfr</w:t>
            </w:r>
          </w:p>
        </w:tc>
        <w:tc>
          <w:tcPr>
            <w:tcW w:w="1476" w:type="dxa"/>
            <w:tcBorders>
              <w:top w:val="single" w:sz="4" w:space="0" w:color="auto"/>
              <w:left w:val="nil"/>
              <w:bottom w:val="single" w:sz="4" w:space="0" w:color="auto"/>
              <w:right w:val="single" w:sz="4" w:space="0" w:color="auto"/>
            </w:tcBorders>
            <w:hideMark/>
          </w:tcPr>
          <w:p w14:paraId="5E9485E4"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kern w:val="0"/>
                <w:szCs w:val="24"/>
              </w:rPr>
              <w:t>493</w:t>
            </w:r>
          </w:p>
        </w:tc>
        <w:tc>
          <w:tcPr>
            <w:tcW w:w="1476" w:type="dxa"/>
            <w:tcBorders>
              <w:top w:val="single" w:sz="4" w:space="0" w:color="auto"/>
              <w:left w:val="nil"/>
              <w:bottom w:val="single" w:sz="4" w:space="0" w:color="auto"/>
              <w:right w:val="single" w:sz="4" w:space="0" w:color="auto"/>
            </w:tcBorders>
            <w:hideMark/>
          </w:tcPr>
          <w:p w14:paraId="02E16807"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kern w:val="0"/>
                <w:szCs w:val="24"/>
              </w:rPr>
              <w:t>11.54</w:t>
            </w:r>
          </w:p>
        </w:tc>
        <w:tc>
          <w:tcPr>
            <w:tcW w:w="1476" w:type="dxa"/>
            <w:tcBorders>
              <w:top w:val="single" w:sz="4" w:space="0" w:color="auto"/>
              <w:left w:val="nil"/>
              <w:bottom w:val="single" w:sz="4" w:space="0" w:color="auto"/>
              <w:right w:val="single" w:sz="4" w:space="0" w:color="auto"/>
            </w:tcBorders>
            <w:hideMark/>
          </w:tcPr>
          <w:p w14:paraId="1C60931C"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kern w:val="0"/>
                <w:szCs w:val="24"/>
              </w:rPr>
              <w:t>-276.30</w:t>
            </w:r>
          </w:p>
        </w:tc>
        <w:tc>
          <w:tcPr>
            <w:tcW w:w="1476" w:type="dxa"/>
            <w:tcBorders>
              <w:top w:val="single" w:sz="4" w:space="0" w:color="auto"/>
              <w:left w:val="nil"/>
              <w:bottom w:val="single" w:sz="4" w:space="0" w:color="auto"/>
              <w:right w:val="single" w:sz="4" w:space="0" w:color="auto"/>
            </w:tcBorders>
            <w:hideMark/>
          </w:tcPr>
          <w:p w14:paraId="3FF8665A"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kern w:val="0"/>
                <w:szCs w:val="24"/>
              </w:rPr>
              <w:t>78.95</w:t>
            </w:r>
          </w:p>
        </w:tc>
        <w:tc>
          <w:tcPr>
            <w:tcW w:w="1476" w:type="dxa"/>
            <w:tcBorders>
              <w:top w:val="single" w:sz="4" w:space="0" w:color="auto"/>
              <w:left w:val="nil"/>
              <w:bottom w:val="single" w:sz="4" w:space="0" w:color="auto"/>
              <w:right w:val="single" w:sz="4" w:space="0" w:color="auto"/>
            </w:tcBorders>
            <w:hideMark/>
          </w:tcPr>
          <w:p w14:paraId="377B589F"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kern w:val="0"/>
                <w:szCs w:val="24"/>
              </w:rPr>
              <w:t>12.43</w:t>
            </w:r>
          </w:p>
        </w:tc>
      </w:tr>
      <w:tr w:rsidR="00170150" w:rsidRPr="00F65475" w14:paraId="586C9C78" w14:textId="77777777" w:rsidTr="009A6B96">
        <w:tc>
          <w:tcPr>
            <w:tcW w:w="1476" w:type="dxa"/>
            <w:tcBorders>
              <w:top w:val="single" w:sz="4" w:space="0" w:color="auto"/>
              <w:left w:val="single" w:sz="4" w:space="0" w:color="auto"/>
              <w:bottom w:val="single" w:sz="4" w:space="0" w:color="auto"/>
              <w:right w:val="single" w:sz="4" w:space="0" w:color="auto"/>
            </w:tcBorders>
            <w:hideMark/>
          </w:tcPr>
          <w:p w14:paraId="306ADCD3"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kern w:val="0"/>
                <w:szCs w:val="24"/>
              </w:rPr>
              <w:t>Ffr</w:t>
            </w:r>
          </w:p>
        </w:tc>
        <w:tc>
          <w:tcPr>
            <w:tcW w:w="1476" w:type="dxa"/>
            <w:tcBorders>
              <w:top w:val="single" w:sz="4" w:space="0" w:color="auto"/>
              <w:left w:val="nil"/>
              <w:bottom w:val="single" w:sz="4" w:space="0" w:color="auto"/>
              <w:right w:val="single" w:sz="4" w:space="0" w:color="auto"/>
            </w:tcBorders>
            <w:hideMark/>
          </w:tcPr>
          <w:p w14:paraId="0EA66A0A"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kern w:val="0"/>
                <w:szCs w:val="24"/>
              </w:rPr>
              <w:t>493</w:t>
            </w:r>
          </w:p>
        </w:tc>
        <w:tc>
          <w:tcPr>
            <w:tcW w:w="1476" w:type="dxa"/>
            <w:tcBorders>
              <w:top w:val="single" w:sz="4" w:space="0" w:color="auto"/>
              <w:left w:val="nil"/>
              <w:bottom w:val="single" w:sz="4" w:space="0" w:color="auto"/>
              <w:right w:val="single" w:sz="4" w:space="0" w:color="auto"/>
            </w:tcBorders>
            <w:hideMark/>
          </w:tcPr>
          <w:p w14:paraId="213EBDE1"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kern w:val="0"/>
                <w:szCs w:val="24"/>
              </w:rPr>
              <w:t>4.25</w:t>
            </w:r>
          </w:p>
        </w:tc>
        <w:tc>
          <w:tcPr>
            <w:tcW w:w="1476" w:type="dxa"/>
            <w:tcBorders>
              <w:top w:val="single" w:sz="4" w:space="0" w:color="auto"/>
              <w:left w:val="nil"/>
              <w:bottom w:val="single" w:sz="4" w:space="0" w:color="auto"/>
              <w:right w:val="single" w:sz="4" w:space="0" w:color="auto"/>
            </w:tcBorders>
            <w:hideMark/>
          </w:tcPr>
          <w:p w14:paraId="7F0715B6"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kern w:val="0"/>
                <w:szCs w:val="24"/>
              </w:rPr>
              <w:t>-0.68</w:t>
            </w:r>
          </w:p>
        </w:tc>
        <w:tc>
          <w:tcPr>
            <w:tcW w:w="1476" w:type="dxa"/>
            <w:tcBorders>
              <w:top w:val="single" w:sz="4" w:space="0" w:color="auto"/>
              <w:left w:val="nil"/>
              <w:bottom w:val="single" w:sz="4" w:space="0" w:color="auto"/>
              <w:right w:val="single" w:sz="4" w:space="0" w:color="auto"/>
            </w:tcBorders>
            <w:hideMark/>
          </w:tcPr>
          <w:p w14:paraId="4DD8D111"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kern w:val="0"/>
                <w:szCs w:val="24"/>
              </w:rPr>
              <w:t>35.61</w:t>
            </w:r>
          </w:p>
        </w:tc>
        <w:tc>
          <w:tcPr>
            <w:tcW w:w="1476" w:type="dxa"/>
            <w:tcBorders>
              <w:top w:val="single" w:sz="4" w:space="0" w:color="auto"/>
              <w:left w:val="nil"/>
              <w:bottom w:val="single" w:sz="4" w:space="0" w:color="auto"/>
              <w:right w:val="single" w:sz="4" w:space="0" w:color="auto"/>
            </w:tcBorders>
            <w:hideMark/>
          </w:tcPr>
          <w:p w14:paraId="11D94D06"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kern w:val="0"/>
                <w:szCs w:val="24"/>
              </w:rPr>
              <w:t>3.12</w:t>
            </w:r>
          </w:p>
        </w:tc>
      </w:tr>
      <w:tr w:rsidR="00170150" w:rsidRPr="00F65475" w14:paraId="411F8A1D" w14:textId="77777777" w:rsidTr="009A6B96">
        <w:tc>
          <w:tcPr>
            <w:tcW w:w="1476" w:type="dxa"/>
            <w:tcBorders>
              <w:top w:val="single" w:sz="4" w:space="0" w:color="auto"/>
              <w:left w:val="single" w:sz="4" w:space="0" w:color="auto"/>
              <w:bottom w:val="single" w:sz="4" w:space="0" w:color="auto"/>
              <w:right w:val="single" w:sz="4" w:space="0" w:color="auto"/>
            </w:tcBorders>
            <w:hideMark/>
          </w:tcPr>
          <w:p w14:paraId="59BB97C3"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kern w:val="0"/>
                <w:szCs w:val="24"/>
              </w:rPr>
              <w:t>Dfr</w:t>
            </w:r>
          </w:p>
        </w:tc>
        <w:tc>
          <w:tcPr>
            <w:tcW w:w="1476" w:type="dxa"/>
            <w:tcBorders>
              <w:top w:val="single" w:sz="4" w:space="0" w:color="auto"/>
              <w:left w:val="nil"/>
              <w:bottom w:val="single" w:sz="4" w:space="0" w:color="auto"/>
              <w:right w:val="single" w:sz="4" w:space="0" w:color="auto"/>
            </w:tcBorders>
            <w:hideMark/>
          </w:tcPr>
          <w:p w14:paraId="0CB9EA76"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kern w:val="0"/>
                <w:szCs w:val="24"/>
              </w:rPr>
              <w:t>289</w:t>
            </w:r>
          </w:p>
        </w:tc>
        <w:tc>
          <w:tcPr>
            <w:tcW w:w="1476" w:type="dxa"/>
            <w:tcBorders>
              <w:top w:val="single" w:sz="4" w:space="0" w:color="auto"/>
              <w:left w:val="nil"/>
              <w:bottom w:val="single" w:sz="4" w:space="0" w:color="auto"/>
              <w:right w:val="single" w:sz="4" w:space="0" w:color="auto"/>
            </w:tcBorders>
            <w:hideMark/>
          </w:tcPr>
          <w:p w14:paraId="53646371"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kern w:val="0"/>
                <w:szCs w:val="24"/>
              </w:rPr>
              <w:t>7.90</w:t>
            </w:r>
          </w:p>
        </w:tc>
        <w:tc>
          <w:tcPr>
            <w:tcW w:w="1476" w:type="dxa"/>
            <w:tcBorders>
              <w:top w:val="single" w:sz="4" w:space="0" w:color="auto"/>
              <w:left w:val="nil"/>
              <w:bottom w:val="single" w:sz="4" w:space="0" w:color="auto"/>
              <w:right w:val="single" w:sz="4" w:space="0" w:color="auto"/>
            </w:tcBorders>
            <w:hideMark/>
          </w:tcPr>
          <w:p w14:paraId="4D47D731"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kern w:val="0"/>
                <w:szCs w:val="24"/>
              </w:rPr>
              <w:t>0.18</w:t>
            </w:r>
          </w:p>
        </w:tc>
        <w:tc>
          <w:tcPr>
            <w:tcW w:w="1476" w:type="dxa"/>
            <w:tcBorders>
              <w:top w:val="single" w:sz="4" w:space="0" w:color="auto"/>
              <w:left w:val="nil"/>
              <w:bottom w:val="single" w:sz="4" w:space="0" w:color="auto"/>
              <w:right w:val="single" w:sz="4" w:space="0" w:color="auto"/>
            </w:tcBorders>
            <w:hideMark/>
          </w:tcPr>
          <w:p w14:paraId="58175747"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kern w:val="0"/>
                <w:szCs w:val="24"/>
              </w:rPr>
              <w:t>33.15</w:t>
            </w:r>
          </w:p>
        </w:tc>
        <w:tc>
          <w:tcPr>
            <w:tcW w:w="1476" w:type="dxa"/>
            <w:tcBorders>
              <w:top w:val="single" w:sz="4" w:space="0" w:color="auto"/>
              <w:left w:val="nil"/>
              <w:bottom w:val="single" w:sz="4" w:space="0" w:color="auto"/>
              <w:right w:val="single" w:sz="4" w:space="0" w:color="auto"/>
            </w:tcBorders>
            <w:hideMark/>
          </w:tcPr>
          <w:p w14:paraId="127C2EE4" w14:textId="77777777" w:rsidR="00170150" w:rsidRPr="00F65475" w:rsidRDefault="00170150" w:rsidP="009A6B96">
            <w:pPr>
              <w:jc w:val="center"/>
              <w:rPr>
                <w:rFonts w:ascii="宋体" w:eastAsia="宋体" w:hAnsi="宋体" w:cs="Times New Roman"/>
                <w:szCs w:val="24"/>
              </w:rPr>
            </w:pPr>
            <w:r w:rsidRPr="00F65475">
              <w:rPr>
                <w:rFonts w:ascii="宋体" w:eastAsia="宋体" w:hAnsi="宋体" w:cs="Times New Roman"/>
                <w:kern w:val="0"/>
                <w:szCs w:val="24"/>
              </w:rPr>
              <w:t>6.71</w:t>
            </w:r>
          </w:p>
        </w:tc>
      </w:tr>
    </w:tbl>
    <w:p w14:paraId="72025798" w14:textId="77777777" w:rsidR="00170150" w:rsidRPr="00F65475" w:rsidRDefault="00170150" w:rsidP="00F65475">
      <w:pPr>
        <w:ind w:firstLineChars="200" w:firstLine="480"/>
        <w:rPr>
          <w:rFonts w:ascii="宋体" w:eastAsia="宋体" w:hAnsi="宋体"/>
          <w:sz w:val="24"/>
          <w:szCs w:val="24"/>
        </w:rPr>
      </w:pPr>
      <w:r w:rsidRPr="00F65475">
        <w:rPr>
          <w:rFonts w:ascii="宋体" w:eastAsia="宋体" w:hAnsi="宋体" w:hint="eastAsia"/>
          <w:sz w:val="24"/>
          <w:szCs w:val="24"/>
        </w:rPr>
        <w:t>在所选1</w:t>
      </w:r>
      <w:r w:rsidRPr="00F65475">
        <w:rPr>
          <w:rFonts w:ascii="宋体" w:eastAsia="宋体" w:hAnsi="宋体"/>
          <w:sz w:val="24"/>
          <w:szCs w:val="24"/>
        </w:rPr>
        <w:t>17</w:t>
      </w:r>
      <w:r w:rsidRPr="00F65475">
        <w:rPr>
          <w:rFonts w:ascii="宋体" w:eastAsia="宋体" w:hAnsi="宋体" w:hint="eastAsia"/>
          <w:sz w:val="24"/>
          <w:szCs w:val="24"/>
        </w:rPr>
        <w:t>家上市房地产企业组成的面板数据中，可以得出以下结论。在2</w:t>
      </w:r>
      <w:r w:rsidRPr="00F65475">
        <w:rPr>
          <w:rFonts w:ascii="宋体" w:eastAsia="宋体" w:hAnsi="宋体"/>
          <w:sz w:val="24"/>
          <w:szCs w:val="24"/>
        </w:rPr>
        <w:t>017-2021</w:t>
      </w:r>
      <w:r w:rsidRPr="00F65475">
        <w:rPr>
          <w:rFonts w:ascii="宋体" w:eastAsia="宋体" w:hAnsi="宋体" w:hint="eastAsia"/>
          <w:sz w:val="24"/>
          <w:szCs w:val="24"/>
        </w:rPr>
        <w:t>年间，这些房地产企业的“剔除预收款后的资产负债率”在</w:t>
      </w:r>
      <w:r w:rsidRPr="00F65475">
        <w:rPr>
          <w:rFonts w:ascii="宋体" w:eastAsia="宋体" w:hAnsi="宋体"/>
          <w:sz w:val="24"/>
          <w:szCs w:val="24"/>
        </w:rPr>
        <w:t>9.74%</w:t>
      </w:r>
      <w:r w:rsidRPr="00F65475">
        <w:rPr>
          <w:rFonts w:ascii="宋体" w:eastAsia="宋体" w:hAnsi="宋体" w:hint="eastAsia"/>
          <w:sz w:val="24"/>
          <w:szCs w:val="24"/>
        </w:rPr>
        <w:t>~</w:t>
      </w:r>
      <w:r w:rsidRPr="00F65475">
        <w:rPr>
          <w:rFonts w:ascii="宋体" w:eastAsia="宋体" w:hAnsi="宋体"/>
          <w:sz w:val="24"/>
          <w:szCs w:val="24"/>
        </w:rPr>
        <w:t>91.61%</w:t>
      </w:r>
      <w:r w:rsidRPr="00F65475">
        <w:rPr>
          <w:rFonts w:ascii="宋体" w:eastAsia="宋体" w:hAnsi="宋体" w:hint="eastAsia"/>
          <w:sz w:val="24"/>
          <w:szCs w:val="24"/>
        </w:rPr>
        <w:t>之间，中位数为5</w:t>
      </w:r>
      <w:r w:rsidRPr="00F65475">
        <w:rPr>
          <w:rFonts w:ascii="宋体" w:eastAsia="宋体" w:hAnsi="宋体"/>
          <w:sz w:val="24"/>
          <w:szCs w:val="24"/>
        </w:rPr>
        <w:t>5.78%</w:t>
      </w:r>
      <w:r w:rsidRPr="00F65475">
        <w:rPr>
          <w:rFonts w:ascii="宋体" w:eastAsia="宋体" w:hAnsi="宋体" w:hint="eastAsia"/>
          <w:sz w:val="24"/>
          <w:szCs w:val="24"/>
        </w:rPr>
        <w:t>；“净负债率”在-</w:t>
      </w:r>
      <w:r w:rsidRPr="00F65475">
        <w:rPr>
          <w:rFonts w:ascii="宋体" w:eastAsia="宋体" w:hAnsi="宋体"/>
          <w:sz w:val="24"/>
          <w:szCs w:val="24"/>
        </w:rPr>
        <w:t>168.40%~710.30%</w:t>
      </w:r>
      <w:r w:rsidRPr="00F65475">
        <w:rPr>
          <w:rFonts w:ascii="宋体" w:eastAsia="宋体" w:hAnsi="宋体" w:hint="eastAsia"/>
          <w:sz w:val="24"/>
          <w:szCs w:val="24"/>
        </w:rPr>
        <w:t>之间，中位数为4</w:t>
      </w:r>
      <w:r w:rsidRPr="00F65475">
        <w:rPr>
          <w:rFonts w:ascii="宋体" w:eastAsia="宋体" w:hAnsi="宋体"/>
          <w:sz w:val="24"/>
          <w:szCs w:val="24"/>
        </w:rPr>
        <w:t>2.10%</w:t>
      </w:r>
      <w:r w:rsidRPr="00F65475">
        <w:rPr>
          <w:rFonts w:ascii="宋体" w:eastAsia="宋体" w:hAnsi="宋体" w:hint="eastAsia"/>
          <w:sz w:val="24"/>
          <w:szCs w:val="24"/>
        </w:rPr>
        <w:t>；“现金短债比”在3</w:t>
      </w:r>
      <w:r w:rsidRPr="00F65475">
        <w:rPr>
          <w:rFonts w:ascii="宋体" w:eastAsia="宋体" w:hAnsi="宋体"/>
          <w:sz w:val="24"/>
          <w:szCs w:val="24"/>
        </w:rPr>
        <w:t>.07%~872954%</w:t>
      </w:r>
      <w:r w:rsidRPr="00F65475">
        <w:rPr>
          <w:rFonts w:ascii="宋体" w:eastAsia="宋体" w:hAnsi="宋体" w:hint="eastAsia"/>
          <w:sz w:val="24"/>
          <w:szCs w:val="24"/>
        </w:rPr>
        <w:t>之间，中位数为1</w:t>
      </w:r>
      <w:r w:rsidRPr="00F65475">
        <w:rPr>
          <w:rFonts w:ascii="宋体" w:eastAsia="宋体" w:hAnsi="宋体"/>
          <w:sz w:val="24"/>
          <w:szCs w:val="24"/>
        </w:rPr>
        <w:t>26.6%</w:t>
      </w:r>
      <w:r w:rsidRPr="00F65475">
        <w:rPr>
          <w:rFonts w:ascii="宋体" w:eastAsia="宋体" w:hAnsi="宋体" w:hint="eastAsia"/>
          <w:sz w:val="24"/>
          <w:szCs w:val="24"/>
        </w:rPr>
        <w:t>；“股权融资率”在</w:t>
      </w:r>
      <w:r w:rsidRPr="00F65475">
        <w:rPr>
          <w:rFonts w:ascii="宋体" w:eastAsia="宋体" w:hAnsi="宋体"/>
          <w:sz w:val="24"/>
          <w:szCs w:val="24"/>
        </w:rPr>
        <w:t>0.8%~348.8%</w:t>
      </w:r>
      <w:r w:rsidRPr="00F65475">
        <w:rPr>
          <w:rFonts w:ascii="宋体" w:eastAsia="宋体" w:hAnsi="宋体" w:hint="eastAsia"/>
          <w:sz w:val="24"/>
          <w:szCs w:val="24"/>
        </w:rPr>
        <w:t>之间，中位数为1</w:t>
      </w:r>
      <w:r w:rsidRPr="00F65475">
        <w:rPr>
          <w:rFonts w:ascii="宋体" w:eastAsia="宋体" w:hAnsi="宋体"/>
          <w:sz w:val="24"/>
          <w:szCs w:val="24"/>
        </w:rPr>
        <w:t>1.81%</w:t>
      </w:r>
      <w:r w:rsidRPr="00F65475">
        <w:rPr>
          <w:rFonts w:ascii="宋体" w:eastAsia="宋体" w:hAnsi="宋体" w:hint="eastAsia"/>
          <w:sz w:val="24"/>
          <w:szCs w:val="24"/>
        </w:rPr>
        <w:t>，“商业信用融资率”在0</w:t>
      </w:r>
      <w:r w:rsidRPr="00F65475">
        <w:rPr>
          <w:rFonts w:ascii="宋体" w:eastAsia="宋体" w:hAnsi="宋体"/>
          <w:sz w:val="24"/>
          <w:szCs w:val="24"/>
        </w:rPr>
        <w:t>.07%~57.75%</w:t>
      </w:r>
      <w:r w:rsidRPr="00F65475">
        <w:rPr>
          <w:rFonts w:ascii="宋体" w:eastAsia="宋体" w:hAnsi="宋体" w:hint="eastAsia"/>
          <w:sz w:val="24"/>
          <w:szCs w:val="24"/>
        </w:rPr>
        <w:t>之间，中位数为1</w:t>
      </w:r>
      <w:r w:rsidRPr="00F65475">
        <w:rPr>
          <w:rFonts w:ascii="宋体" w:eastAsia="宋体" w:hAnsi="宋体"/>
          <w:sz w:val="24"/>
          <w:szCs w:val="24"/>
        </w:rPr>
        <w:t>3</w:t>
      </w:r>
      <w:r w:rsidRPr="00F65475">
        <w:rPr>
          <w:rFonts w:ascii="宋体" w:eastAsia="宋体" w:hAnsi="宋体" w:hint="eastAsia"/>
          <w:sz w:val="24"/>
          <w:szCs w:val="24"/>
        </w:rPr>
        <w:t>.</w:t>
      </w:r>
      <w:r w:rsidRPr="00F65475">
        <w:rPr>
          <w:rFonts w:ascii="宋体" w:eastAsia="宋体" w:hAnsi="宋体"/>
          <w:sz w:val="24"/>
          <w:szCs w:val="24"/>
        </w:rPr>
        <w:t>24%</w:t>
      </w:r>
      <w:r w:rsidRPr="00F65475">
        <w:rPr>
          <w:rFonts w:ascii="宋体" w:eastAsia="宋体" w:hAnsi="宋体" w:hint="eastAsia"/>
          <w:sz w:val="24"/>
          <w:szCs w:val="24"/>
        </w:rPr>
        <w:t>；“内源融资率”在-</w:t>
      </w:r>
      <w:r w:rsidRPr="00F65475">
        <w:rPr>
          <w:rFonts w:ascii="宋体" w:eastAsia="宋体" w:hAnsi="宋体"/>
          <w:sz w:val="24"/>
          <w:szCs w:val="24"/>
        </w:rPr>
        <w:t>276.3%~78.95%</w:t>
      </w:r>
      <w:r w:rsidRPr="00F65475">
        <w:rPr>
          <w:rFonts w:ascii="宋体" w:eastAsia="宋体" w:hAnsi="宋体" w:hint="eastAsia"/>
          <w:sz w:val="24"/>
          <w:szCs w:val="24"/>
        </w:rPr>
        <w:t>之间，中位数为1</w:t>
      </w:r>
      <w:r w:rsidRPr="00F65475">
        <w:rPr>
          <w:rFonts w:ascii="宋体" w:eastAsia="宋体" w:hAnsi="宋体"/>
          <w:sz w:val="24"/>
          <w:szCs w:val="24"/>
        </w:rPr>
        <w:t>2.43%</w:t>
      </w:r>
      <w:r w:rsidRPr="00F65475">
        <w:rPr>
          <w:rFonts w:ascii="宋体" w:eastAsia="宋体" w:hAnsi="宋体" w:hint="eastAsia"/>
          <w:sz w:val="24"/>
          <w:szCs w:val="24"/>
        </w:rPr>
        <w:t>；“财政融资率”在-</w:t>
      </w:r>
      <w:r w:rsidRPr="00F65475">
        <w:rPr>
          <w:rFonts w:ascii="宋体" w:eastAsia="宋体" w:hAnsi="宋体"/>
          <w:sz w:val="24"/>
          <w:szCs w:val="24"/>
        </w:rPr>
        <w:t>0.68%~35.61%</w:t>
      </w:r>
      <w:r w:rsidRPr="00F65475">
        <w:rPr>
          <w:rFonts w:ascii="宋体" w:eastAsia="宋体" w:hAnsi="宋体" w:hint="eastAsia"/>
          <w:sz w:val="24"/>
          <w:szCs w:val="24"/>
        </w:rPr>
        <w:t>之间，中位数为3</w:t>
      </w:r>
      <w:r w:rsidRPr="00F65475">
        <w:rPr>
          <w:rFonts w:ascii="宋体" w:eastAsia="宋体" w:hAnsi="宋体"/>
          <w:sz w:val="24"/>
          <w:szCs w:val="24"/>
        </w:rPr>
        <w:t>.12%</w:t>
      </w:r>
      <w:r w:rsidRPr="00F65475">
        <w:rPr>
          <w:rFonts w:ascii="宋体" w:eastAsia="宋体" w:hAnsi="宋体" w:hint="eastAsia"/>
          <w:sz w:val="24"/>
          <w:szCs w:val="24"/>
        </w:rPr>
        <w:t>；“债券融资率在”在0</w:t>
      </w:r>
      <w:r w:rsidRPr="00F65475">
        <w:rPr>
          <w:rFonts w:ascii="宋体" w:eastAsia="宋体" w:hAnsi="宋体"/>
          <w:sz w:val="24"/>
          <w:szCs w:val="24"/>
        </w:rPr>
        <w:t>.18%~33.15%</w:t>
      </w:r>
      <w:r w:rsidRPr="00F65475">
        <w:rPr>
          <w:rFonts w:ascii="宋体" w:eastAsia="宋体" w:hAnsi="宋体" w:hint="eastAsia"/>
          <w:sz w:val="24"/>
          <w:szCs w:val="24"/>
        </w:rPr>
        <w:t>之间，中位数为6</w:t>
      </w:r>
      <w:r w:rsidRPr="00F65475">
        <w:rPr>
          <w:rFonts w:ascii="宋体" w:eastAsia="宋体" w:hAnsi="宋体"/>
          <w:sz w:val="24"/>
          <w:szCs w:val="24"/>
        </w:rPr>
        <w:t>.71%</w:t>
      </w:r>
      <w:r w:rsidRPr="00F65475">
        <w:rPr>
          <w:rFonts w:ascii="宋体" w:eastAsia="宋体" w:hAnsi="宋体" w:hint="eastAsia"/>
          <w:sz w:val="24"/>
          <w:szCs w:val="24"/>
        </w:rPr>
        <w:t>。</w:t>
      </w:r>
    </w:p>
    <w:p w14:paraId="5EE752FC" w14:textId="77777777" w:rsidR="00170150" w:rsidRDefault="00170150" w:rsidP="00170150">
      <w:pPr>
        <w:pStyle w:val="4"/>
      </w:pPr>
      <w:r>
        <w:t xml:space="preserve">3.4.1.2 </w:t>
      </w:r>
      <w:r>
        <w:rPr>
          <w:rFonts w:hint="eastAsia"/>
        </w:rPr>
        <w:t>截面数据描述性统计分析</w:t>
      </w:r>
    </w:p>
    <w:tbl>
      <w:tblPr>
        <w:tblW w:w="87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1060"/>
        <w:gridCol w:w="960"/>
        <w:gridCol w:w="960"/>
        <w:gridCol w:w="960"/>
        <w:gridCol w:w="960"/>
        <w:gridCol w:w="960"/>
      </w:tblGrid>
      <w:tr w:rsidR="00170150" w:rsidRPr="00F65475" w14:paraId="6C1C5D67" w14:textId="77777777" w:rsidTr="009A6B96">
        <w:trPr>
          <w:trHeight w:val="250"/>
        </w:trPr>
        <w:tc>
          <w:tcPr>
            <w:tcW w:w="960" w:type="dxa"/>
            <w:shd w:val="clear" w:color="auto" w:fill="auto"/>
            <w:noWrap/>
            <w:vAlign w:val="center"/>
            <w:hideMark/>
          </w:tcPr>
          <w:p w14:paraId="6B67759F" w14:textId="77777777" w:rsidR="00170150" w:rsidRPr="00F65475" w:rsidRDefault="00170150" w:rsidP="009A6B96">
            <w:pPr>
              <w:widowControl/>
              <w:jc w:val="left"/>
              <w:rPr>
                <w:rFonts w:ascii="宋体" w:eastAsia="宋体" w:hAnsi="宋体" w:cs="宋体"/>
                <w:kern w:val="0"/>
                <w:sz w:val="20"/>
                <w:szCs w:val="24"/>
              </w:rPr>
            </w:pPr>
          </w:p>
        </w:tc>
        <w:tc>
          <w:tcPr>
            <w:tcW w:w="960" w:type="dxa"/>
            <w:shd w:val="clear" w:color="auto" w:fill="auto"/>
            <w:noWrap/>
            <w:vAlign w:val="center"/>
            <w:hideMark/>
          </w:tcPr>
          <w:p w14:paraId="7B183A10"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y1</w:t>
            </w:r>
          </w:p>
        </w:tc>
        <w:tc>
          <w:tcPr>
            <w:tcW w:w="960" w:type="dxa"/>
            <w:shd w:val="clear" w:color="auto" w:fill="auto"/>
            <w:noWrap/>
            <w:vAlign w:val="center"/>
            <w:hideMark/>
          </w:tcPr>
          <w:p w14:paraId="6B7867D4"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y2</w:t>
            </w:r>
          </w:p>
        </w:tc>
        <w:tc>
          <w:tcPr>
            <w:tcW w:w="1060" w:type="dxa"/>
            <w:shd w:val="clear" w:color="auto" w:fill="auto"/>
            <w:noWrap/>
            <w:vAlign w:val="center"/>
            <w:hideMark/>
          </w:tcPr>
          <w:p w14:paraId="05341F23"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y3</w:t>
            </w:r>
          </w:p>
        </w:tc>
        <w:tc>
          <w:tcPr>
            <w:tcW w:w="960" w:type="dxa"/>
            <w:shd w:val="clear" w:color="auto" w:fill="auto"/>
            <w:noWrap/>
            <w:vAlign w:val="center"/>
            <w:hideMark/>
          </w:tcPr>
          <w:p w14:paraId="3B9B4394"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x1</w:t>
            </w:r>
          </w:p>
        </w:tc>
        <w:tc>
          <w:tcPr>
            <w:tcW w:w="960" w:type="dxa"/>
            <w:shd w:val="clear" w:color="auto" w:fill="auto"/>
            <w:noWrap/>
            <w:vAlign w:val="center"/>
            <w:hideMark/>
          </w:tcPr>
          <w:p w14:paraId="4E7C51A4"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x2</w:t>
            </w:r>
          </w:p>
        </w:tc>
        <w:tc>
          <w:tcPr>
            <w:tcW w:w="960" w:type="dxa"/>
            <w:shd w:val="clear" w:color="auto" w:fill="auto"/>
            <w:noWrap/>
            <w:vAlign w:val="center"/>
            <w:hideMark/>
          </w:tcPr>
          <w:p w14:paraId="1254E85B"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x3</w:t>
            </w:r>
          </w:p>
        </w:tc>
        <w:tc>
          <w:tcPr>
            <w:tcW w:w="960" w:type="dxa"/>
            <w:shd w:val="clear" w:color="auto" w:fill="auto"/>
            <w:noWrap/>
            <w:vAlign w:val="center"/>
            <w:hideMark/>
          </w:tcPr>
          <w:p w14:paraId="5E62B47D"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x4</w:t>
            </w:r>
          </w:p>
        </w:tc>
        <w:tc>
          <w:tcPr>
            <w:tcW w:w="960" w:type="dxa"/>
            <w:shd w:val="clear" w:color="auto" w:fill="auto"/>
            <w:noWrap/>
            <w:vAlign w:val="center"/>
            <w:hideMark/>
          </w:tcPr>
          <w:p w14:paraId="0BB2F98D"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x5</w:t>
            </w:r>
          </w:p>
        </w:tc>
      </w:tr>
      <w:tr w:rsidR="00170150" w:rsidRPr="00F65475" w14:paraId="2397C4AB" w14:textId="77777777" w:rsidTr="009A6B96">
        <w:trPr>
          <w:trHeight w:val="250"/>
        </w:trPr>
        <w:tc>
          <w:tcPr>
            <w:tcW w:w="960" w:type="dxa"/>
            <w:shd w:val="clear" w:color="auto" w:fill="auto"/>
            <w:noWrap/>
            <w:vAlign w:val="center"/>
            <w:hideMark/>
          </w:tcPr>
          <w:p w14:paraId="173827B0"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2017</w:t>
            </w:r>
          </w:p>
        </w:tc>
        <w:tc>
          <w:tcPr>
            <w:tcW w:w="960" w:type="dxa"/>
            <w:shd w:val="clear" w:color="auto" w:fill="auto"/>
            <w:noWrap/>
            <w:vAlign w:val="center"/>
            <w:hideMark/>
          </w:tcPr>
          <w:p w14:paraId="60575ABC"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 xml:space="preserve">55.547 </w:t>
            </w:r>
          </w:p>
        </w:tc>
        <w:tc>
          <w:tcPr>
            <w:tcW w:w="960" w:type="dxa"/>
            <w:shd w:val="clear" w:color="auto" w:fill="auto"/>
            <w:noWrap/>
            <w:vAlign w:val="center"/>
            <w:hideMark/>
          </w:tcPr>
          <w:p w14:paraId="1240C94C"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 xml:space="preserve">63.218 </w:t>
            </w:r>
          </w:p>
        </w:tc>
        <w:tc>
          <w:tcPr>
            <w:tcW w:w="1060" w:type="dxa"/>
            <w:shd w:val="clear" w:color="auto" w:fill="auto"/>
            <w:noWrap/>
            <w:vAlign w:val="center"/>
            <w:hideMark/>
          </w:tcPr>
          <w:p w14:paraId="5A772AC5"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 xml:space="preserve">3825.968 </w:t>
            </w:r>
          </w:p>
        </w:tc>
        <w:tc>
          <w:tcPr>
            <w:tcW w:w="960" w:type="dxa"/>
            <w:shd w:val="clear" w:color="auto" w:fill="auto"/>
            <w:noWrap/>
            <w:vAlign w:val="center"/>
            <w:hideMark/>
          </w:tcPr>
          <w:p w14:paraId="28B0B051"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 xml:space="preserve">19.425 </w:t>
            </w:r>
          </w:p>
        </w:tc>
        <w:tc>
          <w:tcPr>
            <w:tcW w:w="960" w:type="dxa"/>
            <w:shd w:val="clear" w:color="auto" w:fill="auto"/>
            <w:noWrap/>
            <w:vAlign w:val="center"/>
            <w:hideMark/>
          </w:tcPr>
          <w:p w14:paraId="1D68EAB8"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 xml:space="preserve">17.390 </w:t>
            </w:r>
          </w:p>
        </w:tc>
        <w:tc>
          <w:tcPr>
            <w:tcW w:w="960" w:type="dxa"/>
            <w:shd w:val="clear" w:color="auto" w:fill="auto"/>
            <w:noWrap/>
            <w:vAlign w:val="center"/>
            <w:hideMark/>
          </w:tcPr>
          <w:p w14:paraId="5D015FC5"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 xml:space="preserve">11.543 </w:t>
            </w:r>
          </w:p>
        </w:tc>
        <w:tc>
          <w:tcPr>
            <w:tcW w:w="960" w:type="dxa"/>
            <w:shd w:val="clear" w:color="auto" w:fill="auto"/>
            <w:noWrap/>
            <w:vAlign w:val="center"/>
            <w:hideMark/>
          </w:tcPr>
          <w:p w14:paraId="18C3FAFC"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 xml:space="preserve">4.250 </w:t>
            </w:r>
          </w:p>
        </w:tc>
        <w:tc>
          <w:tcPr>
            <w:tcW w:w="960" w:type="dxa"/>
            <w:shd w:val="clear" w:color="auto" w:fill="auto"/>
            <w:noWrap/>
            <w:vAlign w:val="center"/>
            <w:hideMark/>
          </w:tcPr>
          <w:p w14:paraId="31805709"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 xml:space="preserve">9.426 </w:t>
            </w:r>
          </w:p>
        </w:tc>
      </w:tr>
      <w:tr w:rsidR="00170150" w:rsidRPr="00F65475" w14:paraId="27E5998D" w14:textId="77777777" w:rsidTr="009A6B96">
        <w:trPr>
          <w:trHeight w:val="250"/>
        </w:trPr>
        <w:tc>
          <w:tcPr>
            <w:tcW w:w="960" w:type="dxa"/>
            <w:shd w:val="clear" w:color="auto" w:fill="auto"/>
            <w:noWrap/>
            <w:vAlign w:val="center"/>
            <w:hideMark/>
          </w:tcPr>
          <w:p w14:paraId="1060AA24"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2018</w:t>
            </w:r>
          </w:p>
        </w:tc>
        <w:tc>
          <w:tcPr>
            <w:tcW w:w="960" w:type="dxa"/>
            <w:shd w:val="clear" w:color="auto" w:fill="auto"/>
            <w:noWrap/>
            <w:vAlign w:val="center"/>
            <w:hideMark/>
          </w:tcPr>
          <w:p w14:paraId="676BEEA2"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 xml:space="preserve">55.689 </w:t>
            </w:r>
          </w:p>
        </w:tc>
        <w:tc>
          <w:tcPr>
            <w:tcW w:w="960" w:type="dxa"/>
            <w:shd w:val="clear" w:color="auto" w:fill="auto"/>
            <w:noWrap/>
            <w:vAlign w:val="center"/>
            <w:hideMark/>
          </w:tcPr>
          <w:p w14:paraId="32AEA899"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 xml:space="preserve">63.544 </w:t>
            </w:r>
          </w:p>
        </w:tc>
        <w:tc>
          <w:tcPr>
            <w:tcW w:w="1060" w:type="dxa"/>
            <w:shd w:val="clear" w:color="auto" w:fill="auto"/>
            <w:noWrap/>
            <w:vAlign w:val="center"/>
            <w:hideMark/>
          </w:tcPr>
          <w:p w14:paraId="7186D710"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 xml:space="preserve">3864.287 </w:t>
            </w:r>
          </w:p>
        </w:tc>
        <w:tc>
          <w:tcPr>
            <w:tcW w:w="960" w:type="dxa"/>
            <w:shd w:val="clear" w:color="auto" w:fill="auto"/>
            <w:noWrap/>
            <w:vAlign w:val="center"/>
            <w:hideMark/>
          </w:tcPr>
          <w:p w14:paraId="5CF566B7"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 xml:space="preserve">19.345 </w:t>
            </w:r>
          </w:p>
        </w:tc>
        <w:tc>
          <w:tcPr>
            <w:tcW w:w="960" w:type="dxa"/>
            <w:shd w:val="clear" w:color="auto" w:fill="auto"/>
            <w:noWrap/>
            <w:vAlign w:val="center"/>
            <w:hideMark/>
          </w:tcPr>
          <w:p w14:paraId="4D725585"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 xml:space="preserve">17.424 </w:t>
            </w:r>
          </w:p>
        </w:tc>
        <w:tc>
          <w:tcPr>
            <w:tcW w:w="960" w:type="dxa"/>
            <w:shd w:val="clear" w:color="auto" w:fill="auto"/>
            <w:noWrap/>
            <w:vAlign w:val="center"/>
            <w:hideMark/>
          </w:tcPr>
          <w:p w14:paraId="36479D65"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 xml:space="preserve">11.503 </w:t>
            </w:r>
          </w:p>
        </w:tc>
        <w:tc>
          <w:tcPr>
            <w:tcW w:w="960" w:type="dxa"/>
            <w:shd w:val="clear" w:color="auto" w:fill="auto"/>
            <w:noWrap/>
            <w:vAlign w:val="center"/>
            <w:hideMark/>
          </w:tcPr>
          <w:p w14:paraId="746DE981"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 xml:space="preserve">4.257 </w:t>
            </w:r>
          </w:p>
        </w:tc>
        <w:tc>
          <w:tcPr>
            <w:tcW w:w="960" w:type="dxa"/>
            <w:shd w:val="clear" w:color="auto" w:fill="auto"/>
            <w:noWrap/>
            <w:vAlign w:val="center"/>
            <w:hideMark/>
          </w:tcPr>
          <w:p w14:paraId="37A3F472"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 xml:space="preserve">8.492 </w:t>
            </w:r>
          </w:p>
        </w:tc>
      </w:tr>
      <w:tr w:rsidR="00170150" w:rsidRPr="00F65475" w14:paraId="2F6ADAEC" w14:textId="77777777" w:rsidTr="009A6B96">
        <w:trPr>
          <w:trHeight w:val="250"/>
        </w:trPr>
        <w:tc>
          <w:tcPr>
            <w:tcW w:w="960" w:type="dxa"/>
            <w:shd w:val="clear" w:color="auto" w:fill="auto"/>
            <w:noWrap/>
            <w:vAlign w:val="center"/>
            <w:hideMark/>
          </w:tcPr>
          <w:p w14:paraId="2E406B6C"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lastRenderedPageBreak/>
              <w:t>2019</w:t>
            </w:r>
          </w:p>
        </w:tc>
        <w:tc>
          <w:tcPr>
            <w:tcW w:w="960" w:type="dxa"/>
            <w:shd w:val="clear" w:color="auto" w:fill="auto"/>
            <w:noWrap/>
            <w:vAlign w:val="center"/>
            <w:hideMark/>
          </w:tcPr>
          <w:p w14:paraId="7865E6B9"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 xml:space="preserve">55.672 </w:t>
            </w:r>
          </w:p>
        </w:tc>
        <w:tc>
          <w:tcPr>
            <w:tcW w:w="960" w:type="dxa"/>
            <w:shd w:val="clear" w:color="auto" w:fill="auto"/>
            <w:noWrap/>
            <w:vAlign w:val="center"/>
            <w:hideMark/>
          </w:tcPr>
          <w:p w14:paraId="785134E6"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 xml:space="preserve">63.610 </w:t>
            </w:r>
          </w:p>
        </w:tc>
        <w:tc>
          <w:tcPr>
            <w:tcW w:w="1060" w:type="dxa"/>
            <w:shd w:val="clear" w:color="auto" w:fill="auto"/>
            <w:noWrap/>
            <w:vAlign w:val="center"/>
            <w:hideMark/>
          </w:tcPr>
          <w:p w14:paraId="5E6758C2"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 xml:space="preserve">3881.271 </w:t>
            </w:r>
          </w:p>
        </w:tc>
        <w:tc>
          <w:tcPr>
            <w:tcW w:w="960" w:type="dxa"/>
            <w:shd w:val="clear" w:color="auto" w:fill="auto"/>
            <w:noWrap/>
            <w:vAlign w:val="center"/>
            <w:hideMark/>
          </w:tcPr>
          <w:p w14:paraId="3DC4F866"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 xml:space="preserve">19.332 </w:t>
            </w:r>
          </w:p>
        </w:tc>
        <w:tc>
          <w:tcPr>
            <w:tcW w:w="960" w:type="dxa"/>
            <w:shd w:val="clear" w:color="auto" w:fill="auto"/>
            <w:noWrap/>
            <w:vAlign w:val="center"/>
            <w:hideMark/>
          </w:tcPr>
          <w:p w14:paraId="487A2670"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 xml:space="preserve">17.456 </w:t>
            </w:r>
          </w:p>
        </w:tc>
        <w:tc>
          <w:tcPr>
            <w:tcW w:w="960" w:type="dxa"/>
            <w:shd w:val="clear" w:color="auto" w:fill="auto"/>
            <w:noWrap/>
            <w:vAlign w:val="center"/>
            <w:hideMark/>
          </w:tcPr>
          <w:p w14:paraId="1121782C"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 xml:space="preserve">11.452 </w:t>
            </w:r>
          </w:p>
        </w:tc>
        <w:tc>
          <w:tcPr>
            <w:tcW w:w="960" w:type="dxa"/>
            <w:shd w:val="clear" w:color="auto" w:fill="auto"/>
            <w:noWrap/>
            <w:vAlign w:val="center"/>
            <w:hideMark/>
          </w:tcPr>
          <w:p w14:paraId="4C0BEF86"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 xml:space="preserve">4.264 </w:t>
            </w:r>
          </w:p>
        </w:tc>
        <w:tc>
          <w:tcPr>
            <w:tcW w:w="960" w:type="dxa"/>
            <w:shd w:val="clear" w:color="auto" w:fill="auto"/>
            <w:noWrap/>
            <w:vAlign w:val="center"/>
            <w:hideMark/>
          </w:tcPr>
          <w:p w14:paraId="00F0C2B9"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 xml:space="preserve">7.466 </w:t>
            </w:r>
          </w:p>
        </w:tc>
      </w:tr>
      <w:tr w:rsidR="00170150" w:rsidRPr="00F65475" w14:paraId="2EBD7110" w14:textId="77777777" w:rsidTr="009A6B96">
        <w:trPr>
          <w:trHeight w:val="250"/>
        </w:trPr>
        <w:tc>
          <w:tcPr>
            <w:tcW w:w="960" w:type="dxa"/>
            <w:shd w:val="clear" w:color="auto" w:fill="auto"/>
            <w:noWrap/>
            <w:vAlign w:val="center"/>
            <w:hideMark/>
          </w:tcPr>
          <w:p w14:paraId="315D4D8D"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2020</w:t>
            </w:r>
          </w:p>
        </w:tc>
        <w:tc>
          <w:tcPr>
            <w:tcW w:w="960" w:type="dxa"/>
            <w:shd w:val="clear" w:color="auto" w:fill="auto"/>
            <w:noWrap/>
            <w:vAlign w:val="center"/>
            <w:hideMark/>
          </w:tcPr>
          <w:p w14:paraId="6374F9F1"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 xml:space="preserve">55.650 </w:t>
            </w:r>
          </w:p>
        </w:tc>
        <w:tc>
          <w:tcPr>
            <w:tcW w:w="960" w:type="dxa"/>
            <w:shd w:val="clear" w:color="auto" w:fill="auto"/>
            <w:noWrap/>
            <w:vAlign w:val="center"/>
            <w:hideMark/>
          </w:tcPr>
          <w:p w14:paraId="19A58156"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 xml:space="preserve">63.434 </w:t>
            </w:r>
          </w:p>
        </w:tc>
        <w:tc>
          <w:tcPr>
            <w:tcW w:w="1060" w:type="dxa"/>
            <w:shd w:val="clear" w:color="auto" w:fill="auto"/>
            <w:noWrap/>
            <w:vAlign w:val="center"/>
            <w:hideMark/>
          </w:tcPr>
          <w:p w14:paraId="7D5F75E3"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 xml:space="preserve">3892.171 </w:t>
            </w:r>
          </w:p>
        </w:tc>
        <w:tc>
          <w:tcPr>
            <w:tcW w:w="960" w:type="dxa"/>
            <w:shd w:val="clear" w:color="auto" w:fill="auto"/>
            <w:noWrap/>
            <w:vAlign w:val="center"/>
            <w:hideMark/>
          </w:tcPr>
          <w:p w14:paraId="523A87C4"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 xml:space="preserve">19.390 </w:t>
            </w:r>
          </w:p>
        </w:tc>
        <w:tc>
          <w:tcPr>
            <w:tcW w:w="960" w:type="dxa"/>
            <w:shd w:val="clear" w:color="auto" w:fill="auto"/>
            <w:noWrap/>
            <w:vAlign w:val="center"/>
            <w:hideMark/>
          </w:tcPr>
          <w:p w14:paraId="2A773F40"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 xml:space="preserve">17.488 </w:t>
            </w:r>
          </w:p>
        </w:tc>
        <w:tc>
          <w:tcPr>
            <w:tcW w:w="960" w:type="dxa"/>
            <w:shd w:val="clear" w:color="auto" w:fill="auto"/>
            <w:noWrap/>
            <w:vAlign w:val="center"/>
            <w:hideMark/>
          </w:tcPr>
          <w:p w14:paraId="3BC233F2"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 xml:space="preserve">11.396 </w:t>
            </w:r>
          </w:p>
        </w:tc>
        <w:tc>
          <w:tcPr>
            <w:tcW w:w="960" w:type="dxa"/>
            <w:shd w:val="clear" w:color="auto" w:fill="auto"/>
            <w:noWrap/>
            <w:vAlign w:val="center"/>
            <w:hideMark/>
          </w:tcPr>
          <w:p w14:paraId="244F9F83"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 xml:space="preserve">4.271 </w:t>
            </w:r>
          </w:p>
        </w:tc>
        <w:tc>
          <w:tcPr>
            <w:tcW w:w="960" w:type="dxa"/>
            <w:shd w:val="clear" w:color="auto" w:fill="auto"/>
            <w:noWrap/>
            <w:vAlign w:val="center"/>
            <w:hideMark/>
          </w:tcPr>
          <w:p w14:paraId="1DA71AD7"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 xml:space="preserve">6.189 </w:t>
            </w:r>
          </w:p>
        </w:tc>
      </w:tr>
      <w:tr w:rsidR="00170150" w:rsidRPr="00F65475" w14:paraId="2BC198A0" w14:textId="77777777" w:rsidTr="009A6B96">
        <w:trPr>
          <w:trHeight w:val="250"/>
        </w:trPr>
        <w:tc>
          <w:tcPr>
            <w:tcW w:w="960" w:type="dxa"/>
            <w:shd w:val="clear" w:color="auto" w:fill="auto"/>
            <w:noWrap/>
            <w:vAlign w:val="center"/>
            <w:hideMark/>
          </w:tcPr>
          <w:p w14:paraId="34A74D2D"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2021</w:t>
            </w:r>
          </w:p>
        </w:tc>
        <w:tc>
          <w:tcPr>
            <w:tcW w:w="960" w:type="dxa"/>
            <w:shd w:val="clear" w:color="auto" w:fill="auto"/>
            <w:noWrap/>
            <w:vAlign w:val="center"/>
            <w:hideMark/>
          </w:tcPr>
          <w:p w14:paraId="11489370"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 xml:space="preserve">55.996 </w:t>
            </w:r>
          </w:p>
        </w:tc>
        <w:tc>
          <w:tcPr>
            <w:tcW w:w="960" w:type="dxa"/>
            <w:shd w:val="clear" w:color="auto" w:fill="auto"/>
            <w:noWrap/>
            <w:vAlign w:val="center"/>
            <w:hideMark/>
          </w:tcPr>
          <w:p w14:paraId="284CEC3B"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 xml:space="preserve">65.307 </w:t>
            </w:r>
          </w:p>
        </w:tc>
        <w:tc>
          <w:tcPr>
            <w:tcW w:w="1060" w:type="dxa"/>
            <w:shd w:val="clear" w:color="auto" w:fill="auto"/>
            <w:noWrap/>
            <w:vAlign w:val="center"/>
            <w:hideMark/>
          </w:tcPr>
          <w:p w14:paraId="2A0F6448"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 xml:space="preserve">3642.421 </w:t>
            </w:r>
          </w:p>
        </w:tc>
        <w:tc>
          <w:tcPr>
            <w:tcW w:w="960" w:type="dxa"/>
            <w:shd w:val="clear" w:color="auto" w:fill="auto"/>
            <w:noWrap/>
            <w:vAlign w:val="center"/>
            <w:hideMark/>
          </w:tcPr>
          <w:p w14:paraId="2B86F79F" w14:textId="1A21C46A"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1</w:t>
            </w:r>
            <w:r w:rsidR="00F65475">
              <w:rPr>
                <w:rFonts w:ascii="宋体" w:eastAsia="宋体" w:hAnsi="宋体" w:cs="Arial"/>
                <w:color w:val="000000"/>
                <w:kern w:val="0"/>
                <w:sz w:val="20"/>
                <w:szCs w:val="20"/>
              </w:rPr>
              <w:t>9</w:t>
            </w:r>
            <w:r w:rsidRPr="00F65475">
              <w:rPr>
                <w:rFonts w:ascii="宋体" w:eastAsia="宋体" w:hAnsi="宋体" w:cs="Arial"/>
                <w:color w:val="000000"/>
                <w:kern w:val="0"/>
                <w:sz w:val="20"/>
                <w:szCs w:val="20"/>
              </w:rPr>
              <w:t xml:space="preserve">.997 </w:t>
            </w:r>
          </w:p>
        </w:tc>
        <w:tc>
          <w:tcPr>
            <w:tcW w:w="960" w:type="dxa"/>
            <w:shd w:val="clear" w:color="auto" w:fill="auto"/>
            <w:noWrap/>
            <w:vAlign w:val="center"/>
            <w:hideMark/>
          </w:tcPr>
          <w:p w14:paraId="73D663F4" w14:textId="5C7A65D2"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17.</w:t>
            </w:r>
            <w:r w:rsidR="00F65475">
              <w:rPr>
                <w:rFonts w:ascii="宋体" w:eastAsia="宋体" w:hAnsi="宋体" w:cs="Arial"/>
                <w:color w:val="000000"/>
                <w:kern w:val="0"/>
                <w:sz w:val="20"/>
                <w:szCs w:val="20"/>
              </w:rPr>
              <w:t>7</w:t>
            </w:r>
            <w:r w:rsidRPr="00F65475">
              <w:rPr>
                <w:rFonts w:ascii="宋体" w:eastAsia="宋体" w:hAnsi="宋体" w:cs="Arial"/>
                <w:color w:val="000000"/>
                <w:kern w:val="0"/>
                <w:sz w:val="20"/>
                <w:szCs w:val="20"/>
              </w:rPr>
              <w:t xml:space="preserve">85 </w:t>
            </w:r>
          </w:p>
        </w:tc>
        <w:tc>
          <w:tcPr>
            <w:tcW w:w="960" w:type="dxa"/>
            <w:shd w:val="clear" w:color="auto" w:fill="auto"/>
            <w:noWrap/>
            <w:vAlign w:val="center"/>
            <w:hideMark/>
          </w:tcPr>
          <w:p w14:paraId="02C575A4" w14:textId="62C831BC"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11.</w:t>
            </w:r>
            <w:r w:rsidR="00F65475">
              <w:rPr>
                <w:rFonts w:ascii="宋体" w:eastAsia="宋体" w:hAnsi="宋体" w:cs="Arial"/>
                <w:color w:val="000000"/>
                <w:kern w:val="0"/>
                <w:sz w:val="20"/>
                <w:szCs w:val="20"/>
              </w:rPr>
              <w:t>8</w:t>
            </w:r>
            <w:r w:rsidRPr="00F65475">
              <w:rPr>
                <w:rFonts w:ascii="宋体" w:eastAsia="宋体" w:hAnsi="宋体" w:cs="Arial"/>
                <w:color w:val="000000"/>
                <w:kern w:val="0"/>
                <w:sz w:val="20"/>
                <w:szCs w:val="20"/>
              </w:rPr>
              <w:t xml:space="preserve">32 </w:t>
            </w:r>
          </w:p>
        </w:tc>
        <w:tc>
          <w:tcPr>
            <w:tcW w:w="960" w:type="dxa"/>
            <w:shd w:val="clear" w:color="auto" w:fill="auto"/>
            <w:noWrap/>
            <w:vAlign w:val="center"/>
            <w:hideMark/>
          </w:tcPr>
          <w:p w14:paraId="6C3EBA90" w14:textId="77777777" w:rsidR="00170150" w:rsidRPr="00F65475" w:rsidRDefault="00170150" w:rsidP="009A6B96">
            <w:pPr>
              <w:widowControl/>
              <w:jc w:val="center"/>
              <w:rPr>
                <w:rFonts w:ascii="宋体" w:eastAsia="宋体" w:hAnsi="宋体" w:cs="Arial"/>
                <w:color w:val="000000"/>
                <w:kern w:val="0"/>
                <w:sz w:val="20"/>
                <w:szCs w:val="20"/>
              </w:rPr>
            </w:pPr>
            <w:r w:rsidRPr="00F65475">
              <w:rPr>
                <w:rFonts w:ascii="宋体" w:eastAsia="宋体" w:hAnsi="宋体" w:cs="Arial"/>
                <w:color w:val="000000"/>
                <w:kern w:val="0"/>
                <w:sz w:val="20"/>
                <w:szCs w:val="20"/>
              </w:rPr>
              <w:t xml:space="preserve">4.274 </w:t>
            </w:r>
          </w:p>
        </w:tc>
        <w:tc>
          <w:tcPr>
            <w:tcW w:w="960" w:type="dxa"/>
            <w:shd w:val="clear" w:color="auto" w:fill="auto"/>
            <w:noWrap/>
            <w:vAlign w:val="center"/>
            <w:hideMark/>
          </w:tcPr>
          <w:p w14:paraId="3D882A0A" w14:textId="3BB61F1A" w:rsidR="00170150" w:rsidRPr="00F65475" w:rsidRDefault="00F65475" w:rsidP="009A6B96">
            <w:pPr>
              <w:widowControl/>
              <w:jc w:val="center"/>
              <w:rPr>
                <w:rFonts w:ascii="宋体" w:eastAsia="宋体" w:hAnsi="宋体" w:cs="Arial"/>
                <w:color w:val="000000"/>
                <w:kern w:val="0"/>
                <w:sz w:val="20"/>
                <w:szCs w:val="20"/>
              </w:rPr>
            </w:pPr>
            <w:r>
              <w:rPr>
                <w:rFonts w:ascii="宋体" w:eastAsia="宋体" w:hAnsi="宋体" w:cs="Arial"/>
                <w:color w:val="000000"/>
                <w:kern w:val="0"/>
                <w:sz w:val="20"/>
                <w:szCs w:val="20"/>
              </w:rPr>
              <w:t>5</w:t>
            </w:r>
            <w:r w:rsidR="00170150" w:rsidRPr="00F65475">
              <w:rPr>
                <w:rFonts w:ascii="宋体" w:eastAsia="宋体" w:hAnsi="宋体" w:cs="Arial"/>
                <w:color w:val="000000"/>
                <w:kern w:val="0"/>
                <w:sz w:val="20"/>
                <w:szCs w:val="20"/>
              </w:rPr>
              <w:t>.</w:t>
            </w:r>
            <w:r>
              <w:rPr>
                <w:rFonts w:ascii="宋体" w:eastAsia="宋体" w:hAnsi="宋体" w:cs="Arial"/>
                <w:color w:val="000000"/>
                <w:kern w:val="0"/>
                <w:sz w:val="20"/>
                <w:szCs w:val="20"/>
              </w:rPr>
              <w:t>8</w:t>
            </w:r>
            <w:r w:rsidR="00170150" w:rsidRPr="00F65475">
              <w:rPr>
                <w:rFonts w:ascii="宋体" w:eastAsia="宋体" w:hAnsi="宋体" w:cs="Arial"/>
                <w:color w:val="000000"/>
                <w:kern w:val="0"/>
                <w:sz w:val="20"/>
                <w:szCs w:val="20"/>
              </w:rPr>
              <w:t xml:space="preserve">35 </w:t>
            </w:r>
          </w:p>
        </w:tc>
      </w:tr>
    </w:tbl>
    <w:p w14:paraId="3D09078B" w14:textId="77777777" w:rsidR="00170150" w:rsidRDefault="00170150" w:rsidP="00170150"/>
    <w:p w14:paraId="1E733C09" w14:textId="74884C4D" w:rsidR="00170150" w:rsidRPr="00F65475" w:rsidRDefault="00170150" w:rsidP="00F65475">
      <w:pPr>
        <w:ind w:firstLineChars="200" w:firstLine="480"/>
        <w:rPr>
          <w:rFonts w:ascii="宋体" w:eastAsia="宋体" w:hAnsi="宋体"/>
          <w:sz w:val="24"/>
          <w:szCs w:val="24"/>
        </w:rPr>
      </w:pPr>
      <w:r w:rsidRPr="00F65475">
        <w:rPr>
          <w:rFonts w:ascii="宋体" w:eastAsia="宋体" w:hAnsi="宋体" w:hint="eastAsia"/>
          <w:sz w:val="24"/>
          <w:szCs w:val="24"/>
        </w:rPr>
        <w:t>对面板数据作出初步描述性统计后，本文对所选的房地产企业的截面数据进行简要分析。从表格中被解释变量的平均数变化可以看出，自国家相关管理部门实行“三道红线”规制政策以来，所选样本房地产企业的“剔除预收款后的资产负债率”；“净负债率”这两个财务比率有较为明显的增大，“现金短债比”这个财务比率有较为明显的减小。从表格中解释变量的平均数变化可以看出，自“三道红线”规制政策实行以来，所选样本房地产企业的“股权融资率”；“内源融资率”有较为明显的</w:t>
      </w:r>
      <w:r w:rsidR="00F65475">
        <w:rPr>
          <w:rFonts w:ascii="宋体" w:eastAsia="宋体" w:hAnsi="宋体" w:hint="eastAsia"/>
          <w:sz w:val="24"/>
          <w:szCs w:val="24"/>
        </w:rPr>
        <w:t>增大</w:t>
      </w:r>
      <w:r w:rsidRPr="00F65475">
        <w:rPr>
          <w:rFonts w:ascii="宋体" w:eastAsia="宋体" w:hAnsi="宋体" w:hint="eastAsia"/>
          <w:sz w:val="24"/>
          <w:szCs w:val="24"/>
        </w:rPr>
        <w:t>，“债券融资率”有较为明显的</w:t>
      </w:r>
      <w:r w:rsidR="00F65475">
        <w:rPr>
          <w:rFonts w:ascii="宋体" w:eastAsia="宋体" w:hAnsi="宋体" w:hint="eastAsia"/>
          <w:sz w:val="24"/>
          <w:szCs w:val="24"/>
        </w:rPr>
        <w:t>减小</w:t>
      </w:r>
      <w:r w:rsidRPr="00F65475">
        <w:rPr>
          <w:rFonts w:ascii="宋体" w:eastAsia="宋体" w:hAnsi="宋体" w:hint="eastAsia"/>
          <w:sz w:val="24"/>
          <w:szCs w:val="24"/>
        </w:rPr>
        <w:t>。</w:t>
      </w:r>
    </w:p>
    <w:p w14:paraId="45D2E542" w14:textId="77777777" w:rsidR="00170150" w:rsidRDefault="00170150" w:rsidP="00170150">
      <w:pPr>
        <w:pStyle w:val="3"/>
      </w:pPr>
      <w:bookmarkStart w:id="44" w:name="_Toc103640994"/>
      <w:r>
        <w:t>3.4.2</w:t>
      </w:r>
      <w:r>
        <w:rPr>
          <w:rFonts w:hint="eastAsia"/>
        </w:rPr>
        <w:t>双向固定效应模型回归</w:t>
      </w:r>
      <w:bookmarkEnd w:id="44"/>
    </w:p>
    <w:p w14:paraId="46B1F376" w14:textId="2BE4165E" w:rsidR="00170150" w:rsidRPr="00F65475" w:rsidRDefault="00170150" w:rsidP="00170150">
      <w:pPr>
        <w:rPr>
          <w:rFonts w:ascii="宋体" w:eastAsia="宋体" w:hAnsi="宋体"/>
          <w:sz w:val="24"/>
          <w:szCs w:val="24"/>
        </w:rPr>
      </w:pPr>
      <w:r w:rsidRPr="00F65475">
        <w:rPr>
          <w:rFonts w:ascii="宋体" w:eastAsia="宋体" w:hAnsi="宋体" w:hint="eastAsia"/>
          <w:sz w:val="24"/>
          <w:szCs w:val="24"/>
        </w:rPr>
        <w:t>确定使用双向固定效应回归。在对面板数据进行全样本回归后的到如下的结果：</w:t>
      </w:r>
    </w:p>
    <w:p w14:paraId="33D5D195" w14:textId="77777777" w:rsidR="00170150" w:rsidRDefault="00170150" w:rsidP="00170150">
      <w:pPr>
        <w:jc w:val="left"/>
      </w:pPr>
    </w:p>
    <w:tbl>
      <w:tblPr>
        <w:tblW w:w="0" w:type="auto"/>
        <w:jc w:val="center"/>
        <w:tblLayout w:type="fixed"/>
        <w:tblCellMar>
          <w:left w:w="75" w:type="dxa"/>
          <w:right w:w="75" w:type="dxa"/>
        </w:tblCellMar>
        <w:tblLook w:val="04A0" w:firstRow="1" w:lastRow="0" w:firstColumn="1" w:lastColumn="0" w:noHBand="0" w:noVBand="1"/>
      </w:tblPr>
      <w:tblGrid>
        <w:gridCol w:w="2235"/>
        <w:gridCol w:w="1440"/>
        <w:gridCol w:w="1440"/>
        <w:gridCol w:w="1296"/>
      </w:tblGrid>
      <w:tr w:rsidR="00170150" w:rsidRPr="009D0417" w14:paraId="12D8B43C" w14:textId="77777777" w:rsidTr="009A6B96">
        <w:trPr>
          <w:jc w:val="center"/>
        </w:trPr>
        <w:tc>
          <w:tcPr>
            <w:tcW w:w="2235" w:type="dxa"/>
            <w:tcBorders>
              <w:top w:val="single" w:sz="6" w:space="0" w:color="auto"/>
              <w:left w:val="nil"/>
              <w:bottom w:val="nil"/>
              <w:right w:val="nil"/>
            </w:tcBorders>
            <w:hideMark/>
          </w:tcPr>
          <w:p w14:paraId="2CD60132" w14:textId="77777777" w:rsidR="00170150" w:rsidRPr="009D0417" w:rsidRDefault="00170150" w:rsidP="009A6B96">
            <w:pPr>
              <w:autoSpaceDE w:val="0"/>
              <w:autoSpaceDN w:val="0"/>
              <w:adjustRightInd w:val="0"/>
              <w:jc w:val="left"/>
              <w:rPr>
                <w:rFonts w:ascii="Times New Roman" w:eastAsia="等线" w:hAnsi="等线" w:cs="Times New Roman"/>
                <w:kern w:val="0"/>
                <w:szCs w:val="24"/>
              </w:rPr>
            </w:pPr>
          </w:p>
        </w:tc>
        <w:tc>
          <w:tcPr>
            <w:tcW w:w="1440" w:type="dxa"/>
            <w:tcBorders>
              <w:top w:val="single" w:sz="6" w:space="0" w:color="auto"/>
              <w:left w:val="nil"/>
              <w:bottom w:val="nil"/>
              <w:right w:val="nil"/>
            </w:tcBorders>
            <w:hideMark/>
          </w:tcPr>
          <w:p w14:paraId="28F89A41"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(1)</w:t>
            </w:r>
          </w:p>
        </w:tc>
        <w:tc>
          <w:tcPr>
            <w:tcW w:w="1440" w:type="dxa"/>
            <w:tcBorders>
              <w:top w:val="single" w:sz="6" w:space="0" w:color="auto"/>
              <w:left w:val="nil"/>
              <w:bottom w:val="nil"/>
              <w:right w:val="nil"/>
            </w:tcBorders>
            <w:hideMark/>
          </w:tcPr>
          <w:p w14:paraId="64428734"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(2)</w:t>
            </w:r>
          </w:p>
        </w:tc>
        <w:tc>
          <w:tcPr>
            <w:tcW w:w="1296" w:type="dxa"/>
            <w:tcBorders>
              <w:top w:val="single" w:sz="6" w:space="0" w:color="auto"/>
              <w:left w:val="nil"/>
              <w:bottom w:val="nil"/>
              <w:right w:val="nil"/>
            </w:tcBorders>
            <w:hideMark/>
          </w:tcPr>
          <w:p w14:paraId="6749BCB1"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(3)</w:t>
            </w:r>
          </w:p>
        </w:tc>
      </w:tr>
      <w:tr w:rsidR="00170150" w:rsidRPr="009D0417" w14:paraId="1DF9FC4E" w14:textId="77777777" w:rsidTr="009A6B96">
        <w:trPr>
          <w:jc w:val="center"/>
        </w:trPr>
        <w:tc>
          <w:tcPr>
            <w:tcW w:w="2235" w:type="dxa"/>
            <w:tcBorders>
              <w:top w:val="nil"/>
              <w:left w:val="nil"/>
              <w:bottom w:val="single" w:sz="6" w:space="0" w:color="auto"/>
              <w:right w:val="nil"/>
            </w:tcBorders>
            <w:hideMark/>
          </w:tcPr>
          <w:p w14:paraId="1E8724C9" w14:textId="77777777" w:rsidR="00170150" w:rsidRPr="009D0417" w:rsidRDefault="00170150" w:rsidP="009A6B96">
            <w:pPr>
              <w:autoSpaceDE w:val="0"/>
              <w:autoSpaceDN w:val="0"/>
              <w:adjustRightInd w:val="0"/>
              <w:jc w:val="left"/>
              <w:rPr>
                <w:rFonts w:ascii="Times New Roman" w:eastAsia="等线" w:hAnsi="等线" w:cs="Times New Roman"/>
                <w:kern w:val="0"/>
                <w:szCs w:val="24"/>
              </w:rPr>
            </w:pPr>
            <w:r w:rsidRPr="009D0417">
              <w:rPr>
                <w:rFonts w:ascii="等线" w:eastAsia="等线" w:hAnsi="等线" w:cs="Times New Roman" w:hint="eastAsia"/>
                <w:kern w:val="0"/>
                <w:szCs w:val="24"/>
              </w:rPr>
              <w:t>变量名称</w:t>
            </w:r>
          </w:p>
        </w:tc>
        <w:tc>
          <w:tcPr>
            <w:tcW w:w="1440" w:type="dxa"/>
            <w:tcBorders>
              <w:top w:val="nil"/>
              <w:left w:val="nil"/>
              <w:bottom w:val="single" w:sz="6" w:space="0" w:color="auto"/>
              <w:right w:val="nil"/>
            </w:tcBorders>
            <w:hideMark/>
          </w:tcPr>
          <w:p w14:paraId="419AF555"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Y1</w:t>
            </w:r>
          </w:p>
        </w:tc>
        <w:tc>
          <w:tcPr>
            <w:tcW w:w="1440" w:type="dxa"/>
            <w:tcBorders>
              <w:top w:val="nil"/>
              <w:left w:val="nil"/>
              <w:bottom w:val="single" w:sz="6" w:space="0" w:color="auto"/>
              <w:right w:val="nil"/>
            </w:tcBorders>
            <w:hideMark/>
          </w:tcPr>
          <w:p w14:paraId="70C28E33"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Y2</w:t>
            </w:r>
          </w:p>
        </w:tc>
        <w:tc>
          <w:tcPr>
            <w:tcW w:w="1296" w:type="dxa"/>
            <w:tcBorders>
              <w:top w:val="nil"/>
              <w:left w:val="nil"/>
              <w:bottom w:val="single" w:sz="6" w:space="0" w:color="auto"/>
              <w:right w:val="nil"/>
            </w:tcBorders>
            <w:hideMark/>
          </w:tcPr>
          <w:p w14:paraId="72D62FF0"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Y3</w:t>
            </w:r>
          </w:p>
        </w:tc>
      </w:tr>
      <w:tr w:rsidR="00170150" w:rsidRPr="009D0417" w14:paraId="0CF8B88B" w14:textId="77777777" w:rsidTr="009A6B96">
        <w:trPr>
          <w:jc w:val="center"/>
        </w:trPr>
        <w:tc>
          <w:tcPr>
            <w:tcW w:w="2235" w:type="dxa"/>
            <w:tcBorders>
              <w:top w:val="nil"/>
              <w:left w:val="nil"/>
              <w:bottom w:val="nil"/>
              <w:right w:val="nil"/>
            </w:tcBorders>
          </w:tcPr>
          <w:p w14:paraId="1A510864" w14:textId="77777777" w:rsidR="00170150" w:rsidRPr="009D0417" w:rsidRDefault="00170150" w:rsidP="009A6B96">
            <w:pPr>
              <w:autoSpaceDE w:val="0"/>
              <w:autoSpaceDN w:val="0"/>
              <w:adjustRightInd w:val="0"/>
              <w:jc w:val="left"/>
              <w:rPr>
                <w:rFonts w:ascii="Times New Roman" w:eastAsia="等线" w:hAnsi="等线" w:cs="Times New Roman"/>
                <w:kern w:val="0"/>
                <w:szCs w:val="24"/>
              </w:rPr>
            </w:pPr>
          </w:p>
        </w:tc>
        <w:tc>
          <w:tcPr>
            <w:tcW w:w="1440" w:type="dxa"/>
            <w:tcBorders>
              <w:top w:val="nil"/>
              <w:left w:val="nil"/>
              <w:bottom w:val="nil"/>
              <w:right w:val="nil"/>
            </w:tcBorders>
          </w:tcPr>
          <w:p w14:paraId="31BBA5D1" w14:textId="77777777" w:rsidR="00170150" w:rsidRPr="009D0417" w:rsidRDefault="00170150" w:rsidP="009A6B96">
            <w:pPr>
              <w:autoSpaceDE w:val="0"/>
              <w:autoSpaceDN w:val="0"/>
              <w:adjustRightInd w:val="0"/>
              <w:jc w:val="center"/>
              <w:rPr>
                <w:rFonts w:ascii="Times New Roman" w:eastAsia="等线" w:hAnsi="等线" w:cs="Times New Roman"/>
                <w:kern w:val="0"/>
                <w:szCs w:val="24"/>
              </w:rPr>
            </w:pPr>
          </w:p>
        </w:tc>
        <w:tc>
          <w:tcPr>
            <w:tcW w:w="1440" w:type="dxa"/>
            <w:tcBorders>
              <w:top w:val="nil"/>
              <w:left w:val="nil"/>
              <w:bottom w:val="nil"/>
              <w:right w:val="nil"/>
            </w:tcBorders>
          </w:tcPr>
          <w:p w14:paraId="06D51354" w14:textId="77777777" w:rsidR="00170150" w:rsidRPr="009D0417" w:rsidRDefault="00170150" w:rsidP="009A6B96">
            <w:pPr>
              <w:autoSpaceDE w:val="0"/>
              <w:autoSpaceDN w:val="0"/>
              <w:adjustRightInd w:val="0"/>
              <w:jc w:val="center"/>
              <w:rPr>
                <w:rFonts w:ascii="Times New Roman" w:eastAsia="等线" w:hAnsi="等线" w:cs="Times New Roman"/>
                <w:kern w:val="0"/>
                <w:szCs w:val="24"/>
              </w:rPr>
            </w:pPr>
          </w:p>
        </w:tc>
        <w:tc>
          <w:tcPr>
            <w:tcW w:w="1296" w:type="dxa"/>
            <w:tcBorders>
              <w:top w:val="nil"/>
              <w:left w:val="nil"/>
              <w:bottom w:val="nil"/>
              <w:right w:val="nil"/>
            </w:tcBorders>
          </w:tcPr>
          <w:p w14:paraId="37532D2C" w14:textId="77777777" w:rsidR="00170150" w:rsidRPr="009D0417" w:rsidRDefault="00170150" w:rsidP="009A6B96">
            <w:pPr>
              <w:autoSpaceDE w:val="0"/>
              <w:autoSpaceDN w:val="0"/>
              <w:adjustRightInd w:val="0"/>
              <w:jc w:val="center"/>
              <w:rPr>
                <w:rFonts w:ascii="Times New Roman" w:eastAsia="等线" w:hAnsi="等线" w:cs="Times New Roman"/>
                <w:kern w:val="0"/>
                <w:szCs w:val="24"/>
              </w:rPr>
            </w:pPr>
          </w:p>
        </w:tc>
      </w:tr>
      <w:tr w:rsidR="00170150" w:rsidRPr="009D0417" w14:paraId="0194E92D" w14:textId="77777777" w:rsidTr="009A6B96">
        <w:trPr>
          <w:jc w:val="center"/>
        </w:trPr>
        <w:tc>
          <w:tcPr>
            <w:tcW w:w="2235" w:type="dxa"/>
            <w:tcBorders>
              <w:top w:val="nil"/>
              <w:left w:val="nil"/>
              <w:bottom w:val="nil"/>
              <w:right w:val="nil"/>
            </w:tcBorders>
            <w:hideMark/>
          </w:tcPr>
          <w:p w14:paraId="3CCC71E1" w14:textId="77777777" w:rsidR="00170150" w:rsidRPr="009D0417" w:rsidRDefault="00170150" w:rsidP="009A6B96">
            <w:pPr>
              <w:autoSpaceDE w:val="0"/>
              <w:autoSpaceDN w:val="0"/>
              <w:adjustRightInd w:val="0"/>
              <w:jc w:val="left"/>
              <w:rPr>
                <w:rFonts w:ascii="Times New Roman" w:eastAsia="等线" w:hAnsi="Times New Roman" w:cs="Times New Roman"/>
                <w:kern w:val="0"/>
                <w:szCs w:val="24"/>
              </w:rPr>
            </w:pPr>
            <w:r w:rsidRPr="009D0417">
              <w:rPr>
                <w:rFonts w:ascii="Times New Roman" w:eastAsia="等线" w:hAnsi="Times New Roman" w:cs="Times New Roman"/>
                <w:kern w:val="0"/>
                <w:szCs w:val="24"/>
              </w:rPr>
              <w:t>Efr</w:t>
            </w:r>
          </w:p>
        </w:tc>
        <w:tc>
          <w:tcPr>
            <w:tcW w:w="1440" w:type="dxa"/>
            <w:tcBorders>
              <w:top w:val="nil"/>
              <w:left w:val="nil"/>
              <w:bottom w:val="nil"/>
              <w:right w:val="nil"/>
            </w:tcBorders>
            <w:hideMark/>
          </w:tcPr>
          <w:p w14:paraId="0A39A639"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-0.848***</w:t>
            </w:r>
          </w:p>
        </w:tc>
        <w:tc>
          <w:tcPr>
            <w:tcW w:w="1440" w:type="dxa"/>
            <w:tcBorders>
              <w:top w:val="nil"/>
              <w:left w:val="nil"/>
              <w:bottom w:val="nil"/>
              <w:right w:val="nil"/>
            </w:tcBorders>
            <w:hideMark/>
          </w:tcPr>
          <w:p w14:paraId="60AA983F"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-3.285***</w:t>
            </w:r>
          </w:p>
        </w:tc>
        <w:tc>
          <w:tcPr>
            <w:tcW w:w="1296" w:type="dxa"/>
            <w:tcBorders>
              <w:top w:val="nil"/>
              <w:left w:val="nil"/>
              <w:bottom w:val="nil"/>
              <w:right w:val="nil"/>
            </w:tcBorders>
            <w:hideMark/>
          </w:tcPr>
          <w:p w14:paraId="0B9F83EE"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-247.4</w:t>
            </w:r>
          </w:p>
        </w:tc>
      </w:tr>
      <w:tr w:rsidR="00170150" w:rsidRPr="009D0417" w14:paraId="24A13828" w14:textId="77777777" w:rsidTr="009A6B96">
        <w:trPr>
          <w:jc w:val="center"/>
        </w:trPr>
        <w:tc>
          <w:tcPr>
            <w:tcW w:w="2235" w:type="dxa"/>
            <w:tcBorders>
              <w:top w:val="nil"/>
              <w:left w:val="nil"/>
              <w:bottom w:val="nil"/>
              <w:right w:val="nil"/>
            </w:tcBorders>
          </w:tcPr>
          <w:p w14:paraId="48C2212A" w14:textId="77777777" w:rsidR="00170150" w:rsidRPr="009D0417" w:rsidRDefault="00170150" w:rsidP="009A6B96">
            <w:pPr>
              <w:autoSpaceDE w:val="0"/>
              <w:autoSpaceDN w:val="0"/>
              <w:adjustRightInd w:val="0"/>
              <w:jc w:val="left"/>
              <w:rPr>
                <w:rFonts w:ascii="Times New Roman" w:eastAsia="等线" w:hAnsi="等线" w:cs="Times New Roman"/>
                <w:kern w:val="0"/>
                <w:szCs w:val="24"/>
              </w:rPr>
            </w:pPr>
          </w:p>
        </w:tc>
        <w:tc>
          <w:tcPr>
            <w:tcW w:w="1440" w:type="dxa"/>
            <w:tcBorders>
              <w:top w:val="nil"/>
              <w:left w:val="nil"/>
              <w:bottom w:val="nil"/>
              <w:right w:val="nil"/>
            </w:tcBorders>
            <w:hideMark/>
          </w:tcPr>
          <w:p w14:paraId="5A7F1C7A"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(0.108)</w:t>
            </w:r>
          </w:p>
        </w:tc>
        <w:tc>
          <w:tcPr>
            <w:tcW w:w="1440" w:type="dxa"/>
            <w:tcBorders>
              <w:top w:val="nil"/>
              <w:left w:val="nil"/>
              <w:bottom w:val="nil"/>
              <w:right w:val="nil"/>
            </w:tcBorders>
            <w:hideMark/>
          </w:tcPr>
          <w:p w14:paraId="59745FEB"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(0.946)</w:t>
            </w:r>
          </w:p>
        </w:tc>
        <w:tc>
          <w:tcPr>
            <w:tcW w:w="1296" w:type="dxa"/>
            <w:tcBorders>
              <w:top w:val="nil"/>
              <w:left w:val="nil"/>
              <w:bottom w:val="nil"/>
              <w:right w:val="nil"/>
            </w:tcBorders>
            <w:hideMark/>
          </w:tcPr>
          <w:p w14:paraId="60908DEA"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(830.8)</w:t>
            </w:r>
          </w:p>
        </w:tc>
      </w:tr>
      <w:tr w:rsidR="00170150" w:rsidRPr="009D0417" w14:paraId="379C548C" w14:textId="77777777" w:rsidTr="009A6B96">
        <w:trPr>
          <w:jc w:val="center"/>
        </w:trPr>
        <w:tc>
          <w:tcPr>
            <w:tcW w:w="2235" w:type="dxa"/>
            <w:tcBorders>
              <w:top w:val="nil"/>
              <w:left w:val="nil"/>
              <w:bottom w:val="nil"/>
              <w:right w:val="nil"/>
            </w:tcBorders>
            <w:hideMark/>
          </w:tcPr>
          <w:p w14:paraId="57F40A75" w14:textId="77777777" w:rsidR="00170150" w:rsidRPr="009D0417" w:rsidRDefault="00170150" w:rsidP="009A6B96">
            <w:pPr>
              <w:autoSpaceDE w:val="0"/>
              <w:autoSpaceDN w:val="0"/>
              <w:adjustRightInd w:val="0"/>
              <w:jc w:val="left"/>
              <w:rPr>
                <w:rFonts w:ascii="Times New Roman" w:eastAsia="等线" w:hAnsi="Times New Roman" w:cs="Times New Roman"/>
                <w:kern w:val="0"/>
                <w:szCs w:val="24"/>
              </w:rPr>
            </w:pPr>
            <w:r w:rsidRPr="009D0417">
              <w:rPr>
                <w:rFonts w:ascii="Times New Roman" w:eastAsia="等线" w:hAnsi="Times New Roman" w:cs="Times New Roman"/>
                <w:kern w:val="0"/>
                <w:szCs w:val="24"/>
              </w:rPr>
              <w:t>Cfr</w:t>
            </w:r>
          </w:p>
        </w:tc>
        <w:tc>
          <w:tcPr>
            <w:tcW w:w="1440" w:type="dxa"/>
            <w:tcBorders>
              <w:top w:val="nil"/>
              <w:left w:val="nil"/>
              <w:bottom w:val="nil"/>
              <w:right w:val="nil"/>
            </w:tcBorders>
            <w:hideMark/>
          </w:tcPr>
          <w:p w14:paraId="4841FF9F"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-0.203***</w:t>
            </w:r>
          </w:p>
        </w:tc>
        <w:tc>
          <w:tcPr>
            <w:tcW w:w="1440" w:type="dxa"/>
            <w:tcBorders>
              <w:top w:val="nil"/>
              <w:left w:val="nil"/>
              <w:bottom w:val="nil"/>
              <w:right w:val="nil"/>
            </w:tcBorders>
            <w:hideMark/>
          </w:tcPr>
          <w:p w14:paraId="26F85DCA"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-0.485</w:t>
            </w:r>
          </w:p>
        </w:tc>
        <w:tc>
          <w:tcPr>
            <w:tcW w:w="1296" w:type="dxa"/>
            <w:tcBorders>
              <w:top w:val="nil"/>
              <w:left w:val="nil"/>
              <w:bottom w:val="nil"/>
              <w:right w:val="nil"/>
            </w:tcBorders>
            <w:hideMark/>
          </w:tcPr>
          <w:p w14:paraId="2132DEDC"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-252.6</w:t>
            </w:r>
          </w:p>
        </w:tc>
      </w:tr>
      <w:tr w:rsidR="00170150" w:rsidRPr="009D0417" w14:paraId="3EF53295" w14:textId="77777777" w:rsidTr="009A6B96">
        <w:trPr>
          <w:jc w:val="center"/>
        </w:trPr>
        <w:tc>
          <w:tcPr>
            <w:tcW w:w="2235" w:type="dxa"/>
            <w:tcBorders>
              <w:top w:val="nil"/>
              <w:left w:val="nil"/>
              <w:bottom w:val="nil"/>
              <w:right w:val="nil"/>
            </w:tcBorders>
          </w:tcPr>
          <w:p w14:paraId="0364424D" w14:textId="77777777" w:rsidR="00170150" w:rsidRPr="009D0417" w:rsidRDefault="00170150" w:rsidP="009A6B96">
            <w:pPr>
              <w:autoSpaceDE w:val="0"/>
              <w:autoSpaceDN w:val="0"/>
              <w:adjustRightInd w:val="0"/>
              <w:jc w:val="left"/>
              <w:rPr>
                <w:rFonts w:ascii="Times New Roman" w:eastAsia="等线" w:hAnsi="等线" w:cs="Times New Roman"/>
                <w:kern w:val="0"/>
                <w:szCs w:val="24"/>
              </w:rPr>
            </w:pPr>
          </w:p>
        </w:tc>
        <w:tc>
          <w:tcPr>
            <w:tcW w:w="1440" w:type="dxa"/>
            <w:tcBorders>
              <w:top w:val="nil"/>
              <w:left w:val="nil"/>
              <w:bottom w:val="nil"/>
              <w:right w:val="nil"/>
            </w:tcBorders>
            <w:hideMark/>
          </w:tcPr>
          <w:p w14:paraId="3850235E"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(0.0387)</w:t>
            </w:r>
          </w:p>
        </w:tc>
        <w:tc>
          <w:tcPr>
            <w:tcW w:w="1440" w:type="dxa"/>
            <w:tcBorders>
              <w:top w:val="nil"/>
              <w:left w:val="nil"/>
              <w:bottom w:val="nil"/>
              <w:right w:val="nil"/>
            </w:tcBorders>
            <w:hideMark/>
          </w:tcPr>
          <w:p w14:paraId="7569AB1B"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(0.400)</w:t>
            </w:r>
          </w:p>
        </w:tc>
        <w:tc>
          <w:tcPr>
            <w:tcW w:w="1296" w:type="dxa"/>
            <w:tcBorders>
              <w:top w:val="nil"/>
              <w:left w:val="nil"/>
              <w:bottom w:val="nil"/>
              <w:right w:val="nil"/>
            </w:tcBorders>
            <w:hideMark/>
          </w:tcPr>
          <w:p w14:paraId="71D62277"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(277.3)</w:t>
            </w:r>
          </w:p>
        </w:tc>
      </w:tr>
      <w:tr w:rsidR="00170150" w:rsidRPr="009D0417" w14:paraId="090B1415" w14:textId="77777777" w:rsidTr="009A6B96">
        <w:trPr>
          <w:jc w:val="center"/>
        </w:trPr>
        <w:tc>
          <w:tcPr>
            <w:tcW w:w="2235" w:type="dxa"/>
            <w:tcBorders>
              <w:top w:val="nil"/>
              <w:left w:val="nil"/>
              <w:bottom w:val="nil"/>
              <w:right w:val="nil"/>
            </w:tcBorders>
            <w:hideMark/>
          </w:tcPr>
          <w:p w14:paraId="5FA241A3" w14:textId="77777777" w:rsidR="00170150" w:rsidRPr="009D0417" w:rsidRDefault="00170150" w:rsidP="009A6B96">
            <w:pPr>
              <w:autoSpaceDE w:val="0"/>
              <w:autoSpaceDN w:val="0"/>
              <w:adjustRightInd w:val="0"/>
              <w:jc w:val="left"/>
              <w:rPr>
                <w:rFonts w:ascii="Times New Roman" w:eastAsia="等线" w:hAnsi="Times New Roman" w:cs="Times New Roman"/>
                <w:kern w:val="0"/>
                <w:szCs w:val="24"/>
              </w:rPr>
            </w:pPr>
            <w:r w:rsidRPr="009D0417">
              <w:rPr>
                <w:rFonts w:ascii="Times New Roman" w:eastAsia="等线" w:hAnsi="Times New Roman" w:cs="Times New Roman"/>
                <w:kern w:val="0"/>
                <w:szCs w:val="24"/>
              </w:rPr>
              <w:t>Edfr</w:t>
            </w:r>
          </w:p>
        </w:tc>
        <w:tc>
          <w:tcPr>
            <w:tcW w:w="1440" w:type="dxa"/>
            <w:tcBorders>
              <w:top w:val="nil"/>
              <w:left w:val="nil"/>
              <w:bottom w:val="nil"/>
              <w:right w:val="nil"/>
            </w:tcBorders>
            <w:hideMark/>
          </w:tcPr>
          <w:p w14:paraId="6EBCFD4D"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-1.035***</w:t>
            </w:r>
          </w:p>
        </w:tc>
        <w:tc>
          <w:tcPr>
            <w:tcW w:w="1440" w:type="dxa"/>
            <w:tcBorders>
              <w:top w:val="nil"/>
              <w:left w:val="nil"/>
              <w:bottom w:val="nil"/>
              <w:right w:val="nil"/>
            </w:tcBorders>
            <w:hideMark/>
          </w:tcPr>
          <w:p w14:paraId="634E732C"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-3.678**</w:t>
            </w:r>
          </w:p>
        </w:tc>
        <w:tc>
          <w:tcPr>
            <w:tcW w:w="1296" w:type="dxa"/>
            <w:tcBorders>
              <w:top w:val="nil"/>
              <w:left w:val="nil"/>
              <w:bottom w:val="nil"/>
              <w:right w:val="nil"/>
            </w:tcBorders>
            <w:hideMark/>
          </w:tcPr>
          <w:p w14:paraId="53A55718"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1,293</w:t>
            </w:r>
          </w:p>
        </w:tc>
      </w:tr>
      <w:tr w:rsidR="00170150" w:rsidRPr="009D0417" w14:paraId="7B82231E" w14:textId="77777777" w:rsidTr="009A6B96">
        <w:trPr>
          <w:jc w:val="center"/>
        </w:trPr>
        <w:tc>
          <w:tcPr>
            <w:tcW w:w="2235" w:type="dxa"/>
            <w:tcBorders>
              <w:top w:val="nil"/>
              <w:left w:val="nil"/>
              <w:bottom w:val="nil"/>
              <w:right w:val="nil"/>
            </w:tcBorders>
          </w:tcPr>
          <w:p w14:paraId="090E0D60" w14:textId="77777777" w:rsidR="00170150" w:rsidRPr="009D0417" w:rsidRDefault="00170150" w:rsidP="009A6B96">
            <w:pPr>
              <w:autoSpaceDE w:val="0"/>
              <w:autoSpaceDN w:val="0"/>
              <w:adjustRightInd w:val="0"/>
              <w:jc w:val="left"/>
              <w:rPr>
                <w:rFonts w:ascii="Times New Roman" w:eastAsia="等线" w:hAnsi="等线" w:cs="Times New Roman"/>
                <w:kern w:val="0"/>
                <w:szCs w:val="24"/>
              </w:rPr>
            </w:pPr>
          </w:p>
        </w:tc>
        <w:tc>
          <w:tcPr>
            <w:tcW w:w="1440" w:type="dxa"/>
            <w:tcBorders>
              <w:top w:val="nil"/>
              <w:left w:val="nil"/>
              <w:bottom w:val="nil"/>
              <w:right w:val="nil"/>
            </w:tcBorders>
            <w:hideMark/>
          </w:tcPr>
          <w:p w14:paraId="7B23C1A3"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(0.173)</w:t>
            </w:r>
          </w:p>
        </w:tc>
        <w:tc>
          <w:tcPr>
            <w:tcW w:w="1440" w:type="dxa"/>
            <w:tcBorders>
              <w:top w:val="nil"/>
              <w:left w:val="nil"/>
              <w:bottom w:val="nil"/>
              <w:right w:val="nil"/>
            </w:tcBorders>
            <w:hideMark/>
          </w:tcPr>
          <w:p w14:paraId="25C87909"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(1.446)</w:t>
            </w:r>
          </w:p>
        </w:tc>
        <w:tc>
          <w:tcPr>
            <w:tcW w:w="1296" w:type="dxa"/>
            <w:tcBorders>
              <w:top w:val="nil"/>
              <w:left w:val="nil"/>
              <w:bottom w:val="nil"/>
              <w:right w:val="nil"/>
            </w:tcBorders>
            <w:hideMark/>
          </w:tcPr>
          <w:p w14:paraId="16D81AA0"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(1,739)</w:t>
            </w:r>
          </w:p>
        </w:tc>
      </w:tr>
      <w:tr w:rsidR="00170150" w:rsidRPr="009D0417" w14:paraId="26C6E762" w14:textId="77777777" w:rsidTr="009A6B96">
        <w:trPr>
          <w:jc w:val="center"/>
        </w:trPr>
        <w:tc>
          <w:tcPr>
            <w:tcW w:w="2235" w:type="dxa"/>
            <w:tcBorders>
              <w:top w:val="nil"/>
              <w:left w:val="nil"/>
              <w:bottom w:val="nil"/>
              <w:right w:val="nil"/>
            </w:tcBorders>
            <w:hideMark/>
          </w:tcPr>
          <w:p w14:paraId="4A8A428A" w14:textId="77777777" w:rsidR="00170150" w:rsidRPr="009D0417" w:rsidRDefault="00170150" w:rsidP="009A6B96">
            <w:pPr>
              <w:autoSpaceDE w:val="0"/>
              <w:autoSpaceDN w:val="0"/>
              <w:adjustRightInd w:val="0"/>
              <w:jc w:val="left"/>
              <w:rPr>
                <w:rFonts w:ascii="Times New Roman" w:eastAsia="等线" w:hAnsi="Times New Roman" w:cs="Times New Roman"/>
                <w:kern w:val="0"/>
                <w:szCs w:val="24"/>
              </w:rPr>
            </w:pPr>
            <w:r w:rsidRPr="009D0417">
              <w:rPr>
                <w:rFonts w:ascii="Times New Roman" w:eastAsia="等线" w:hAnsi="Times New Roman" w:cs="Times New Roman"/>
                <w:kern w:val="0"/>
                <w:szCs w:val="24"/>
              </w:rPr>
              <w:t>Ffr</w:t>
            </w:r>
          </w:p>
        </w:tc>
        <w:tc>
          <w:tcPr>
            <w:tcW w:w="1440" w:type="dxa"/>
            <w:tcBorders>
              <w:top w:val="nil"/>
              <w:left w:val="nil"/>
              <w:bottom w:val="nil"/>
              <w:right w:val="nil"/>
            </w:tcBorders>
            <w:hideMark/>
          </w:tcPr>
          <w:p w14:paraId="35277FBA"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0.0680</w:t>
            </w:r>
          </w:p>
        </w:tc>
        <w:tc>
          <w:tcPr>
            <w:tcW w:w="1440" w:type="dxa"/>
            <w:tcBorders>
              <w:top w:val="nil"/>
              <w:left w:val="nil"/>
              <w:bottom w:val="nil"/>
              <w:right w:val="nil"/>
            </w:tcBorders>
            <w:hideMark/>
          </w:tcPr>
          <w:p w14:paraId="475BC302"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-0.500</w:t>
            </w:r>
          </w:p>
        </w:tc>
        <w:tc>
          <w:tcPr>
            <w:tcW w:w="1296" w:type="dxa"/>
            <w:tcBorders>
              <w:top w:val="nil"/>
              <w:left w:val="nil"/>
              <w:bottom w:val="nil"/>
              <w:right w:val="nil"/>
            </w:tcBorders>
            <w:hideMark/>
          </w:tcPr>
          <w:p w14:paraId="265505A9"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9,370</w:t>
            </w:r>
          </w:p>
        </w:tc>
      </w:tr>
      <w:tr w:rsidR="00170150" w:rsidRPr="009D0417" w14:paraId="2D3BAC3D" w14:textId="77777777" w:rsidTr="009A6B96">
        <w:trPr>
          <w:jc w:val="center"/>
        </w:trPr>
        <w:tc>
          <w:tcPr>
            <w:tcW w:w="2235" w:type="dxa"/>
            <w:tcBorders>
              <w:top w:val="nil"/>
              <w:left w:val="nil"/>
              <w:bottom w:val="nil"/>
              <w:right w:val="nil"/>
            </w:tcBorders>
          </w:tcPr>
          <w:p w14:paraId="37A75CEA" w14:textId="77777777" w:rsidR="00170150" w:rsidRPr="009D0417" w:rsidRDefault="00170150" w:rsidP="009A6B96">
            <w:pPr>
              <w:autoSpaceDE w:val="0"/>
              <w:autoSpaceDN w:val="0"/>
              <w:adjustRightInd w:val="0"/>
              <w:jc w:val="left"/>
              <w:rPr>
                <w:rFonts w:ascii="Times New Roman" w:eastAsia="等线" w:hAnsi="等线" w:cs="Times New Roman"/>
                <w:kern w:val="0"/>
                <w:szCs w:val="24"/>
              </w:rPr>
            </w:pPr>
          </w:p>
        </w:tc>
        <w:tc>
          <w:tcPr>
            <w:tcW w:w="1440" w:type="dxa"/>
            <w:tcBorders>
              <w:top w:val="nil"/>
              <w:left w:val="nil"/>
              <w:bottom w:val="nil"/>
              <w:right w:val="nil"/>
            </w:tcBorders>
            <w:hideMark/>
          </w:tcPr>
          <w:p w14:paraId="2AA44D55"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(0.159)</w:t>
            </w:r>
          </w:p>
        </w:tc>
        <w:tc>
          <w:tcPr>
            <w:tcW w:w="1440" w:type="dxa"/>
            <w:tcBorders>
              <w:top w:val="nil"/>
              <w:left w:val="nil"/>
              <w:bottom w:val="nil"/>
              <w:right w:val="nil"/>
            </w:tcBorders>
            <w:hideMark/>
          </w:tcPr>
          <w:p w14:paraId="7C3784ED"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(2.578)</w:t>
            </w:r>
          </w:p>
        </w:tc>
        <w:tc>
          <w:tcPr>
            <w:tcW w:w="1296" w:type="dxa"/>
            <w:tcBorders>
              <w:top w:val="nil"/>
              <w:left w:val="nil"/>
              <w:bottom w:val="nil"/>
              <w:right w:val="nil"/>
            </w:tcBorders>
            <w:hideMark/>
          </w:tcPr>
          <w:p w14:paraId="78F36A23"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(6,837)</w:t>
            </w:r>
          </w:p>
        </w:tc>
      </w:tr>
      <w:tr w:rsidR="00170150" w:rsidRPr="009D0417" w14:paraId="6274D7C1" w14:textId="77777777" w:rsidTr="009A6B96">
        <w:trPr>
          <w:jc w:val="center"/>
        </w:trPr>
        <w:tc>
          <w:tcPr>
            <w:tcW w:w="2235" w:type="dxa"/>
            <w:tcBorders>
              <w:top w:val="nil"/>
              <w:left w:val="nil"/>
              <w:bottom w:val="nil"/>
              <w:right w:val="nil"/>
            </w:tcBorders>
            <w:hideMark/>
          </w:tcPr>
          <w:p w14:paraId="654B6CCF" w14:textId="77777777" w:rsidR="00170150" w:rsidRPr="009D0417" w:rsidRDefault="00170150" w:rsidP="009A6B96">
            <w:pPr>
              <w:autoSpaceDE w:val="0"/>
              <w:autoSpaceDN w:val="0"/>
              <w:adjustRightInd w:val="0"/>
              <w:jc w:val="left"/>
              <w:rPr>
                <w:rFonts w:ascii="Times New Roman" w:eastAsia="等线" w:hAnsi="Times New Roman" w:cs="Times New Roman"/>
                <w:kern w:val="0"/>
                <w:szCs w:val="24"/>
              </w:rPr>
            </w:pPr>
            <w:r w:rsidRPr="009D0417">
              <w:rPr>
                <w:rFonts w:ascii="Times New Roman" w:eastAsia="等线" w:hAnsi="Times New Roman" w:cs="Times New Roman"/>
                <w:kern w:val="0"/>
                <w:szCs w:val="24"/>
              </w:rPr>
              <w:t>Dfr</w:t>
            </w:r>
          </w:p>
        </w:tc>
        <w:tc>
          <w:tcPr>
            <w:tcW w:w="1440" w:type="dxa"/>
            <w:tcBorders>
              <w:top w:val="nil"/>
              <w:left w:val="nil"/>
              <w:bottom w:val="nil"/>
              <w:right w:val="nil"/>
            </w:tcBorders>
            <w:hideMark/>
          </w:tcPr>
          <w:p w14:paraId="199A3A70"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0.287**</w:t>
            </w:r>
          </w:p>
        </w:tc>
        <w:tc>
          <w:tcPr>
            <w:tcW w:w="1440" w:type="dxa"/>
            <w:tcBorders>
              <w:top w:val="nil"/>
              <w:left w:val="nil"/>
              <w:bottom w:val="nil"/>
              <w:right w:val="nil"/>
            </w:tcBorders>
            <w:hideMark/>
          </w:tcPr>
          <w:p w14:paraId="4CC08A1E"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1.508**</w:t>
            </w:r>
          </w:p>
        </w:tc>
        <w:tc>
          <w:tcPr>
            <w:tcW w:w="1296" w:type="dxa"/>
            <w:tcBorders>
              <w:top w:val="nil"/>
              <w:left w:val="nil"/>
              <w:bottom w:val="nil"/>
              <w:right w:val="nil"/>
            </w:tcBorders>
            <w:hideMark/>
          </w:tcPr>
          <w:p w14:paraId="117F79EB"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-3,245</w:t>
            </w:r>
          </w:p>
        </w:tc>
      </w:tr>
      <w:tr w:rsidR="00170150" w:rsidRPr="009D0417" w14:paraId="0B4C5302" w14:textId="77777777" w:rsidTr="009A6B96">
        <w:trPr>
          <w:jc w:val="center"/>
        </w:trPr>
        <w:tc>
          <w:tcPr>
            <w:tcW w:w="2235" w:type="dxa"/>
            <w:tcBorders>
              <w:top w:val="nil"/>
              <w:left w:val="nil"/>
              <w:bottom w:val="nil"/>
              <w:right w:val="nil"/>
            </w:tcBorders>
          </w:tcPr>
          <w:p w14:paraId="3785E779" w14:textId="77777777" w:rsidR="00170150" w:rsidRPr="009D0417" w:rsidRDefault="00170150" w:rsidP="009A6B96">
            <w:pPr>
              <w:autoSpaceDE w:val="0"/>
              <w:autoSpaceDN w:val="0"/>
              <w:adjustRightInd w:val="0"/>
              <w:jc w:val="left"/>
              <w:rPr>
                <w:rFonts w:ascii="Times New Roman" w:eastAsia="等线" w:hAnsi="等线" w:cs="Times New Roman"/>
                <w:kern w:val="0"/>
                <w:szCs w:val="24"/>
              </w:rPr>
            </w:pPr>
          </w:p>
        </w:tc>
        <w:tc>
          <w:tcPr>
            <w:tcW w:w="1440" w:type="dxa"/>
            <w:tcBorders>
              <w:top w:val="nil"/>
              <w:left w:val="nil"/>
              <w:bottom w:val="nil"/>
              <w:right w:val="nil"/>
            </w:tcBorders>
            <w:hideMark/>
          </w:tcPr>
          <w:p w14:paraId="270DD710"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(0.119)</w:t>
            </w:r>
          </w:p>
        </w:tc>
        <w:tc>
          <w:tcPr>
            <w:tcW w:w="1440" w:type="dxa"/>
            <w:tcBorders>
              <w:top w:val="nil"/>
              <w:left w:val="nil"/>
              <w:bottom w:val="nil"/>
              <w:right w:val="nil"/>
            </w:tcBorders>
            <w:hideMark/>
          </w:tcPr>
          <w:p w14:paraId="59004CF0"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(0.689)</w:t>
            </w:r>
          </w:p>
        </w:tc>
        <w:tc>
          <w:tcPr>
            <w:tcW w:w="1296" w:type="dxa"/>
            <w:tcBorders>
              <w:top w:val="nil"/>
              <w:left w:val="nil"/>
              <w:bottom w:val="nil"/>
              <w:right w:val="nil"/>
            </w:tcBorders>
            <w:hideMark/>
          </w:tcPr>
          <w:p w14:paraId="7B948201"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(2,974)</w:t>
            </w:r>
          </w:p>
        </w:tc>
      </w:tr>
      <w:tr w:rsidR="00170150" w:rsidRPr="009D0417" w14:paraId="3A7E436B" w14:textId="77777777" w:rsidTr="009A6B96">
        <w:trPr>
          <w:jc w:val="center"/>
        </w:trPr>
        <w:tc>
          <w:tcPr>
            <w:tcW w:w="2235" w:type="dxa"/>
            <w:tcBorders>
              <w:top w:val="nil"/>
              <w:left w:val="nil"/>
              <w:bottom w:val="nil"/>
              <w:right w:val="nil"/>
            </w:tcBorders>
            <w:hideMark/>
          </w:tcPr>
          <w:p w14:paraId="0A1923E9" w14:textId="77777777" w:rsidR="00170150" w:rsidRPr="009D0417" w:rsidRDefault="00170150" w:rsidP="009A6B96">
            <w:pPr>
              <w:autoSpaceDE w:val="0"/>
              <w:autoSpaceDN w:val="0"/>
              <w:adjustRightInd w:val="0"/>
              <w:jc w:val="left"/>
              <w:rPr>
                <w:rFonts w:ascii="Times New Roman" w:eastAsia="等线" w:hAnsi="Times New Roman" w:cs="Times New Roman"/>
                <w:kern w:val="0"/>
                <w:szCs w:val="24"/>
              </w:rPr>
            </w:pPr>
            <w:r w:rsidRPr="009D0417">
              <w:rPr>
                <w:rFonts w:ascii="Times New Roman" w:eastAsia="等线" w:hAnsi="Times New Roman" w:cs="Times New Roman"/>
                <w:kern w:val="0"/>
                <w:szCs w:val="24"/>
              </w:rPr>
              <w:t>Constant</w:t>
            </w:r>
          </w:p>
        </w:tc>
        <w:tc>
          <w:tcPr>
            <w:tcW w:w="1440" w:type="dxa"/>
            <w:tcBorders>
              <w:top w:val="nil"/>
              <w:left w:val="nil"/>
              <w:bottom w:val="nil"/>
              <w:right w:val="nil"/>
            </w:tcBorders>
            <w:hideMark/>
          </w:tcPr>
          <w:p w14:paraId="01834D42"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85.23***</w:t>
            </w:r>
          </w:p>
        </w:tc>
        <w:tc>
          <w:tcPr>
            <w:tcW w:w="1440" w:type="dxa"/>
            <w:tcBorders>
              <w:top w:val="nil"/>
              <w:left w:val="nil"/>
              <w:bottom w:val="nil"/>
              <w:right w:val="nil"/>
            </w:tcBorders>
            <w:hideMark/>
          </w:tcPr>
          <w:p w14:paraId="25378584"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183.0***</w:t>
            </w:r>
          </w:p>
        </w:tc>
        <w:tc>
          <w:tcPr>
            <w:tcW w:w="1296" w:type="dxa"/>
            <w:tcBorders>
              <w:top w:val="nil"/>
              <w:left w:val="nil"/>
              <w:bottom w:val="nil"/>
              <w:right w:val="nil"/>
            </w:tcBorders>
            <w:hideMark/>
          </w:tcPr>
          <w:p w14:paraId="5E09D6B2"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6,419</w:t>
            </w:r>
          </w:p>
        </w:tc>
      </w:tr>
      <w:tr w:rsidR="00170150" w:rsidRPr="009D0417" w14:paraId="78C3BDF8" w14:textId="77777777" w:rsidTr="009A6B96">
        <w:trPr>
          <w:jc w:val="center"/>
        </w:trPr>
        <w:tc>
          <w:tcPr>
            <w:tcW w:w="2235" w:type="dxa"/>
            <w:tcBorders>
              <w:top w:val="nil"/>
              <w:left w:val="nil"/>
              <w:bottom w:val="nil"/>
              <w:right w:val="nil"/>
            </w:tcBorders>
          </w:tcPr>
          <w:p w14:paraId="18ED2C73" w14:textId="77777777" w:rsidR="00170150" w:rsidRPr="009D0417" w:rsidRDefault="00170150" w:rsidP="009A6B96">
            <w:pPr>
              <w:autoSpaceDE w:val="0"/>
              <w:autoSpaceDN w:val="0"/>
              <w:adjustRightInd w:val="0"/>
              <w:jc w:val="left"/>
              <w:rPr>
                <w:rFonts w:ascii="Times New Roman" w:eastAsia="等线" w:hAnsi="等线" w:cs="Times New Roman"/>
                <w:kern w:val="0"/>
                <w:szCs w:val="24"/>
              </w:rPr>
            </w:pPr>
          </w:p>
        </w:tc>
        <w:tc>
          <w:tcPr>
            <w:tcW w:w="1440" w:type="dxa"/>
            <w:tcBorders>
              <w:top w:val="nil"/>
              <w:left w:val="nil"/>
              <w:bottom w:val="nil"/>
              <w:right w:val="nil"/>
            </w:tcBorders>
            <w:hideMark/>
          </w:tcPr>
          <w:p w14:paraId="5DCF03AE"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(2.576)</w:t>
            </w:r>
          </w:p>
        </w:tc>
        <w:tc>
          <w:tcPr>
            <w:tcW w:w="1440" w:type="dxa"/>
            <w:tcBorders>
              <w:top w:val="nil"/>
              <w:left w:val="nil"/>
              <w:bottom w:val="nil"/>
              <w:right w:val="nil"/>
            </w:tcBorders>
            <w:hideMark/>
          </w:tcPr>
          <w:p w14:paraId="69CD041F"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(24.23)</w:t>
            </w:r>
          </w:p>
        </w:tc>
        <w:tc>
          <w:tcPr>
            <w:tcW w:w="1296" w:type="dxa"/>
            <w:tcBorders>
              <w:top w:val="nil"/>
              <w:left w:val="nil"/>
              <w:bottom w:val="nil"/>
              <w:right w:val="nil"/>
            </w:tcBorders>
            <w:hideMark/>
          </w:tcPr>
          <w:p w14:paraId="79241843"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(14,726)</w:t>
            </w:r>
          </w:p>
        </w:tc>
      </w:tr>
      <w:tr w:rsidR="00170150" w:rsidRPr="009D0417" w14:paraId="431F3156" w14:textId="77777777" w:rsidTr="009A6B96">
        <w:trPr>
          <w:jc w:val="center"/>
        </w:trPr>
        <w:tc>
          <w:tcPr>
            <w:tcW w:w="2235" w:type="dxa"/>
            <w:tcBorders>
              <w:top w:val="nil"/>
              <w:left w:val="nil"/>
              <w:bottom w:val="nil"/>
              <w:right w:val="nil"/>
            </w:tcBorders>
          </w:tcPr>
          <w:p w14:paraId="085BC836" w14:textId="77777777" w:rsidR="00170150" w:rsidRPr="009D0417" w:rsidRDefault="00170150" w:rsidP="009A6B96">
            <w:pPr>
              <w:autoSpaceDE w:val="0"/>
              <w:autoSpaceDN w:val="0"/>
              <w:adjustRightInd w:val="0"/>
              <w:jc w:val="left"/>
              <w:rPr>
                <w:rFonts w:ascii="Times New Roman" w:eastAsia="等线" w:hAnsi="等线" w:cs="Times New Roman"/>
                <w:kern w:val="0"/>
                <w:szCs w:val="24"/>
              </w:rPr>
            </w:pPr>
          </w:p>
        </w:tc>
        <w:tc>
          <w:tcPr>
            <w:tcW w:w="1440" w:type="dxa"/>
            <w:tcBorders>
              <w:top w:val="nil"/>
              <w:left w:val="nil"/>
              <w:bottom w:val="nil"/>
              <w:right w:val="nil"/>
            </w:tcBorders>
          </w:tcPr>
          <w:p w14:paraId="441C6F7F" w14:textId="77777777" w:rsidR="00170150" w:rsidRPr="009D0417" w:rsidRDefault="00170150" w:rsidP="009A6B96">
            <w:pPr>
              <w:autoSpaceDE w:val="0"/>
              <w:autoSpaceDN w:val="0"/>
              <w:adjustRightInd w:val="0"/>
              <w:jc w:val="center"/>
              <w:rPr>
                <w:rFonts w:ascii="Times New Roman" w:eastAsia="等线" w:hAnsi="等线" w:cs="Times New Roman"/>
                <w:kern w:val="0"/>
                <w:szCs w:val="24"/>
              </w:rPr>
            </w:pPr>
          </w:p>
        </w:tc>
        <w:tc>
          <w:tcPr>
            <w:tcW w:w="1440" w:type="dxa"/>
            <w:tcBorders>
              <w:top w:val="nil"/>
              <w:left w:val="nil"/>
              <w:bottom w:val="nil"/>
              <w:right w:val="nil"/>
            </w:tcBorders>
          </w:tcPr>
          <w:p w14:paraId="11EE379A" w14:textId="77777777" w:rsidR="00170150" w:rsidRPr="009D0417" w:rsidRDefault="00170150" w:rsidP="009A6B96">
            <w:pPr>
              <w:autoSpaceDE w:val="0"/>
              <w:autoSpaceDN w:val="0"/>
              <w:adjustRightInd w:val="0"/>
              <w:jc w:val="center"/>
              <w:rPr>
                <w:rFonts w:ascii="Times New Roman" w:eastAsia="等线" w:hAnsi="等线" w:cs="Times New Roman"/>
                <w:kern w:val="0"/>
                <w:szCs w:val="24"/>
              </w:rPr>
            </w:pPr>
          </w:p>
        </w:tc>
        <w:tc>
          <w:tcPr>
            <w:tcW w:w="1296" w:type="dxa"/>
            <w:tcBorders>
              <w:top w:val="nil"/>
              <w:left w:val="nil"/>
              <w:bottom w:val="nil"/>
              <w:right w:val="nil"/>
            </w:tcBorders>
          </w:tcPr>
          <w:p w14:paraId="7AD7C7F6" w14:textId="77777777" w:rsidR="00170150" w:rsidRPr="009D0417" w:rsidRDefault="00170150" w:rsidP="009A6B96">
            <w:pPr>
              <w:autoSpaceDE w:val="0"/>
              <w:autoSpaceDN w:val="0"/>
              <w:adjustRightInd w:val="0"/>
              <w:jc w:val="center"/>
              <w:rPr>
                <w:rFonts w:ascii="Times New Roman" w:eastAsia="等线" w:hAnsi="等线" w:cs="Times New Roman"/>
                <w:kern w:val="0"/>
                <w:szCs w:val="24"/>
              </w:rPr>
            </w:pPr>
          </w:p>
        </w:tc>
      </w:tr>
      <w:tr w:rsidR="00170150" w:rsidRPr="009D0417" w14:paraId="1EF85039" w14:textId="77777777" w:rsidTr="009A6B96">
        <w:trPr>
          <w:jc w:val="center"/>
        </w:trPr>
        <w:tc>
          <w:tcPr>
            <w:tcW w:w="2235" w:type="dxa"/>
            <w:tcBorders>
              <w:top w:val="nil"/>
              <w:left w:val="nil"/>
              <w:bottom w:val="nil"/>
              <w:right w:val="nil"/>
            </w:tcBorders>
            <w:hideMark/>
          </w:tcPr>
          <w:p w14:paraId="1EB48B95" w14:textId="77777777" w:rsidR="00170150" w:rsidRPr="009D0417" w:rsidRDefault="00170150" w:rsidP="009A6B96">
            <w:pPr>
              <w:autoSpaceDE w:val="0"/>
              <w:autoSpaceDN w:val="0"/>
              <w:adjustRightInd w:val="0"/>
              <w:jc w:val="left"/>
              <w:rPr>
                <w:rFonts w:ascii="Times New Roman" w:eastAsia="等线" w:hAnsi="Times New Roman" w:cs="Times New Roman"/>
                <w:kern w:val="0"/>
                <w:szCs w:val="24"/>
              </w:rPr>
            </w:pPr>
            <w:r w:rsidRPr="009D0417">
              <w:rPr>
                <w:rFonts w:ascii="Times New Roman" w:eastAsia="等线" w:hAnsi="Times New Roman" w:cs="Times New Roman"/>
                <w:kern w:val="0"/>
                <w:szCs w:val="24"/>
              </w:rPr>
              <w:t>Observations</w:t>
            </w:r>
          </w:p>
        </w:tc>
        <w:tc>
          <w:tcPr>
            <w:tcW w:w="1440" w:type="dxa"/>
            <w:tcBorders>
              <w:top w:val="nil"/>
              <w:left w:val="nil"/>
              <w:bottom w:val="nil"/>
              <w:right w:val="nil"/>
            </w:tcBorders>
            <w:hideMark/>
          </w:tcPr>
          <w:p w14:paraId="0F5B96B8"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289</w:t>
            </w:r>
          </w:p>
        </w:tc>
        <w:tc>
          <w:tcPr>
            <w:tcW w:w="1440" w:type="dxa"/>
            <w:tcBorders>
              <w:top w:val="nil"/>
              <w:left w:val="nil"/>
              <w:bottom w:val="nil"/>
              <w:right w:val="nil"/>
            </w:tcBorders>
            <w:hideMark/>
          </w:tcPr>
          <w:p w14:paraId="47B1BE2D"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289</w:t>
            </w:r>
          </w:p>
        </w:tc>
        <w:tc>
          <w:tcPr>
            <w:tcW w:w="1296" w:type="dxa"/>
            <w:tcBorders>
              <w:top w:val="nil"/>
              <w:left w:val="nil"/>
              <w:bottom w:val="nil"/>
              <w:right w:val="nil"/>
            </w:tcBorders>
            <w:hideMark/>
          </w:tcPr>
          <w:p w14:paraId="08D99A12"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285</w:t>
            </w:r>
          </w:p>
        </w:tc>
      </w:tr>
      <w:tr w:rsidR="00170150" w:rsidRPr="009D0417" w14:paraId="57153270" w14:textId="77777777" w:rsidTr="009A6B96">
        <w:trPr>
          <w:jc w:val="center"/>
        </w:trPr>
        <w:tc>
          <w:tcPr>
            <w:tcW w:w="2235" w:type="dxa"/>
            <w:tcBorders>
              <w:top w:val="nil"/>
              <w:left w:val="nil"/>
              <w:bottom w:val="nil"/>
              <w:right w:val="nil"/>
            </w:tcBorders>
            <w:hideMark/>
          </w:tcPr>
          <w:p w14:paraId="372A7093" w14:textId="77777777" w:rsidR="00170150" w:rsidRPr="009D0417" w:rsidRDefault="00170150" w:rsidP="009A6B96">
            <w:pPr>
              <w:autoSpaceDE w:val="0"/>
              <w:autoSpaceDN w:val="0"/>
              <w:adjustRightInd w:val="0"/>
              <w:jc w:val="left"/>
              <w:rPr>
                <w:rFonts w:ascii="Times New Roman" w:eastAsia="等线" w:hAnsi="Times New Roman" w:cs="Times New Roman"/>
                <w:kern w:val="0"/>
                <w:szCs w:val="24"/>
              </w:rPr>
            </w:pPr>
            <w:r w:rsidRPr="009D0417">
              <w:rPr>
                <w:rFonts w:ascii="Times New Roman" w:eastAsia="等线" w:hAnsi="Times New Roman" w:cs="Times New Roman"/>
                <w:kern w:val="0"/>
                <w:szCs w:val="24"/>
              </w:rPr>
              <w:t>R-squared</w:t>
            </w:r>
          </w:p>
        </w:tc>
        <w:tc>
          <w:tcPr>
            <w:tcW w:w="1440" w:type="dxa"/>
            <w:tcBorders>
              <w:top w:val="nil"/>
              <w:left w:val="nil"/>
              <w:bottom w:val="nil"/>
              <w:right w:val="nil"/>
            </w:tcBorders>
            <w:hideMark/>
          </w:tcPr>
          <w:p w14:paraId="722D9762"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0.657</w:t>
            </w:r>
          </w:p>
        </w:tc>
        <w:tc>
          <w:tcPr>
            <w:tcW w:w="1440" w:type="dxa"/>
            <w:tcBorders>
              <w:top w:val="nil"/>
              <w:left w:val="nil"/>
              <w:bottom w:val="nil"/>
              <w:right w:val="nil"/>
            </w:tcBorders>
            <w:hideMark/>
          </w:tcPr>
          <w:p w14:paraId="5A157E97"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0.154</w:t>
            </w:r>
          </w:p>
        </w:tc>
        <w:tc>
          <w:tcPr>
            <w:tcW w:w="1296" w:type="dxa"/>
            <w:tcBorders>
              <w:top w:val="nil"/>
              <w:left w:val="nil"/>
              <w:bottom w:val="nil"/>
              <w:right w:val="nil"/>
            </w:tcBorders>
            <w:hideMark/>
          </w:tcPr>
          <w:p w14:paraId="05A64797"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0.138</w:t>
            </w:r>
          </w:p>
        </w:tc>
      </w:tr>
      <w:tr w:rsidR="00170150" w:rsidRPr="009D0417" w14:paraId="7D8F07D6" w14:textId="77777777" w:rsidTr="009A6B96">
        <w:trPr>
          <w:jc w:val="center"/>
        </w:trPr>
        <w:tc>
          <w:tcPr>
            <w:tcW w:w="2235" w:type="dxa"/>
            <w:tcBorders>
              <w:top w:val="nil"/>
              <w:left w:val="nil"/>
              <w:bottom w:val="single" w:sz="6" w:space="0" w:color="auto"/>
              <w:right w:val="nil"/>
            </w:tcBorders>
            <w:hideMark/>
          </w:tcPr>
          <w:p w14:paraId="633CD092" w14:textId="77777777" w:rsidR="00170150" w:rsidRPr="009D0417" w:rsidRDefault="00170150" w:rsidP="009A6B96">
            <w:pPr>
              <w:autoSpaceDE w:val="0"/>
              <w:autoSpaceDN w:val="0"/>
              <w:adjustRightInd w:val="0"/>
              <w:jc w:val="left"/>
              <w:rPr>
                <w:rFonts w:ascii="Times New Roman" w:eastAsia="等线" w:hAnsi="Times New Roman" w:cs="Times New Roman"/>
                <w:kern w:val="0"/>
                <w:szCs w:val="24"/>
              </w:rPr>
            </w:pPr>
            <w:r w:rsidRPr="009D0417">
              <w:rPr>
                <w:rFonts w:ascii="Times New Roman" w:eastAsia="等线" w:hAnsi="Times New Roman" w:cs="Times New Roman"/>
                <w:kern w:val="0"/>
                <w:szCs w:val="24"/>
              </w:rPr>
              <w:t>Number of Corp</w:t>
            </w:r>
          </w:p>
        </w:tc>
        <w:tc>
          <w:tcPr>
            <w:tcW w:w="1440" w:type="dxa"/>
            <w:tcBorders>
              <w:top w:val="nil"/>
              <w:left w:val="nil"/>
              <w:bottom w:val="single" w:sz="6" w:space="0" w:color="auto"/>
              <w:right w:val="nil"/>
            </w:tcBorders>
            <w:hideMark/>
          </w:tcPr>
          <w:p w14:paraId="2F1A61BC"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81</w:t>
            </w:r>
          </w:p>
        </w:tc>
        <w:tc>
          <w:tcPr>
            <w:tcW w:w="1440" w:type="dxa"/>
            <w:tcBorders>
              <w:top w:val="nil"/>
              <w:left w:val="nil"/>
              <w:bottom w:val="single" w:sz="6" w:space="0" w:color="auto"/>
              <w:right w:val="nil"/>
            </w:tcBorders>
            <w:hideMark/>
          </w:tcPr>
          <w:p w14:paraId="222423F8"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81</w:t>
            </w:r>
          </w:p>
        </w:tc>
        <w:tc>
          <w:tcPr>
            <w:tcW w:w="1296" w:type="dxa"/>
            <w:tcBorders>
              <w:top w:val="nil"/>
              <w:left w:val="nil"/>
              <w:bottom w:val="single" w:sz="6" w:space="0" w:color="auto"/>
              <w:right w:val="nil"/>
            </w:tcBorders>
            <w:hideMark/>
          </w:tcPr>
          <w:p w14:paraId="5F849D2F" w14:textId="77777777" w:rsidR="00170150" w:rsidRPr="009D0417" w:rsidRDefault="00170150" w:rsidP="009A6B96">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81</w:t>
            </w:r>
          </w:p>
        </w:tc>
      </w:tr>
    </w:tbl>
    <w:p w14:paraId="732C8EEE" w14:textId="77777777" w:rsidR="00170150" w:rsidRPr="009D0417" w:rsidRDefault="00170150" w:rsidP="00170150">
      <w:pPr>
        <w:autoSpaceDE w:val="0"/>
        <w:autoSpaceDN w:val="0"/>
        <w:adjustRightInd w:val="0"/>
        <w:jc w:val="center"/>
        <w:rPr>
          <w:rFonts w:ascii="Times New Roman" w:eastAsia="等线" w:hAnsi="Times New Roman" w:cs="Times New Roman"/>
          <w:kern w:val="0"/>
          <w:szCs w:val="24"/>
        </w:rPr>
      </w:pPr>
      <w:r w:rsidRPr="009D0417">
        <w:rPr>
          <w:rFonts w:ascii="Times New Roman" w:eastAsia="等线" w:hAnsi="Times New Roman" w:cs="Times New Roman"/>
          <w:kern w:val="0"/>
          <w:szCs w:val="24"/>
        </w:rPr>
        <w:t>Robust standard errors in parentheses</w:t>
      </w:r>
    </w:p>
    <w:p w14:paraId="0F7439C6" w14:textId="77777777" w:rsidR="00170150" w:rsidRDefault="00170150" w:rsidP="00170150">
      <w:pPr>
        <w:autoSpaceDE w:val="0"/>
        <w:autoSpaceDN w:val="0"/>
        <w:adjustRightInd w:val="0"/>
        <w:jc w:val="center"/>
        <w:rPr>
          <w:rFonts w:ascii="Times New Roman" w:eastAsia="等线" w:hAnsi="等线" w:cs="Times New Roman"/>
          <w:kern w:val="0"/>
          <w:szCs w:val="24"/>
        </w:rPr>
      </w:pPr>
      <w:r w:rsidRPr="009D0417">
        <w:rPr>
          <w:rFonts w:ascii="Times New Roman" w:eastAsia="等线" w:hAnsi="Times New Roman" w:cs="Times New Roman"/>
          <w:kern w:val="0"/>
          <w:szCs w:val="24"/>
        </w:rPr>
        <w:t>*** p&lt;0.01, ** p&lt;0.05, * p&lt;0.1</w:t>
      </w:r>
    </w:p>
    <w:p w14:paraId="78D91766" w14:textId="77777777" w:rsidR="00170150" w:rsidRPr="00F65475" w:rsidRDefault="00170150" w:rsidP="00170150">
      <w:pPr>
        <w:autoSpaceDE w:val="0"/>
        <w:autoSpaceDN w:val="0"/>
        <w:adjustRightInd w:val="0"/>
        <w:ind w:firstLine="240"/>
        <w:jc w:val="left"/>
        <w:rPr>
          <w:rFonts w:ascii="宋体" w:eastAsia="宋体" w:hAnsi="宋体" w:cs="Times New Roman"/>
          <w:kern w:val="0"/>
          <w:sz w:val="24"/>
          <w:szCs w:val="24"/>
        </w:rPr>
      </w:pPr>
      <w:r w:rsidRPr="00F65475">
        <w:rPr>
          <w:rFonts w:ascii="宋体" w:eastAsia="宋体" w:hAnsi="宋体" w:cs="Times New Roman"/>
          <w:kern w:val="0"/>
          <w:sz w:val="24"/>
          <w:szCs w:val="24"/>
        </w:rPr>
        <w:t>E</w:t>
      </w:r>
      <w:r w:rsidRPr="00F65475">
        <w:rPr>
          <w:rFonts w:ascii="宋体" w:eastAsia="宋体" w:hAnsi="宋体" w:cs="Times New Roman" w:hint="eastAsia"/>
          <w:kern w:val="0"/>
          <w:sz w:val="24"/>
          <w:szCs w:val="24"/>
        </w:rPr>
        <w:t>fr；Cfr；</w:t>
      </w:r>
      <w:r w:rsidRPr="00F65475">
        <w:rPr>
          <w:rFonts w:ascii="宋体" w:eastAsia="宋体" w:hAnsi="宋体" w:cs="Times New Roman"/>
          <w:kern w:val="0"/>
          <w:sz w:val="24"/>
          <w:szCs w:val="24"/>
        </w:rPr>
        <w:t>E</w:t>
      </w:r>
      <w:r w:rsidRPr="00F65475">
        <w:rPr>
          <w:rFonts w:ascii="宋体" w:eastAsia="宋体" w:hAnsi="宋体" w:cs="Times New Roman" w:hint="eastAsia"/>
          <w:kern w:val="0"/>
          <w:sz w:val="24"/>
          <w:szCs w:val="24"/>
        </w:rPr>
        <w:t>dfr；Ffr；Dfr分别代表解释变量中的X</w:t>
      </w:r>
      <w:r w:rsidRPr="00F65475">
        <w:rPr>
          <w:rFonts w:ascii="宋体" w:eastAsia="宋体" w:hAnsi="宋体" w:cs="Times New Roman"/>
          <w:kern w:val="0"/>
          <w:sz w:val="24"/>
          <w:szCs w:val="24"/>
          <w:vertAlign w:val="subscript"/>
        </w:rPr>
        <w:t>1</w:t>
      </w:r>
      <w:r w:rsidRPr="00F65475">
        <w:rPr>
          <w:rFonts w:ascii="宋体" w:eastAsia="宋体" w:hAnsi="宋体" w:cs="Times New Roman"/>
          <w:kern w:val="0"/>
          <w:sz w:val="24"/>
          <w:szCs w:val="24"/>
        </w:rPr>
        <w:t>~X</w:t>
      </w:r>
      <w:r w:rsidRPr="00F65475">
        <w:rPr>
          <w:rFonts w:ascii="宋体" w:eastAsia="宋体" w:hAnsi="宋体" w:cs="Times New Roman"/>
          <w:kern w:val="0"/>
          <w:sz w:val="24"/>
          <w:szCs w:val="24"/>
          <w:vertAlign w:val="subscript"/>
        </w:rPr>
        <w:t>5</w:t>
      </w:r>
      <w:r w:rsidRPr="00F65475">
        <w:rPr>
          <w:rFonts w:ascii="宋体" w:eastAsia="宋体" w:hAnsi="宋体" w:cs="Times New Roman" w:hint="eastAsia"/>
          <w:kern w:val="0"/>
          <w:sz w:val="24"/>
          <w:szCs w:val="24"/>
        </w:rPr>
        <w:t>，其中根据回归结果可以看出被解释变量Y</w:t>
      </w:r>
      <w:r w:rsidRPr="00F65475">
        <w:rPr>
          <w:rFonts w:ascii="宋体" w:eastAsia="宋体" w:hAnsi="宋体" w:cs="Times New Roman"/>
          <w:kern w:val="0"/>
          <w:sz w:val="24"/>
          <w:szCs w:val="24"/>
          <w:vertAlign w:val="subscript"/>
        </w:rPr>
        <w:t>1</w:t>
      </w:r>
      <w:r w:rsidRPr="00F65475">
        <w:rPr>
          <w:rFonts w:ascii="宋体" w:eastAsia="宋体" w:hAnsi="宋体" w:cs="Times New Roman" w:hint="eastAsia"/>
          <w:kern w:val="0"/>
          <w:sz w:val="24"/>
          <w:szCs w:val="24"/>
        </w:rPr>
        <w:t>和解释变量X</w:t>
      </w:r>
      <w:r w:rsidRPr="00F65475">
        <w:rPr>
          <w:rFonts w:ascii="宋体" w:eastAsia="宋体" w:hAnsi="宋体" w:cs="Times New Roman"/>
          <w:kern w:val="0"/>
          <w:sz w:val="24"/>
          <w:szCs w:val="24"/>
          <w:vertAlign w:val="subscript"/>
        </w:rPr>
        <w:t>1</w:t>
      </w:r>
      <w:r w:rsidRPr="00F65475">
        <w:rPr>
          <w:rFonts w:ascii="宋体" w:eastAsia="宋体" w:hAnsi="宋体" w:cs="Times New Roman"/>
          <w:kern w:val="0"/>
          <w:sz w:val="24"/>
          <w:szCs w:val="24"/>
        </w:rPr>
        <w:t>~X</w:t>
      </w:r>
      <w:r w:rsidRPr="00F65475">
        <w:rPr>
          <w:rFonts w:ascii="宋体" w:eastAsia="宋体" w:hAnsi="宋体" w:cs="Times New Roman"/>
          <w:kern w:val="0"/>
          <w:sz w:val="24"/>
          <w:szCs w:val="24"/>
          <w:vertAlign w:val="subscript"/>
        </w:rPr>
        <w:t>5</w:t>
      </w:r>
      <w:r w:rsidRPr="00F65475">
        <w:rPr>
          <w:rFonts w:ascii="宋体" w:eastAsia="宋体" w:hAnsi="宋体" w:cs="Times New Roman" w:hint="eastAsia"/>
          <w:kern w:val="0"/>
          <w:sz w:val="24"/>
          <w:szCs w:val="24"/>
        </w:rPr>
        <w:t>之间的具有较高的相关性；被解释变量Y</w:t>
      </w:r>
      <w:r w:rsidRPr="00F65475">
        <w:rPr>
          <w:rFonts w:ascii="宋体" w:eastAsia="宋体" w:hAnsi="宋体" w:cs="Times New Roman"/>
          <w:kern w:val="0"/>
          <w:sz w:val="24"/>
          <w:szCs w:val="24"/>
          <w:vertAlign w:val="subscript"/>
        </w:rPr>
        <w:t>2</w:t>
      </w:r>
      <w:r w:rsidRPr="00F65475">
        <w:rPr>
          <w:rFonts w:ascii="宋体" w:eastAsia="宋体" w:hAnsi="宋体" w:cs="Times New Roman" w:hint="eastAsia"/>
          <w:kern w:val="0"/>
          <w:sz w:val="24"/>
          <w:szCs w:val="24"/>
        </w:rPr>
        <w:t>和解释变量X</w:t>
      </w:r>
      <w:r w:rsidRPr="00F65475">
        <w:rPr>
          <w:rFonts w:ascii="宋体" w:eastAsia="宋体" w:hAnsi="宋体" w:cs="Times New Roman"/>
          <w:kern w:val="0"/>
          <w:sz w:val="24"/>
          <w:szCs w:val="24"/>
          <w:vertAlign w:val="subscript"/>
        </w:rPr>
        <w:t>1</w:t>
      </w:r>
      <w:r w:rsidRPr="00F65475">
        <w:rPr>
          <w:rFonts w:ascii="宋体" w:eastAsia="宋体" w:hAnsi="宋体" w:cs="Times New Roman"/>
          <w:kern w:val="0"/>
          <w:sz w:val="24"/>
          <w:szCs w:val="24"/>
        </w:rPr>
        <w:t>~X</w:t>
      </w:r>
      <w:r w:rsidRPr="00F65475">
        <w:rPr>
          <w:rFonts w:ascii="宋体" w:eastAsia="宋体" w:hAnsi="宋体" w:cs="Times New Roman"/>
          <w:kern w:val="0"/>
          <w:sz w:val="24"/>
          <w:szCs w:val="24"/>
          <w:vertAlign w:val="subscript"/>
        </w:rPr>
        <w:t>5</w:t>
      </w:r>
      <w:r w:rsidRPr="00F65475">
        <w:rPr>
          <w:rFonts w:ascii="宋体" w:eastAsia="宋体" w:hAnsi="宋体" w:cs="Times New Roman" w:hint="eastAsia"/>
          <w:kern w:val="0"/>
          <w:sz w:val="24"/>
          <w:szCs w:val="24"/>
        </w:rPr>
        <w:t>之间具有较高的相关性；被解释变量Y</w:t>
      </w:r>
      <w:r w:rsidRPr="00F65475">
        <w:rPr>
          <w:rFonts w:ascii="宋体" w:eastAsia="宋体" w:hAnsi="宋体" w:cs="Times New Roman"/>
          <w:kern w:val="0"/>
          <w:sz w:val="24"/>
          <w:szCs w:val="24"/>
          <w:vertAlign w:val="subscript"/>
        </w:rPr>
        <w:t>3</w:t>
      </w:r>
      <w:r w:rsidRPr="00F65475">
        <w:rPr>
          <w:rFonts w:ascii="宋体" w:eastAsia="宋体" w:hAnsi="宋体" w:cs="Times New Roman" w:hint="eastAsia"/>
          <w:kern w:val="0"/>
          <w:sz w:val="24"/>
          <w:szCs w:val="24"/>
        </w:rPr>
        <w:t>和解释变量X</w:t>
      </w:r>
      <w:r w:rsidRPr="00F65475">
        <w:rPr>
          <w:rFonts w:ascii="宋体" w:eastAsia="宋体" w:hAnsi="宋体" w:cs="Times New Roman"/>
          <w:kern w:val="0"/>
          <w:sz w:val="24"/>
          <w:szCs w:val="24"/>
          <w:vertAlign w:val="subscript"/>
        </w:rPr>
        <w:t>1</w:t>
      </w:r>
      <w:r w:rsidRPr="00F65475">
        <w:rPr>
          <w:rFonts w:ascii="宋体" w:eastAsia="宋体" w:hAnsi="宋体" w:cs="Times New Roman"/>
          <w:kern w:val="0"/>
          <w:sz w:val="24"/>
          <w:szCs w:val="24"/>
        </w:rPr>
        <w:t>~X</w:t>
      </w:r>
      <w:r w:rsidRPr="00F65475">
        <w:rPr>
          <w:rFonts w:ascii="宋体" w:eastAsia="宋体" w:hAnsi="宋体" w:cs="Times New Roman"/>
          <w:kern w:val="0"/>
          <w:sz w:val="24"/>
          <w:szCs w:val="24"/>
          <w:vertAlign w:val="subscript"/>
        </w:rPr>
        <w:t>5</w:t>
      </w:r>
      <w:r w:rsidRPr="00F65475">
        <w:rPr>
          <w:rFonts w:ascii="宋体" w:eastAsia="宋体" w:hAnsi="宋体" w:cs="Times New Roman" w:hint="eastAsia"/>
          <w:kern w:val="0"/>
          <w:sz w:val="24"/>
          <w:szCs w:val="24"/>
        </w:rPr>
        <w:t>之间不具有相关性，因此根据双向固定效应模型的理论基础，本文实证分析部分将只对Y</w:t>
      </w:r>
      <w:r w:rsidRPr="00F65475">
        <w:rPr>
          <w:rFonts w:ascii="宋体" w:eastAsia="宋体" w:hAnsi="宋体" w:cs="Times New Roman"/>
          <w:kern w:val="0"/>
          <w:sz w:val="24"/>
          <w:szCs w:val="24"/>
          <w:vertAlign w:val="subscript"/>
        </w:rPr>
        <w:t>1</w:t>
      </w:r>
      <w:r w:rsidRPr="00F65475">
        <w:rPr>
          <w:rFonts w:ascii="宋体" w:eastAsia="宋体" w:hAnsi="宋体" w:cs="Times New Roman" w:hint="eastAsia"/>
          <w:kern w:val="0"/>
          <w:sz w:val="24"/>
          <w:szCs w:val="24"/>
        </w:rPr>
        <w:t>和Y</w:t>
      </w:r>
      <w:r w:rsidRPr="00F65475">
        <w:rPr>
          <w:rFonts w:ascii="宋体" w:eastAsia="宋体" w:hAnsi="宋体" w:cs="Times New Roman"/>
          <w:kern w:val="0"/>
          <w:sz w:val="24"/>
          <w:szCs w:val="24"/>
          <w:vertAlign w:val="subscript"/>
        </w:rPr>
        <w:t>2</w:t>
      </w:r>
      <w:r w:rsidRPr="00F65475">
        <w:rPr>
          <w:rFonts w:ascii="宋体" w:eastAsia="宋体" w:hAnsi="宋体" w:cs="Times New Roman" w:hint="eastAsia"/>
          <w:kern w:val="0"/>
          <w:sz w:val="24"/>
          <w:szCs w:val="24"/>
        </w:rPr>
        <w:t>这两个被解释变量的回归结果进行分析。</w:t>
      </w:r>
    </w:p>
    <w:p w14:paraId="3B63A648" w14:textId="77777777" w:rsidR="00170150" w:rsidRDefault="00170150" w:rsidP="00170150">
      <w:pPr>
        <w:pStyle w:val="4"/>
      </w:pPr>
      <w:r>
        <w:lastRenderedPageBreak/>
        <w:t>3.4.2.1</w:t>
      </w:r>
      <w:r>
        <w:rPr>
          <w:rFonts w:hint="eastAsia"/>
        </w:rPr>
        <w:t>“剔除预收款后的资产负债率”对房企融资的影响研究</w:t>
      </w:r>
    </w:p>
    <w:p w14:paraId="78EEE64E" w14:textId="39A49234" w:rsidR="00170150" w:rsidRDefault="00170150" w:rsidP="00170150">
      <w:r w:rsidRPr="00D31B60">
        <w:rPr>
          <w:rFonts w:ascii="宋体" w:eastAsia="宋体" w:hAnsi="宋体" w:hint="eastAsia"/>
          <w:sz w:val="24"/>
          <w:szCs w:val="24"/>
        </w:rPr>
        <w:t>由表格中第一列的回归结果可得</w:t>
      </w:r>
      <w:r>
        <w:rPr>
          <w:rFonts w:hint="eastAsia"/>
        </w:rPr>
        <w:t>：</w:t>
      </w:r>
    </w:p>
    <w:bookmarkStart w:id="45" w:name="_Hlk103616339"/>
    <w:p w14:paraId="79899B78" w14:textId="40C84B8D" w:rsidR="00D31B60" w:rsidRPr="00D31B60" w:rsidRDefault="00D31B60" w:rsidP="00170150">
      <w:pPr>
        <w:rPr>
          <w:rFonts w:ascii="宋体" w:eastAsia="宋体" w:hAnsi="宋体" w:hint="eastAsia"/>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1</m:t>
              </m:r>
            </m:sub>
          </m:sSub>
          <m:r>
            <w:rPr>
              <w:rFonts w:ascii="Cambria Math" w:eastAsia="宋体" w:hAnsi="Cambria Math"/>
              <w:sz w:val="24"/>
              <w:szCs w:val="24"/>
            </w:rPr>
            <m:t>=</m:t>
          </m:r>
          <m:r>
            <w:rPr>
              <w:rFonts w:ascii="Cambria Math" w:eastAsia="宋体" w:hAnsi="Cambria Math"/>
              <w:sz w:val="24"/>
              <w:szCs w:val="24"/>
            </w:rPr>
            <m:t>85.23-0.848</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-0.203</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-1.035</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3</m:t>
              </m:r>
            </m:sub>
          </m:sSub>
          <m:r>
            <w:rPr>
              <w:rFonts w:ascii="Cambria Math" w:eastAsia="宋体" w:hAnsi="Cambria Math"/>
              <w:sz w:val="24"/>
              <w:szCs w:val="24"/>
            </w:rPr>
            <m:t>+</m:t>
          </m:r>
          <m:r>
            <w:rPr>
              <w:rFonts w:ascii="Cambria Math" w:eastAsia="宋体" w:hAnsi="Cambria Math"/>
              <w:sz w:val="24"/>
              <w:szCs w:val="24"/>
            </w:rPr>
            <m:t>0.068</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4it</m:t>
              </m:r>
            </m:sub>
          </m:sSub>
          <m:r>
            <w:rPr>
              <w:rFonts w:ascii="Cambria Math" w:eastAsia="宋体" w:hAnsi="Cambria Math"/>
              <w:sz w:val="24"/>
              <w:szCs w:val="24"/>
            </w:rPr>
            <m:t>+</m:t>
          </m:r>
          <m:r>
            <w:rPr>
              <w:rFonts w:ascii="Cambria Math" w:eastAsia="宋体" w:hAnsi="Cambria Math"/>
              <w:sz w:val="24"/>
              <w:szCs w:val="24"/>
            </w:rPr>
            <m:t>0.287</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5</m:t>
              </m:r>
            </m:sub>
          </m:sSub>
        </m:oMath>
      </m:oMathPara>
    </w:p>
    <w:bookmarkEnd w:id="45"/>
    <w:p w14:paraId="23371C7D" w14:textId="77777777" w:rsidR="00D31B60" w:rsidRDefault="00170150" w:rsidP="00D31B60">
      <w:pPr>
        <w:ind w:firstLineChars="200" w:firstLine="480"/>
        <w:rPr>
          <w:rFonts w:ascii="宋体" w:eastAsia="宋体" w:hAnsi="宋体"/>
          <w:sz w:val="24"/>
          <w:szCs w:val="24"/>
        </w:rPr>
      </w:pPr>
      <w:r w:rsidRPr="00D31B60">
        <w:rPr>
          <w:rFonts w:ascii="宋体" w:eastAsia="宋体" w:hAnsi="宋体" w:hint="eastAsia"/>
          <w:sz w:val="24"/>
          <w:szCs w:val="24"/>
        </w:rPr>
        <w:t>从上述的回归结果中我们可以看出，样本房地产企业的“股权融资率”；“商业信用融资率”；“内源融资率”对“剔除红线后的资产负债率”的影响系数均为负数。这说明房地产企业增加自身的“股权融资率”，“商业信用融资率”，“内源融资率”可以有效的减少“剔除预收款后的资产负债率”这个财务指标，其中，1单位“股权融资率”的增大会导致“剔除预收款后资产负债率”0</w:t>
      </w:r>
      <w:r w:rsidRPr="00D31B60">
        <w:rPr>
          <w:rFonts w:ascii="宋体" w:eastAsia="宋体" w:hAnsi="宋体"/>
          <w:sz w:val="24"/>
          <w:szCs w:val="24"/>
        </w:rPr>
        <w:t>.848</w:t>
      </w:r>
      <w:r w:rsidRPr="00D31B60">
        <w:rPr>
          <w:rFonts w:ascii="宋体" w:eastAsia="宋体" w:hAnsi="宋体" w:hint="eastAsia"/>
          <w:sz w:val="24"/>
          <w:szCs w:val="24"/>
        </w:rPr>
        <w:t>单位的减小；1单位“商业信用融资率”的增大会导致“剔除预收款后的资产负债率”0</w:t>
      </w:r>
      <w:r w:rsidRPr="00D31B60">
        <w:rPr>
          <w:rFonts w:ascii="宋体" w:eastAsia="宋体" w:hAnsi="宋体"/>
          <w:sz w:val="24"/>
          <w:szCs w:val="24"/>
        </w:rPr>
        <w:t>.203</w:t>
      </w:r>
      <w:r w:rsidRPr="00D31B60">
        <w:rPr>
          <w:rFonts w:ascii="宋体" w:eastAsia="宋体" w:hAnsi="宋体" w:hint="eastAsia"/>
          <w:sz w:val="24"/>
          <w:szCs w:val="24"/>
        </w:rPr>
        <w:t>单位的减小；1单位“内源融资率”的增大会导致“剔除预收款后的资产负债率”1</w:t>
      </w:r>
      <w:r w:rsidRPr="00D31B60">
        <w:rPr>
          <w:rFonts w:ascii="宋体" w:eastAsia="宋体" w:hAnsi="宋体"/>
          <w:sz w:val="24"/>
          <w:szCs w:val="24"/>
        </w:rPr>
        <w:t>.035</w:t>
      </w:r>
      <w:r w:rsidRPr="00D31B60">
        <w:rPr>
          <w:rFonts w:ascii="宋体" w:eastAsia="宋体" w:hAnsi="宋体" w:hint="eastAsia"/>
          <w:sz w:val="24"/>
          <w:szCs w:val="24"/>
        </w:rPr>
        <w:t>单位的减小。而“债券融资率”对“剔除预收款后的资产负债率”的影响系数为正数，1单位“债券融资率”的增大会导致“剔除预收款后的资产负债率”0</w:t>
      </w:r>
      <w:r w:rsidRPr="00D31B60">
        <w:rPr>
          <w:rFonts w:ascii="宋体" w:eastAsia="宋体" w:hAnsi="宋体"/>
          <w:sz w:val="24"/>
          <w:szCs w:val="24"/>
        </w:rPr>
        <w:t>.287</w:t>
      </w:r>
      <w:r w:rsidRPr="00D31B60">
        <w:rPr>
          <w:rFonts w:ascii="宋体" w:eastAsia="宋体" w:hAnsi="宋体" w:hint="eastAsia"/>
          <w:sz w:val="24"/>
          <w:szCs w:val="24"/>
        </w:rPr>
        <w:t>单位的增大。“财政融资率”对“剔除预收款后的资产负债率”没有较强的相关影响。</w:t>
      </w:r>
    </w:p>
    <w:p w14:paraId="46990DB1" w14:textId="0EB725F0" w:rsidR="00170150" w:rsidRPr="00D31B60" w:rsidRDefault="00170150" w:rsidP="00D31B60">
      <w:pPr>
        <w:ind w:firstLineChars="200" w:firstLine="480"/>
        <w:rPr>
          <w:rFonts w:ascii="宋体" w:eastAsia="宋体" w:hAnsi="宋体"/>
          <w:sz w:val="24"/>
          <w:szCs w:val="24"/>
        </w:rPr>
      </w:pPr>
      <w:r w:rsidRPr="00D31B60">
        <w:rPr>
          <w:rFonts w:ascii="宋体" w:eastAsia="宋体" w:hAnsi="宋体" w:hint="eastAsia"/>
          <w:sz w:val="24"/>
          <w:szCs w:val="24"/>
        </w:rPr>
        <w:t>“三道红线”规制政策中的第一条是“房地产企业剔除预收款后的资产负债率不得大于7</w:t>
      </w:r>
      <w:r w:rsidRPr="00D31B60">
        <w:rPr>
          <w:rFonts w:ascii="宋体" w:eastAsia="宋体" w:hAnsi="宋体"/>
          <w:sz w:val="24"/>
          <w:szCs w:val="24"/>
        </w:rPr>
        <w:t>0%</w:t>
      </w:r>
      <w:r w:rsidRPr="00D31B60">
        <w:rPr>
          <w:rFonts w:ascii="宋体" w:eastAsia="宋体" w:hAnsi="宋体" w:hint="eastAsia"/>
          <w:sz w:val="24"/>
          <w:szCs w:val="24"/>
        </w:rPr>
        <w:t>”。结合上述的实证结论，房地产企业可以通过融资端增大股权融资率；商业信用融资率和内源融资率，降低债券融资率的方式，来降低房地产企业报表中“剔除预收款后的资产负债率”的数值，使其能更好的应对规制政策的监管。这一部分实证结论也和上文中的文献综述和理论分析大致相同。究其原因，主要有以下几点：首先，我国现存的房地产企业的融资渠道相对单一，在房地产企业整体融资结构中有近7</w:t>
      </w:r>
      <w:r w:rsidRPr="00D31B60">
        <w:rPr>
          <w:rFonts w:ascii="宋体" w:eastAsia="宋体" w:hAnsi="宋体"/>
          <w:sz w:val="24"/>
          <w:szCs w:val="24"/>
        </w:rPr>
        <w:t>0%</w:t>
      </w:r>
      <w:r w:rsidRPr="00D31B60">
        <w:rPr>
          <w:rFonts w:ascii="宋体" w:eastAsia="宋体" w:hAnsi="宋体" w:hint="eastAsia"/>
          <w:sz w:val="24"/>
          <w:szCs w:val="24"/>
        </w:rPr>
        <w:t>的资金是来源于银行贷款和预收账款，也正因如此导致我国房地产企业普遍存在着“高负债，高杠杆”的财务风险，相关管理部门监管“剔除预收款后的资产负债率”也是为了监督房企积极调解自身的财务杠杆，使其达到一个风险较小的状态。其次，房地产企业的主营业务大多为规模较大的项目工程，其完工的周期较长，因此在项目推进过程中，资金的回笼需要大量的时间，且目前的房产购买者大部分都不会采用全款支付的方式来支付房款，因此会导致房地产企业在后续的经营中产生恶性的资金循环，不断的采用融资成本较高的融资方式来获得资金，随着这种恶性循环不断的加重，企业有息负债的边际效应也会逐渐下降，将这种低效率高风险的危机传导给向房地产企业放贷的银行，最终造成房地产业和金融业的系统性风险。根据融资权衡理论，适当的保持一定的负债，同时增大房企本身的内源融资占比，可以有效加大资金在房地产项目中的流通效率，有助于帮助房地产业和金融业发生此类系统性风险。最后，</w:t>
      </w:r>
      <w:bookmarkStart w:id="46" w:name="_Hlk103190409"/>
      <w:r w:rsidRPr="00D31B60">
        <w:rPr>
          <w:rFonts w:ascii="宋体" w:eastAsia="宋体" w:hAnsi="宋体" w:hint="eastAsia"/>
          <w:sz w:val="24"/>
          <w:szCs w:val="24"/>
        </w:rPr>
        <w:t>我们可以得出住房城乡建设部和人民银行提出的房地产行业融资管理“三道红线”中的第一道将会促使房地产企业扩大自身的股权融资占比、商业信用融资占比以及内源融资占比；减小企业自身的债券融资占比。</w:t>
      </w:r>
    </w:p>
    <w:bookmarkEnd w:id="46"/>
    <w:p w14:paraId="78AF1CC1" w14:textId="77777777" w:rsidR="00170150" w:rsidRDefault="00170150" w:rsidP="00170150">
      <w:pPr>
        <w:pStyle w:val="4"/>
      </w:pPr>
      <w:r>
        <w:t>3.4.2.2</w:t>
      </w:r>
      <w:r>
        <w:rPr>
          <w:rFonts w:hint="eastAsia"/>
        </w:rPr>
        <w:t>“净负债率”对房企融资的影响研究</w:t>
      </w:r>
    </w:p>
    <w:p w14:paraId="70EEFD7D" w14:textId="77777777" w:rsidR="00170150" w:rsidRPr="00D31B60" w:rsidRDefault="00170150" w:rsidP="00170150">
      <w:pPr>
        <w:rPr>
          <w:rFonts w:ascii="宋体" w:eastAsia="宋体" w:hAnsi="宋体"/>
          <w:sz w:val="24"/>
          <w:szCs w:val="24"/>
        </w:rPr>
      </w:pPr>
      <w:r w:rsidRPr="00D31B60">
        <w:rPr>
          <w:rFonts w:ascii="宋体" w:eastAsia="宋体" w:hAnsi="宋体" w:hint="eastAsia"/>
          <w:sz w:val="24"/>
          <w:szCs w:val="24"/>
        </w:rPr>
        <w:t>由表格中的第二列回归结果可得：</w:t>
      </w:r>
    </w:p>
    <w:p w14:paraId="1CF803A9" w14:textId="5F4AAABE" w:rsidR="00D31B60" w:rsidRPr="00D31B60" w:rsidRDefault="00D31B60" w:rsidP="00D31B60">
      <w:pPr>
        <w:rPr>
          <w:rFonts w:ascii="宋体" w:eastAsia="宋体" w:hAnsi="宋体" w:hint="eastAsia"/>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1</m:t>
              </m:r>
            </m:sub>
          </m:sSub>
          <m:r>
            <w:rPr>
              <w:rFonts w:ascii="Cambria Math" w:eastAsia="宋体" w:hAnsi="Cambria Math"/>
              <w:sz w:val="24"/>
              <w:szCs w:val="24"/>
            </w:rPr>
            <m:t>=</m:t>
          </m:r>
          <m:r>
            <w:rPr>
              <w:rFonts w:ascii="Cambria Math" w:eastAsia="宋体" w:hAnsi="Cambria Math"/>
              <w:sz w:val="24"/>
              <w:szCs w:val="24"/>
            </w:rPr>
            <m:t>183.0</m:t>
          </m:r>
          <m:r>
            <w:rPr>
              <w:rFonts w:ascii="Cambria Math" w:eastAsia="宋体" w:hAnsi="Cambria Math"/>
              <w:sz w:val="24"/>
              <w:szCs w:val="24"/>
            </w:rPr>
            <m:t>-</m:t>
          </m:r>
          <m:r>
            <w:rPr>
              <w:rFonts w:ascii="Cambria Math" w:eastAsia="宋体" w:hAnsi="Cambria Math"/>
              <w:sz w:val="24"/>
              <w:szCs w:val="24"/>
            </w:rPr>
            <m:t>3.285</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-0.</m:t>
          </m:r>
          <m:r>
            <w:rPr>
              <w:rFonts w:ascii="Cambria Math" w:eastAsia="宋体" w:hAnsi="Cambria Math"/>
              <w:sz w:val="24"/>
              <w:szCs w:val="24"/>
            </w:rPr>
            <m:t>485</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r>
            <w:rPr>
              <w:rFonts w:ascii="Cambria Math" w:eastAsia="宋体" w:hAnsi="Cambria Math"/>
              <w:sz w:val="24"/>
              <w:szCs w:val="24"/>
            </w:rPr>
            <m:t>3</m:t>
          </m:r>
          <m:r>
            <w:rPr>
              <w:rFonts w:ascii="Cambria Math" w:eastAsia="宋体" w:hAnsi="Cambria Math"/>
              <w:sz w:val="24"/>
              <w:szCs w:val="24"/>
            </w:rPr>
            <m:t>.</m:t>
          </m:r>
          <m:r>
            <w:rPr>
              <w:rFonts w:ascii="Cambria Math" w:eastAsia="宋体" w:hAnsi="Cambria Math"/>
              <w:sz w:val="24"/>
              <w:szCs w:val="24"/>
            </w:rPr>
            <m:t>678</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3</m:t>
              </m:r>
            </m:sub>
          </m:sSub>
          <m:r>
            <w:rPr>
              <w:rFonts w:ascii="Cambria Math" w:eastAsia="宋体" w:hAnsi="Cambria Math"/>
              <w:sz w:val="24"/>
              <w:szCs w:val="24"/>
            </w:rPr>
            <m:t>-</m:t>
          </m:r>
          <m:r>
            <w:rPr>
              <w:rFonts w:ascii="Cambria Math" w:eastAsia="宋体" w:hAnsi="Cambria Math"/>
              <w:sz w:val="24"/>
              <w:szCs w:val="24"/>
            </w:rPr>
            <m:t>0.</m:t>
          </m:r>
          <m:r>
            <w:rPr>
              <w:rFonts w:ascii="Cambria Math" w:eastAsia="宋体" w:hAnsi="Cambria Math"/>
              <w:sz w:val="24"/>
              <w:szCs w:val="24"/>
            </w:rPr>
            <m:t>500</m:t>
          </m:r>
          <w:bookmarkStart w:id="47" w:name="_Hlk103616463"/>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4</m:t>
              </m:r>
            </m:sub>
          </m:sSub>
          <w:bookmarkEnd w:id="47"/>
          <m:r>
            <w:rPr>
              <w:rFonts w:ascii="Cambria Math" w:eastAsia="宋体" w:hAnsi="Cambria Math"/>
              <w:sz w:val="24"/>
              <w:szCs w:val="24"/>
            </w:rPr>
            <m:t>+</m:t>
          </m:r>
          <m:r>
            <w:rPr>
              <w:rFonts w:ascii="Cambria Math" w:eastAsia="宋体" w:hAnsi="Cambria Math"/>
              <w:sz w:val="24"/>
              <w:szCs w:val="24"/>
            </w:rPr>
            <m:t>1.508</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5</m:t>
              </m:r>
            </m:sub>
          </m:sSub>
        </m:oMath>
      </m:oMathPara>
    </w:p>
    <w:p w14:paraId="1B7F9B79" w14:textId="486CE1C0" w:rsidR="00170150" w:rsidRDefault="00170150" w:rsidP="00170150"/>
    <w:p w14:paraId="097C3C90" w14:textId="77777777" w:rsidR="00170150" w:rsidRPr="003D502B" w:rsidRDefault="00170150" w:rsidP="00170150">
      <w:pPr>
        <w:ind w:firstLineChars="200" w:firstLine="480"/>
        <w:rPr>
          <w:rFonts w:ascii="宋体" w:eastAsia="宋体" w:hAnsi="宋体"/>
          <w:sz w:val="24"/>
          <w:szCs w:val="24"/>
        </w:rPr>
      </w:pPr>
      <w:r w:rsidRPr="003D502B">
        <w:rPr>
          <w:rFonts w:ascii="宋体" w:eastAsia="宋体" w:hAnsi="宋体" w:hint="eastAsia"/>
          <w:sz w:val="24"/>
          <w:szCs w:val="24"/>
        </w:rPr>
        <w:lastRenderedPageBreak/>
        <w:t>从上数的回归结果中我们可以看出，样本房地产企业的股权融资率、内源融资率对被解释变量Y</w:t>
      </w:r>
      <w:r w:rsidRPr="003D502B">
        <w:rPr>
          <w:rFonts w:ascii="宋体" w:eastAsia="宋体" w:hAnsi="宋体"/>
          <w:sz w:val="24"/>
          <w:szCs w:val="24"/>
        </w:rPr>
        <w:t>3</w:t>
      </w:r>
      <w:r w:rsidRPr="003D502B">
        <w:rPr>
          <w:rFonts w:ascii="宋体" w:eastAsia="宋体" w:hAnsi="宋体" w:hint="eastAsia"/>
          <w:sz w:val="24"/>
          <w:szCs w:val="24"/>
        </w:rPr>
        <w:t>的影响系数均为负数，债券融资率对被解释变量Y</w:t>
      </w:r>
      <w:r w:rsidRPr="003D502B">
        <w:rPr>
          <w:rFonts w:ascii="宋体" w:eastAsia="宋体" w:hAnsi="宋体"/>
          <w:sz w:val="24"/>
          <w:szCs w:val="24"/>
        </w:rPr>
        <w:t>3</w:t>
      </w:r>
      <w:r w:rsidRPr="003D502B">
        <w:rPr>
          <w:rFonts w:ascii="宋体" w:eastAsia="宋体" w:hAnsi="宋体" w:hint="eastAsia"/>
          <w:sz w:val="24"/>
          <w:szCs w:val="24"/>
        </w:rPr>
        <w:t>的影响系数为正数，商业信用融资率和财政融资率对被解释变量Y</w:t>
      </w:r>
      <w:r w:rsidRPr="003D502B">
        <w:rPr>
          <w:rFonts w:ascii="宋体" w:eastAsia="宋体" w:hAnsi="宋体"/>
          <w:sz w:val="24"/>
          <w:szCs w:val="24"/>
        </w:rPr>
        <w:t>3</w:t>
      </w:r>
      <w:r w:rsidRPr="003D502B">
        <w:rPr>
          <w:rFonts w:ascii="宋体" w:eastAsia="宋体" w:hAnsi="宋体" w:hint="eastAsia"/>
          <w:sz w:val="24"/>
          <w:szCs w:val="24"/>
        </w:rPr>
        <w:t>的影响并不显著。这说明在房地产企业中，股权融资比率和内源融资比率的增大会导致“净负债率”这个财务指标的降低；而债券融资比率的增大会导致“净负债率”的升高。其中，1单位股权融资率的增大会导致“净负债率”3</w:t>
      </w:r>
      <w:r w:rsidRPr="003D502B">
        <w:rPr>
          <w:rFonts w:ascii="宋体" w:eastAsia="宋体" w:hAnsi="宋体"/>
          <w:sz w:val="24"/>
          <w:szCs w:val="24"/>
        </w:rPr>
        <w:t>.285</w:t>
      </w:r>
      <w:r w:rsidRPr="003D502B">
        <w:rPr>
          <w:rFonts w:ascii="宋体" w:eastAsia="宋体" w:hAnsi="宋体" w:hint="eastAsia"/>
          <w:sz w:val="24"/>
          <w:szCs w:val="24"/>
        </w:rPr>
        <w:t>单位的减小，1单位股权内源融资率的增大会导致“净负债率”3</w:t>
      </w:r>
      <w:r w:rsidRPr="003D502B">
        <w:rPr>
          <w:rFonts w:ascii="宋体" w:eastAsia="宋体" w:hAnsi="宋体"/>
          <w:sz w:val="24"/>
          <w:szCs w:val="24"/>
        </w:rPr>
        <w:t>.678</w:t>
      </w:r>
      <w:r w:rsidRPr="003D502B">
        <w:rPr>
          <w:rFonts w:ascii="宋体" w:eastAsia="宋体" w:hAnsi="宋体" w:hint="eastAsia"/>
          <w:sz w:val="24"/>
          <w:szCs w:val="24"/>
        </w:rPr>
        <w:t>单位的减小，1单位债券融资率的增大会导致“净负债率”1</w:t>
      </w:r>
      <w:r w:rsidRPr="003D502B">
        <w:rPr>
          <w:rFonts w:ascii="宋体" w:eastAsia="宋体" w:hAnsi="宋体"/>
          <w:sz w:val="24"/>
          <w:szCs w:val="24"/>
        </w:rPr>
        <w:t>.508</w:t>
      </w:r>
      <w:r w:rsidRPr="003D502B">
        <w:rPr>
          <w:rFonts w:ascii="宋体" w:eastAsia="宋体" w:hAnsi="宋体" w:hint="eastAsia"/>
          <w:sz w:val="24"/>
          <w:szCs w:val="24"/>
        </w:rPr>
        <w:t>单位的增大。</w:t>
      </w:r>
    </w:p>
    <w:p w14:paraId="7E2C1E5A" w14:textId="77777777" w:rsidR="00170150" w:rsidRPr="003D502B" w:rsidRDefault="00170150" w:rsidP="00170150">
      <w:pPr>
        <w:ind w:firstLineChars="200" w:firstLine="480"/>
        <w:rPr>
          <w:rFonts w:ascii="宋体" w:eastAsia="宋体" w:hAnsi="宋体"/>
          <w:sz w:val="24"/>
          <w:szCs w:val="24"/>
        </w:rPr>
      </w:pPr>
      <w:r w:rsidRPr="003D502B">
        <w:rPr>
          <w:rFonts w:ascii="宋体" w:eastAsia="宋体" w:hAnsi="宋体" w:hint="eastAsia"/>
          <w:sz w:val="24"/>
          <w:szCs w:val="24"/>
        </w:rPr>
        <w:t>“三道红线”中的第二道红线是房地产企业净负债率不得大于1</w:t>
      </w:r>
      <w:r w:rsidRPr="003D502B">
        <w:rPr>
          <w:rFonts w:ascii="宋体" w:eastAsia="宋体" w:hAnsi="宋体"/>
          <w:sz w:val="24"/>
          <w:szCs w:val="24"/>
        </w:rPr>
        <w:t>00%</w:t>
      </w:r>
      <w:r w:rsidRPr="003D502B">
        <w:rPr>
          <w:rFonts w:ascii="宋体" w:eastAsia="宋体" w:hAnsi="宋体" w:hint="eastAsia"/>
          <w:sz w:val="24"/>
          <w:szCs w:val="24"/>
        </w:rPr>
        <w:t>，从财务核算的公式来看，净负债率的分子为净负债，分母为净资产。如果企业需要降低自身的净负债率，可以通过减小分子扩大分母的方式，即增大房企自身的净资产，扩大房企自身的净负债。综合上述实证结论，房地产企业可以从融资端增大股权融资占比和内源融资占比，或是降低债券融资占比等方式，来有效促进房企自身的净负债率降低到红线中所标的的数值。自住房城乡结合部和人民银行2</w:t>
      </w:r>
      <w:r w:rsidRPr="003D502B">
        <w:rPr>
          <w:rFonts w:ascii="宋体" w:eastAsia="宋体" w:hAnsi="宋体"/>
          <w:sz w:val="24"/>
          <w:szCs w:val="24"/>
        </w:rPr>
        <w:t>020</w:t>
      </w:r>
      <w:r w:rsidRPr="003D502B">
        <w:rPr>
          <w:rFonts w:ascii="宋体" w:eastAsia="宋体" w:hAnsi="宋体" w:hint="eastAsia"/>
          <w:sz w:val="24"/>
          <w:szCs w:val="24"/>
        </w:rPr>
        <w:t>年8月提出房地产企业融资管理“三道红线”以来，很多净负债率不达标的房企都采用了控制负债、增多表内资金和提高所有者权益手段，实现对净负债率的控制。体现在融资端的战略有，增加发行房企自身的配额股票、增加少数股东权益以及分拆房地产母公司的优质资产用于IPO等。例如碧桂园分拆其母公司物业板块的资产上市为碧桂园服务，万科A分拆其母公司物业板块的资产上市为万科物业。这些头部房地产企业的战略性决策，从融资端的角度来看都是扩大了企业自身股权融资的占比，以此来快速的增厚企业自身的净资产，降低债务融资的需求，从而最终达到降低净负债率的目的。虽然房企增加股权融资率可以有效的降低净负债率，但一般来说，房地产企业增加股权融资率的前提，是其自身的债务融资渠道严重收缩或是其企业财务结构需要进行优化，市场对这一类的房地产企业并不会抱有太高的预期。因此在不被市场所看好的房地产企业中，一味扩大股权融资率可能会导致企业自身的股票价格下跌，甚至会在一定程度上降低归母公司的净利润，从财务管理的角度看，房地产所有者权益的增加还会降低房企的净资产负债率。在这种情况下，提升房企自身的盈利能力就显得尤为重要，虽然上述头部房企的这种战略投资、拆分优质资产上市的方式可以快速的减小净负债率，但是并非长久之计，为了保证房企净资产的持续增长，留存收益的结转和利润的收入才是最具有可持续性的方式。而内源融资率的分子正是由盈余公积和未分配利润二者之和构成，因此房地产企业在面对第二道红线“净负债率”的监管时，提升内源融资率也是一个行之有效的决策。</w:t>
      </w:r>
    </w:p>
    <w:p w14:paraId="7D954BD1" w14:textId="77777777" w:rsidR="00170150" w:rsidRPr="003D502B" w:rsidRDefault="00170150" w:rsidP="00170150">
      <w:pPr>
        <w:ind w:firstLineChars="200" w:firstLine="480"/>
        <w:rPr>
          <w:rFonts w:ascii="宋体" w:eastAsia="宋体" w:hAnsi="宋体"/>
          <w:sz w:val="24"/>
          <w:szCs w:val="24"/>
        </w:rPr>
      </w:pPr>
      <w:r w:rsidRPr="003D502B">
        <w:rPr>
          <w:rFonts w:ascii="宋体" w:eastAsia="宋体" w:hAnsi="宋体" w:hint="eastAsia"/>
          <w:sz w:val="24"/>
          <w:szCs w:val="24"/>
        </w:rPr>
        <w:t>综上所述，我们可以得出住房城乡建设部和人民银行提出的房地产行业融资管理“三道红线”中的第二道将会促使房地产企业扩大自身的股权融资和内源融资占比；减小企业自身的债券融资占比。</w:t>
      </w:r>
    </w:p>
    <w:p w14:paraId="638A8B22" w14:textId="77777777" w:rsidR="00170150" w:rsidRDefault="00170150" w:rsidP="00170150">
      <w:pPr>
        <w:pStyle w:val="3"/>
      </w:pPr>
      <w:bookmarkStart w:id="48" w:name="_Toc103640995"/>
      <w:r>
        <w:rPr>
          <w:rFonts w:hint="eastAsia"/>
        </w:rPr>
        <w:t>3</w:t>
      </w:r>
      <w:r>
        <w:t xml:space="preserve">.4.3 </w:t>
      </w:r>
      <w:r>
        <w:rPr>
          <w:rFonts w:hint="eastAsia"/>
        </w:rPr>
        <w:t>稳健性检验</w:t>
      </w:r>
      <w:bookmarkEnd w:id="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firstRow="1" w:lastRow="0" w:firstColumn="1" w:lastColumn="0" w:noHBand="0" w:noVBand="1"/>
      </w:tblPr>
      <w:tblGrid>
        <w:gridCol w:w="2235"/>
        <w:gridCol w:w="1440"/>
        <w:gridCol w:w="1440"/>
        <w:gridCol w:w="1152"/>
      </w:tblGrid>
      <w:tr w:rsidR="00170150" w:rsidRPr="00DF2E9A" w14:paraId="33527B69" w14:textId="77777777" w:rsidTr="003D502B">
        <w:trPr>
          <w:jc w:val="center"/>
        </w:trPr>
        <w:tc>
          <w:tcPr>
            <w:tcW w:w="2235" w:type="dxa"/>
            <w:hideMark/>
          </w:tcPr>
          <w:p w14:paraId="55087B15" w14:textId="77777777" w:rsidR="00170150" w:rsidRPr="00DF2E9A" w:rsidRDefault="00170150" w:rsidP="009A6B96">
            <w:pPr>
              <w:autoSpaceDE w:val="0"/>
              <w:autoSpaceDN w:val="0"/>
              <w:adjustRightInd w:val="0"/>
              <w:jc w:val="left"/>
              <w:rPr>
                <w:rFonts w:ascii="Times New Roman" w:eastAsia="等线" w:hAnsi="等线" w:cs="Times New Roman"/>
                <w:kern w:val="0"/>
                <w:szCs w:val="24"/>
              </w:rPr>
            </w:pPr>
          </w:p>
        </w:tc>
        <w:tc>
          <w:tcPr>
            <w:tcW w:w="1440" w:type="dxa"/>
            <w:hideMark/>
          </w:tcPr>
          <w:p w14:paraId="4166A567"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(1)</w:t>
            </w:r>
          </w:p>
        </w:tc>
        <w:tc>
          <w:tcPr>
            <w:tcW w:w="1440" w:type="dxa"/>
            <w:hideMark/>
          </w:tcPr>
          <w:p w14:paraId="19E432EB"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(2)</w:t>
            </w:r>
          </w:p>
        </w:tc>
        <w:tc>
          <w:tcPr>
            <w:tcW w:w="1152" w:type="dxa"/>
            <w:hideMark/>
          </w:tcPr>
          <w:p w14:paraId="62821452"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(3)</w:t>
            </w:r>
          </w:p>
        </w:tc>
      </w:tr>
      <w:tr w:rsidR="00170150" w:rsidRPr="00DF2E9A" w14:paraId="4CE98A3F" w14:textId="77777777" w:rsidTr="003D502B">
        <w:trPr>
          <w:jc w:val="center"/>
        </w:trPr>
        <w:tc>
          <w:tcPr>
            <w:tcW w:w="2235" w:type="dxa"/>
            <w:hideMark/>
          </w:tcPr>
          <w:p w14:paraId="7E553B04" w14:textId="77777777" w:rsidR="00170150" w:rsidRPr="00DF2E9A" w:rsidRDefault="00170150" w:rsidP="009A6B96">
            <w:pPr>
              <w:autoSpaceDE w:val="0"/>
              <w:autoSpaceDN w:val="0"/>
              <w:adjustRightInd w:val="0"/>
              <w:jc w:val="left"/>
              <w:rPr>
                <w:rFonts w:ascii="Times New Roman" w:eastAsia="等线" w:hAnsi="等线" w:cs="Times New Roman"/>
                <w:kern w:val="0"/>
                <w:szCs w:val="24"/>
              </w:rPr>
            </w:pPr>
            <w:r w:rsidRPr="00DF2E9A">
              <w:rPr>
                <w:rFonts w:ascii="等线" w:eastAsia="等线" w:hAnsi="等线" w:cs="Times New Roman" w:hint="eastAsia"/>
                <w:kern w:val="0"/>
                <w:szCs w:val="24"/>
              </w:rPr>
              <w:t>变量名称</w:t>
            </w:r>
          </w:p>
        </w:tc>
        <w:tc>
          <w:tcPr>
            <w:tcW w:w="1440" w:type="dxa"/>
            <w:hideMark/>
          </w:tcPr>
          <w:p w14:paraId="26C5FA6C"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F.Y1</w:t>
            </w:r>
          </w:p>
        </w:tc>
        <w:tc>
          <w:tcPr>
            <w:tcW w:w="1440" w:type="dxa"/>
            <w:hideMark/>
          </w:tcPr>
          <w:p w14:paraId="1424BF5A"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F.Y2</w:t>
            </w:r>
          </w:p>
        </w:tc>
        <w:tc>
          <w:tcPr>
            <w:tcW w:w="1152" w:type="dxa"/>
            <w:hideMark/>
          </w:tcPr>
          <w:p w14:paraId="60CDA96C"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F.Y3</w:t>
            </w:r>
          </w:p>
        </w:tc>
      </w:tr>
      <w:tr w:rsidR="00170150" w:rsidRPr="00DF2E9A" w14:paraId="7869156A" w14:textId="77777777" w:rsidTr="003D502B">
        <w:trPr>
          <w:jc w:val="center"/>
        </w:trPr>
        <w:tc>
          <w:tcPr>
            <w:tcW w:w="2235" w:type="dxa"/>
          </w:tcPr>
          <w:p w14:paraId="36696FF3" w14:textId="77777777" w:rsidR="00170150" w:rsidRPr="00DF2E9A" w:rsidRDefault="00170150" w:rsidP="009A6B96">
            <w:pPr>
              <w:autoSpaceDE w:val="0"/>
              <w:autoSpaceDN w:val="0"/>
              <w:adjustRightInd w:val="0"/>
              <w:jc w:val="left"/>
              <w:rPr>
                <w:rFonts w:ascii="Times New Roman" w:eastAsia="等线" w:hAnsi="等线" w:cs="Times New Roman"/>
                <w:kern w:val="0"/>
                <w:szCs w:val="24"/>
              </w:rPr>
            </w:pPr>
          </w:p>
        </w:tc>
        <w:tc>
          <w:tcPr>
            <w:tcW w:w="1440" w:type="dxa"/>
          </w:tcPr>
          <w:p w14:paraId="05F887AF" w14:textId="77777777" w:rsidR="00170150" w:rsidRPr="00DF2E9A" w:rsidRDefault="00170150" w:rsidP="009A6B96">
            <w:pPr>
              <w:autoSpaceDE w:val="0"/>
              <w:autoSpaceDN w:val="0"/>
              <w:adjustRightInd w:val="0"/>
              <w:jc w:val="center"/>
              <w:rPr>
                <w:rFonts w:ascii="Times New Roman" w:eastAsia="等线" w:hAnsi="等线" w:cs="Times New Roman"/>
                <w:kern w:val="0"/>
                <w:szCs w:val="24"/>
              </w:rPr>
            </w:pPr>
          </w:p>
        </w:tc>
        <w:tc>
          <w:tcPr>
            <w:tcW w:w="1440" w:type="dxa"/>
          </w:tcPr>
          <w:p w14:paraId="2A7A0637" w14:textId="77777777" w:rsidR="00170150" w:rsidRPr="00DF2E9A" w:rsidRDefault="00170150" w:rsidP="009A6B96">
            <w:pPr>
              <w:autoSpaceDE w:val="0"/>
              <w:autoSpaceDN w:val="0"/>
              <w:adjustRightInd w:val="0"/>
              <w:jc w:val="center"/>
              <w:rPr>
                <w:rFonts w:ascii="Times New Roman" w:eastAsia="等线" w:hAnsi="等线" w:cs="Times New Roman"/>
                <w:kern w:val="0"/>
                <w:szCs w:val="24"/>
              </w:rPr>
            </w:pPr>
          </w:p>
        </w:tc>
        <w:tc>
          <w:tcPr>
            <w:tcW w:w="1152" w:type="dxa"/>
          </w:tcPr>
          <w:p w14:paraId="264D23F4" w14:textId="77777777" w:rsidR="00170150" w:rsidRPr="00DF2E9A" w:rsidRDefault="00170150" w:rsidP="009A6B96">
            <w:pPr>
              <w:autoSpaceDE w:val="0"/>
              <w:autoSpaceDN w:val="0"/>
              <w:adjustRightInd w:val="0"/>
              <w:jc w:val="center"/>
              <w:rPr>
                <w:rFonts w:ascii="Times New Roman" w:eastAsia="等线" w:hAnsi="等线" w:cs="Times New Roman"/>
                <w:kern w:val="0"/>
                <w:szCs w:val="24"/>
              </w:rPr>
            </w:pPr>
          </w:p>
        </w:tc>
      </w:tr>
      <w:tr w:rsidR="00170150" w:rsidRPr="00DF2E9A" w14:paraId="7122EE08" w14:textId="77777777" w:rsidTr="003D502B">
        <w:trPr>
          <w:jc w:val="center"/>
        </w:trPr>
        <w:tc>
          <w:tcPr>
            <w:tcW w:w="2235" w:type="dxa"/>
            <w:hideMark/>
          </w:tcPr>
          <w:p w14:paraId="7267722D" w14:textId="77777777" w:rsidR="00170150" w:rsidRPr="00DF2E9A" w:rsidRDefault="00170150" w:rsidP="009A6B96">
            <w:pPr>
              <w:autoSpaceDE w:val="0"/>
              <w:autoSpaceDN w:val="0"/>
              <w:adjustRightInd w:val="0"/>
              <w:jc w:val="left"/>
              <w:rPr>
                <w:rFonts w:ascii="Times New Roman" w:eastAsia="等线" w:hAnsi="Times New Roman" w:cs="Times New Roman"/>
                <w:kern w:val="0"/>
                <w:szCs w:val="24"/>
              </w:rPr>
            </w:pPr>
            <w:r w:rsidRPr="00DF2E9A">
              <w:rPr>
                <w:rFonts w:ascii="Times New Roman" w:eastAsia="等线" w:hAnsi="Times New Roman" w:cs="Times New Roman"/>
                <w:kern w:val="0"/>
                <w:szCs w:val="24"/>
              </w:rPr>
              <w:t>Efr</w:t>
            </w:r>
          </w:p>
        </w:tc>
        <w:tc>
          <w:tcPr>
            <w:tcW w:w="1440" w:type="dxa"/>
            <w:hideMark/>
          </w:tcPr>
          <w:p w14:paraId="05940D21"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-0.219</w:t>
            </w:r>
          </w:p>
        </w:tc>
        <w:tc>
          <w:tcPr>
            <w:tcW w:w="1440" w:type="dxa"/>
            <w:hideMark/>
          </w:tcPr>
          <w:p w14:paraId="1BC86A4E"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-0.661</w:t>
            </w:r>
          </w:p>
        </w:tc>
        <w:tc>
          <w:tcPr>
            <w:tcW w:w="1152" w:type="dxa"/>
            <w:hideMark/>
          </w:tcPr>
          <w:p w14:paraId="72A2F877"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-39.52</w:t>
            </w:r>
          </w:p>
        </w:tc>
      </w:tr>
      <w:tr w:rsidR="00170150" w:rsidRPr="00DF2E9A" w14:paraId="1EA08798" w14:textId="77777777" w:rsidTr="003D502B">
        <w:trPr>
          <w:jc w:val="center"/>
        </w:trPr>
        <w:tc>
          <w:tcPr>
            <w:tcW w:w="2235" w:type="dxa"/>
          </w:tcPr>
          <w:p w14:paraId="64128C09" w14:textId="77777777" w:rsidR="00170150" w:rsidRPr="00DF2E9A" w:rsidRDefault="00170150" w:rsidP="009A6B96">
            <w:pPr>
              <w:autoSpaceDE w:val="0"/>
              <w:autoSpaceDN w:val="0"/>
              <w:adjustRightInd w:val="0"/>
              <w:jc w:val="left"/>
              <w:rPr>
                <w:rFonts w:ascii="Times New Roman" w:eastAsia="等线" w:hAnsi="等线" w:cs="Times New Roman"/>
                <w:kern w:val="0"/>
                <w:szCs w:val="24"/>
              </w:rPr>
            </w:pPr>
          </w:p>
        </w:tc>
        <w:tc>
          <w:tcPr>
            <w:tcW w:w="1440" w:type="dxa"/>
            <w:hideMark/>
          </w:tcPr>
          <w:p w14:paraId="36931B19"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(0.193)</w:t>
            </w:r>
          </w:p>
        </w:tc>
        <w:tc>
          <w:tcPr>
            <w:tcW w:w="1440" w:type="dxa"/>
            <w:hideMark/>
          </w:tcPr>
          <w:p w14:paraId="44836227"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(0.953)</w:t>
            </w:r>
          </w:p>
        </w:tc>
        <w:tc>
          <w:tcPr>
            <w:tcW w:w="1152" w:type="dxa"/>
            <w:hideMark/>
          </w:tcPr>
          <w:p w14:paraId="7F59445C"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(26.83)</w:t>
            </w:r>
          </w:p>
        </w:tc>
      </w:tr>
      <w:tr w:rsidR="00170150" w:rsidRPr="00DF2E9A" w14:paraId="341284B0" w14:textId="77777777" w:rsidTr="003D502B">
        <w:trPr>
          <w:jc w:val="center"/>
        </w:trPr>
        <w:tc>
          <w:tcPr>
            <w:tcW w:w="2235" w:type="dxa"/>
            <w:hideMark/>
          </w:tcPr>
          <w:p w14:paraId="0F7E839A" w14:textId="77777777" w:rsidR="00170150" w:rsidRPr="00DF2E9A" w:rsidRDefault="00170150" w:rsidP="009A6B96">
            <w:pPr>
              <w:autoSpaceDE w:val="0"/>
              <w:autoSpaceDN w:val="0"/>
              <w:adjustRightInd w:val="0"/>
              <w:jc w:val="left"/>
              <w:rPr>
                <w:rFonts w:ascii="Times New Roman" w:eastAsia="等线" w:hAnsi="Times New Roman" w:cs="Times New Roman"/>
                <w:kern w:val="0"/>
                <w:szCs w:val="24"/>
              </w:rPr>
            </w:pPr>
            <w:r w:rsidRPr="00DF2E9A">
              <w:rPr>
                <w:rFonts w:ascii="Times New Roman" w:eastAsia="等线" w:hAnsi="Times New Roman" w:cs="Times New Roman"/>
                <w:kern w:val="0"/>
                <w:szCs w:val="24"/>
              </w:rPr>
              <w:t>Cfr</w:t>
            </w:r>
          </w:p>
        </w:tc>
        <w:tc>
          <w:tcPr>
            <w:tcW w:w="1440" w:type="dxa"/>
            <w:hideMark/>
          </w:tcPr>
          <w:p w14:paraId="038B52F6"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0.0186</w:t>
            </w:r>
          </w:p>
        </w:tc>
        <w:tc>
          <w:tcPr>
            <w:tcW w:w="1440" w:type="dxa"/>
            <w:hideMark/>
          </w:tcPr>
          <w:p w14:paraId="12FA5AB2"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-1.574***</w:t>
            </w:r>
          </w:p>
        </w:tc>
        <w:tc>
          <w:tcPr>
            <w:tcW w:w="1152" w:type="dxa"/>
            <w:hideMark/>
          </w:tcPr>
          <w:p w14:paraId="29762267"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-4.955</w:t>
            </w:r>
          </w:p>
        </w:tc>
      </w:tr>
      <w:tr w:rsidR="00170150" w:rsidRPr="00DF2E9A" w14:paraId="1862EF48" w14:textId="77777777" w:rsidTr="003D502B">
        <w:trPr>
          <w:jc w:val="center"/>
        </w:trPr>
        <w:tc>
          <w:tcPr>
            <w:tcW w:w="2235" w:type="dxa"/>
          </w:tcPr>
          <w:p w14:paraId="4579216A" w14:textId="77777777" w:rsidR="00170150" w:rsidRPr="00DF2E9A" w:rsidRDefault="00170150" w:rsidP="009A6B96">
            <w:pPr>
              <w:autoSpaceDE w:val="0"/>
              <w:autoSpaceDN w:val="0"/>
              <w:adjustRightInd w:val="0"/>
              <w:jc w:val="left"/>
              <w:rPr>
                <w:rFonts w:ascii="Times New Roman" w:eastAsia="等线" w:hAnsi="等线" w:cs="Times New Roman"/>
                <w:kern w:val="0"/>
                <w:szCs w:val="24"/>
              </w:rPr>
            </w:pPr>
          </w:p>
        </w:tc>
        <w:tc>
          <w:tcPr>
            <w:tcW w:w="1440" w:type="dxa"/>
            <w:hideMark/>
          </w:tcPr>
          <w:p w14:paraId="5303B24E"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(0.0737)</w:t>
            </w:r>
          </w:p>
        </w:tc>
        <w:tc>
          <w:tcPr>
            <w:tcW w:w="1440" w:type="dxa"/>
            <w:hideMark/>
          </w:tcPr>
          <w:p w14:paraId="4FDC2929"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(0.544)</w:t>
            </w:r>
          </w:p>
        </w:tc>
        <w:tc>
          <w:tcPr>
            <w:tcW w:w="1152" w:type="dxa"/>
            <w:hideMark/>
          </w:tcPr>
          <w:p w14:paraId="4C23E708"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(5.092)</w:t>
            </w:r>
          </w:p>
        </w:tc>
      </w:tr>
      <w:tr w:rsidR="00170150" w:rsidRPr="00DF2E9A" w14:paraId="0C9CEC46" w14:textId="77777777" w:rsidTr="003D502B">
        <w:trPr>
          <w:jc w:val="center"/>
        </w:trPr>
        <w:tc>
          <w:tcPr>
            <w:tcW w:w="2235" w:type="dxa"/>
            <w:hideMark/>
          </w:tcPr>
          <w:p w14:paraId="26825AAD" w14:textId="77777777" w:rsidR="00170150" w:rsidRPr="00DF2E9A" w:rsidRDefault="00170150" w:rsidP="009A6B96">
            <w:pPr>
              <w:autoSpaceDE w:val="0"/>
              <w:autoSpaceDN w:val="0"/>
              <w:adjustRightInd w:val="0"/>
              <w:jc w:val="left"/>
              <w:rPr>
                <w:rFonts w:ascii="Times New Roman" w:eastAsia="等线" w:hAnsi="Times New Roman" w:cs="Times New Roman"/>
                <w:kern w:val="0"/>
                <w:szCs w:val="24"/>
              </w:rPr>
            </w:pPr>
            <w:r w:rsidRPr="00DF2E9A">
              <w:rPr>
                <w:rFonts w:ascii="Times New Roman" w:eastAsia="等线" w:hAnsi="Times New Roman" w:cs="Times New Roman"/>
                <w:kern w:val="0"/>
                <w:szCs w:val="24"/>
              </w:rPr>
              <w:t>Edfr</w:t>
            </w:r>
          </w:p>
        </w:tc>
        <w:tc>
          <w:tcPr>
            <w:tcW w:w="1440" w:type="dxa"/>
            <w:hideMark/>
          </w:tcPr>
          <w:p w14:paraId="71DD5731"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-0.800***</w:t>
            </w:r>
          </w:p>
        </w:tc>
        <w:tc>
          <w:tcPr>
            <w:tcW w:w="1440" w:type="dxa"/>
            <w:hideMark/>
          </w:tcPr>
          <w:p w14:paraId="5366E36B"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-1.659</w:t>
            </w:r>
          </w:p>
        </w:tc>
        <w:tc>
          <w:tcPr>
            <w:tcW w:w="1152" w:type="dxa"/>
            <w:hideMark/>
          </w:tcPr>
          <w:p w14:paraId="2D2F5A03"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38.36</w:t>
            </w:r>
          </w:p>
        </w:tc>
      </w:tr>
      <w:tr w:rsidR="00170150" w:rsidRPr="00DF2E9A" w14:paraId="1E37ABA4" w14:textId="77777777" w:rsidTr="003D502B">
        <w:trPr>
          <w:jc w:val="center"/>
        </w:trPr>
        <w:tc>
          <w:tcPr>
            <w:tcW w:w="2235" w:type="dxa"/>
          </w:tcPr>
          <w:p w14:paraId="7B210255" w14:textId="77777777" w:rsidR="00170150" w:rsidRPr="00DF2E9A" w:rsidRDefault="00170150" w:rsidP="009A6B96">
            <w:pPr>
              <w:autoSpaceDE w:val="0"/>
              <w:autoSpaceDN w:val="0"/>
              <w:adjustRightInd w:val="0"/>
              <w:jc w:val="left"/>
              <w:rPr>
                <w:rFonts w:ascii="Times New Roman" w:eastAsia="等线" w:hAnsi="等线" w:cs="Times New Roman"/>
                <w:kern w:val="0"/>
                <w:szCs w:val="24"/>
              </w:rPr>
            </w:pPr>
          </w:p>
        </w:tc>
        <w:tc>
          <w:tcPr>
            <w:tcW w:w="1440" w:type="dxa"/>
            <w:hideMark/>
          </w:tcPr>
          <w:p w14:paraId="3C636CF7"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(0.229)</w:t>
            </w:r>
          </w:p>
        </w:tc>
        <w:tc>
          <w:tcPr>
            <w:tcW w:w="1440" w:type="dxa"/>
            <w:hideMark/>
          </w:tcPr>
          <w:p w14:paraId="4D5823C2"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(1.396)</w:t>
            </w:r>
          </w:p>
        </w:tc>
        <w:tc>
          <w:tcPr>
            <w:tcW w:w="1152" w:type="dxa"/>
            <w:hideMark/>
          </w:tcPr>
          <w:p w14:paraId="4960B61F"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(43.92)</w:t>
            </w:r>
          </w:p>
        </w:tc>
      </w:tr>
      <w:tr w:rsidR="00170150" w:rsidRPr="00DF2E9A" w14:paraId="6D6231EC" w14:textId="77777777" w:rsidTr="003D502B">
        <w:trPr>
          <w:jc w:val="center"/>
        </w:trPr>
        <w:tc>
          <w:tcPr>
            <w:tcW w:w="2235" w:type="dxa"/>
            <w:hideMark/>
          </w:tcPr>
          <w:p w14:paraId="58C06707" w14:textId="77777777" w:rsidR="00170150" w:rsidRPr="00DF2E9A" w:rsidRDefault="00170150" w:rsidP="009A6B96">
            <w:pPr>
              <w:autoSpaceDE w:val="0"/>
              <w:autoSpaceDN w:val="0"/>
              <w:adjustRightInd w:val="0"/>
              <w:jc w:val="left"/>
              <w:rPr>
                <w:rFonts w:ascii="Times New Roman" w:eastAsia="等线" w:hAnsi="Times New Roman" w:cs="Times New Roman"/>
                <w:kern w:val="0"/>
                <w:szCs w:val="24"/>
              </w:rPr>
            </w:pPr>
            <w:r w:rsidRPr="00DF2E9A">
              <w:rPr>
                <w:rFonts w:ascii="Times New Roman" w:eastAsia="等线" w:hAnsi="Times New Roman" w:cs="Times New Roman"/>
                <w:kern w:val="0"/>
                <w:szCs w:val="24"/>
              </w:rPr>
              <w:t>Ffr</w:t>
            </w:r>
          </w:p>
        </w:tc>
        <w:tc>
          <w:tcPr>
            <w:tcW w:w="1440" w:type="dxa"/>
            <w:hideMark/>
          </w:tcPr>
          <w:p w14:paraId="683D5713"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-0.0191</w:t>
            </w:r>
          </w:p>
        </w:tc>
        <w:tc>
          <w:tcPr>
            <w:tcW w:w="1440" w:type="dxa"/>
            <w:hideMark/>
          </w:tcPr>
          <w:p w14:paraId="14426473"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1.668</w:t>
            </w:r>
          </w:p>
        </w:tc>
        <w:tc>
          <w:tcPr>
            <w:tcW w:w="1152" w:type="dxa"/>
            <w:hideMark/>
          </w:tcPr>
          <w:p w14:paraId="52143C82"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58.84</w:t>
            </w:r>
          </w:p>
        </w:tc>
      </w:tr>
      <w:tr w:rsidR="00170150" w:rsidRPr="00DF2E9A" w14:paraId="0F7E95CA" w14:textId="77777777" w:rsidTr="003D502B">
        <w:trPr>
          <w:jc w:val="center"/>
        </w:trPr>
        <w:tc>
          <w:tcPr>
            <w:tcW w:w="2235" w:type="dxa"/>
          </w:tcPr>
          <w:p w14:paraId="6B221DBF" w14:textId="77777777" w:rsidR="00170150" w:rsidRPr="00DF2E9A" w:rsidRDefault="00170150" w:rsidP="009A6B96">
            <w:pPr>
              <w:autoSpaceDE w:val="0"/>
              <w:autoSpaceDN w:val="0"/>
              <w:adjustRightInd w:val="0"/>
              <w:jc w:val="left"/>
              <w:rPr>
                <w:rFonts w:ascii="Times New Roman" w:eastAsia="等线" w:hAnsi="等线" w:cs="Times New Roman"/>
                <w:kern w:val="0"/>
                <w:szCs w:val="24"/>
              </w:rPr>
            </w:pPr>
          </w:p>
        </w:tc>
        <w:tc>
          <w:tcPr>
            <w:tcW w:w="1440" w:type="dxa"/>
            <w:hideMark/>
          </w:tcPr>
          <w:p w14:paraId="16DC21B3"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(0.254)</w:t>
            </w:r>
          </w:p>
        </w:tc>
        <w:tc>
          <w:tcPr>
            <w:tcW w:w="1440" w:type="dxa"/>
            <w:hideMark/>
          </w:tcPr>
          <w:p w14:paraId="16058681"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(2.086)</w:t>
            </w:r>
          </w:p>
        </w:tc>
        <w:tc>
          <w:tcPr>
            <w:tcW w:w="1152" w:type="dxa"/>
            <w:hideMark/>
          </w:tcPr>
          <w:p w14:paraId="6D05B85C"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(49.87)</w:t>
            </w:r>
          </w:p>
        </w:tc>
      </w:tr>
      <w:tr w:rsidR="00170150" w:rsidRPr="00DF2E9A" w14:paraId="068CA249" w14:textId="77777777" w:rsidTr="003D502B">
        <w:trPr>
          <w:jc w:val="center"/>
        </w:trPr>
        <w:tc>
          <w:tcPr>
            <w:tcW w:w="2235" w:type="dxa"/>
            <w:hideMark/>
          </w:tcPr>
          <w:p w14:paraId="06451D4F" w14:textId="77777777" w:rsidR="00170150" w:rsidRPr="00DF2E9A" w:rsidRDefault="00170150" w:rsidP="009A6B96">
            <w:pPr>
              <w:autoSpaceDE w:val="0"/>
              <w:autoSpaceDN w:val="0"/>
              <w:adjustRightInd w:val="0"/>
              <w:jc w:val="left"/>
              <w:rPr>
                <w:rFonts w:ascii="Times New Roman" w:eastAsia="等线" w:hAnsi="Times New Roman" w:cs="Times New Roman"/>
                <w:kern w:val="0"/>
                <w:szCs w:val="24"/>
              </w:rPr>
            </w:pPr>
            <w:r w:rsidRPr="00DF2E9A">
              <w:rPr>
                <w:rFonts w:ascii="Times New Roman" w:eastAsia="等线" w:hAnsi="Times New Roman" w:cs="Times New Roman"/>
                <w:kern w:val="0"/>
                <w:szCs w:val="24"/>
              </w:rPr>
              <w:t>Dfr</w:t>
            </w:r>
          </w:p>
        </w:tc>
        <w:tc>
          <w:tcPr>
            <w:tcW w:w="1440" w:type="dxa"/>
            <w:hideMark/>
          </w:tcPr>
          <w:p w14:paraId="248218A6"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0.0430</w:t>
            </w:r>
          </w:p>
        </w:tc>
        <w:tc>
          <w:tcPr>
            <w:tcW w:w="1440" w:type="dxa"/>
            <w:hideMark/>
          </w:tcPr>
          <w:p w14:paraId="2DF84D95"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0.271</w:t>
            </w:r>
          </w:p>
        </w:tc>
        <w:tc>
          <w:tcPr>
            <w:tcW w:w="1152" w:type="dxa"/>
            <w:hideMark/>
          </w:tcPr>
          <w:p w14:paraId="29C5063A"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-0.238</w:t>
            </w:r>
          </w:p>
        </w:tc>
      </w:tr>
      <w:tr w:rsidR="00170150" w:rsidRPr="00DF2E9A" w14:paraId="342952F8" w14:textId="77777777" w:rsidTr="003D502B">
        <w:trPr>
          <w:jc w:val="center"/>
        </w:trPr>
        <w:tc>
          <w:tcPr>
            <w:tcW w:w="2235" w:type="dxa"/>
          </w:tcPr>
          <w:p w14:paraId="5C3A7B5F" w14:textId="77777777" w:rsidR="00170150" w:rsidRPr="00DF2E9A" w:rsidRDefault="00170150" w:rsidP="009A6B96">
            <w:pPr>
              <w:autoSpaceDE w:val="0"/>
              <w:autoSpaceDN w:val="0"/>
              <w:adjustRightInd w:val="0"/>
              <w:jc w:val="left"/>
              <w:rPr>
                <w:rFonts w:ascii="Times New Roman" w:eastAsia="等线" w:hAnsi="等线" w:cs="Times New Roman"/>
                <w:kern w:val="0"/>
                <w:szCs w:val="24"/>
              </w:rPr>
            </w:pPr>
          </w:p>
        </w:tc>
        <w:tc>
          <w:tcPr>
            <w:tcW w:w="1440" w:type="dxa"/>
            <w:hideMark/>
          </w:tcPr>
          <w:p w14:paraId="4A9BD5D6"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(0.147)</w:t>
            </w:r>
          </w:p>
        </w:tc>
        <w:tc>
          <w:tcPr>
            <w:tcW w:w="1440" w:type="dxa"/>
            <w:hideMark/>
          </w:tcPr>
          <w:p w14:paraId="576742EA"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(0.863)</w:t>
            </w:r>
          </w:p>
        </w:tc>
        <w:tc>
          <w:tcPr>
            <w:tcW w:w="1152" w:type="dxa"/>
            <w:hideMark/>
          </w:tcPr>
          <w:p w14:paraId="2F7EF27C"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(15.52)</w:t>
            </w:r>
          </w:p>
        </w:tc>
      </w:tr>
      <w:tr w:rsidR="00170150" w:rsidRPr="00DF2E9A" w14:paraId="3AA54D8C" w14:textId="77777777" w:rsidTr="003D502B">
        <w:trPr>
          <w:jc w:val="center"/>
        </w:trPr>
        <w:tc>
          <w:tcPr>
            <w:tcW w:w="2235" w:type="dxa"/>
          </w:tcPr>
          <w:p w14:paraId="3060B85B" w14:textId="77777777" w:rsidR="00170150" w:rsidRPr="00DF2E9A" w:rsidRDefault="00170150" w:rsidP="009A6B96">
            <w:pPr>
              <w:autoSpaceDE w:val="0"/>
              <w:autoSpaceDN w:val="0"/>
              <w:adjustRightInd w:val="0"/>
              <w:jc w:val="left"/>
              <w:rPr>
                <w:rFonts w:ascii="Times New Roman" w:eastAsia="等线" w:hAnsi="等线" w:cs="Times New Roman"/>
                <w:kern w:val="0"/>
                <w:szCs w:val="24"/>
              </w:rPr>
            </w:pPr>
          </w:p>
        </w:tc>
        <w:tc>
          <w:tcPr>
            <w:tcW w:w="1440" w:type="dxa"/>
            <w:hideMark/>
          </w:tcPr>
          <w:p w14:paraId="098D40BF"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-0.421</w:t>
            </w:r>
          </w:p>
        </w:tc>
        <w:tc>
          <w:tcPr>
            <w:tcW w:w="1440" w:type="dxa"/>
            <w:hideMark/>
          </w:tcPr>
          <w:p w14:paraId="0AF99005"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-5.101</w:t>
            </w:r>
          </w:p>
        </w:tc>
        <w:tc>
          <w:tcPr>
            <w:tcW w:w="1152" w:type="dxa"/>
            <w:hideMark/>
          </w:tcPr>
          <w:p w14:paraId="2316BEE0"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13.91</w:t>
            </w:r>
          </w:p>
        </w:tc>
      </w:tr>
      <w:tr w:rsidR="00170150" w:rsidRPr="00DF2E9A" w14:paraId="622E2B59" w14:textId="77777777" w:rsidTr="003D502B">
        <w:trPr>
          <w:jc w:val="center"/>
        </w:trPr>
        <w:tc>
          <w:tcPr>
            <w:tcW w:w="2235" w:type="dxa"/>
          </w:tcPr>
          <w:p w14:paraId="729CDA35" w14:textId="77777777" w:rsidR="00170150" w:rsidRPr="00DF2E9A" w:rsidRDefault="00170150" w:rsidP="009A6B96">
            <w:pPr>
              <w:autoSpaceDE w:val="0"/>
              <w:autoSpaceDN w:val="0"/>
              <w:adjustRightInd w:val="0"/>
              <w:jc w:val="left"/>
              <w:rPr>
                <w:rFonts w:ascii="Times New Roman" w:eastAsia="等线" w:hAnsi="等线" w:cs="Times New Roman"/>
                <w:kern w:val="0"/>
                <w:szCs w:val="24"/>
              </w:rPr>
            </w:pPr>
          </w:p>
        </w:tc>
        <w:tc>
          <w:tcPr>
            <w:tcW w:w="1440" w:type="dxa"/>
            <w:hideMark/>
          </w:tcPr>
          <w:p w14:paraId="066C281B"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(0.830)</w:t>
            </w:r>
          </w:p>
        </w:tc>
        <w:tc>
          <w:tcPr>
            <w:tcW w:w="1440" w:type="dxa"/>
            <w:hideMark/>
          </w:tcPr>
          <w:p w14:paraId="7E4B493B"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(5.905)</w:t>
            </w:r>
          </w:p>
        </w:tc>
        <w:tc>
          <w:tcPr>
            <w:tcW w:w="1152" w:type="dxa"/>
            <w:hideMark/>
          </w:tcPr>
          <w:p w14:paraId="294549D5"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(130.5)</w:t>
            </w:r>
          </w:p>
        </w:tc>
      </w:tr>
      <w:tr w:rsidR="00170150" w:rsidRPr="00DF2E9A" w14:paraId="66341D65" w14:textId="77777777" w:rsidTr="003D502B">
        <w:trPr>
          <w:jc w:val="center"/>
        </w:trPr>
        <w:tc>
          <w:tcPr>
            <w:tcW w:w="2235" w:type="dxa"/>
          </w:tcPr>
          <w:p w14:paraId="2041CD4D" w14:textId="77777777" w:rsidR="00170150" w:rsidRPr="00DF2E9A" w:rsidRDefault="00170150" w:rsidP="009A6B96">
            <w:pPr>
              <w:autoSpaceDE w:val="0"/>
              <w:autoSpaceDN w:val="0"/>
              <w:adjustRightInd w:val="0"/>
              <w:jc w:val="left"/>
              <w:rPr>
                <w:rFonts w:ascii="Times New Roman" w:eastAsia="等线" w:hAnsi="等线" w:cs="Times New Roman"/>
                <w:kern w:val="0"/>
                <w:szCs w:val="24"/>
              </w:rPr>
            </w:pPr>
          </w:p>
        </w:tc>
        <w:tc>
          <w:tcPr>
            <w:tcW w:w="1440" w:type="dxa"/>
            <w:hideMark/>
          </w:tcPr>
          <w:p w14:paraId="176DBFE4"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3.721***</w:t>
            </w:r>
          </w:p>
        </w:tc>
        <w:tc>
          <w:tcPr>
            <w:tcW w:w="1440" w:type="dxa"/>
            <w:hideMark/>
          </w:tcPr>
          <w:p w14:paraId="68675B27"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-10.31</w:t>
            </w:r>
          </w:p>
        </w:tc>
        <w:tc>
          <w:tcPr>
            <w:tcW w:w="1152" w:type="dxa"/>
            <w:hideMark/>
          </w:tcPr>
          <w:p w14:paraId="6020D264"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-21.38</w:t>
            </w:r>
          </w:p>
        </w:tc>
      </w:tr>
      <w:tr w:rsidR="00170150" w:rsidRPr="00DF2E9A" w14:paraId="14B28526" w14:textId="77777777" w:rsidTr="003D502B">
        <w:trPr>
          <w:jc w:val="center"/>
        </w:trPr>
        <w:tc>
          <w:tcPr>
            <w:tcW w:w="2235" w:type="dxa"/>
          </w:tcPr>
          <w:p w14:paraId="78588813" w14:textId="77777777" w:rsidR="00170150" w:rsidRPr="00DF2E9A" w:rsidRDefault="00170150" w:rsidP="009A6B96">
            <w:pPr>
              <w:autoSpaceDE w:val="0"/>
              <w:autoSpaceDN w:val="0"/>
              <w:adjustRightInd w:val="0"/>
              <w:jc w:val="left"/>
              <w:rPr>
                <w:rFonts w:ascii="Times New Roman" w:eastAsia="等线" w:hAnsi="等线" w:cs="Times New Roman"/>
                <w:kern w:val="0"/>
                <w:szCs w:val="24"/>
              </w:rPr>
            </w:pPr>
          </w:p>
        </w:tc>
        <w:tc>
          <w:tcPr>
            <w:tcW w:w="1440" w:type="dxa"/>
            <w:hideMark/>
          </w:tcPr>
          <w:p w14:paraId="77693FAE"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(1.165)</w:t>
            </w:r>
          </w:p>
        </w:tc>
        <w:tc>
          <w:tcPr>
            <w:tcW w:w="1440" w:type="dxa"/>
            <w:hideMark/>
          </w:tcPr>
          <w:p w14:paraId="1BBCDCF1"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(8.217)</w:t>
            </w:r>
          </w:p>
        </w:tc>
        <w:tc>
          <w:tcPr>
            <w:tcW w:w="1152" w:type="dxa"/>
            <w:hideMark/>
          </w:tcPr>
          <w:p w14:paraId="3774BE3A"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(194.2)</w:t>
            </w:r>
          </w:p>
        </w:tc>
      </w:tr>
      <w:tr w:rsidR="00170150" w:rsidRPr="00DF2E9A" w14:paraId="69C11045" w14:textId="77777777" w:rsidTr="003D502B">
        <w:trPr>
          <w:jc w:val="center"/>
        </w:trPr>
        <w:tc>
          <w:tcPr>
            <w:tcW w:w="2235" w:type="dxa"/>
          </w:tcPr>
          <w:p w14:paraId="1FAAC09F" w14:textId="77777777" w:rsidR="00170150" w:rsidRPr="00DF2E9A" w:rsidRDefault="00170150" w:rsidP="009A6B96">
            <w:pPr>
              <w:autoSpaceDE w:val="0"/>
              <w:autoSpaceDN w:val="0"/>
              <w:adjustRightInd w:val="0"/>
              <w:jc w:val="left"/>
              <w:rPr>
                <w:rFonts w:ascii="Times New Roman" w:eastAsia="等线" w:hAnsi="等线" w:cs="Times New Roman"/>
                <w:kern w:val="0"/>
                <w:szCs w:val="24"/>
              </w:rPr>
            </w:pPr>
          </w:p>
        </w:tc>
        <w:tc>
          <w:tcPr>
            <w:tcW w:w="1440" w:type="dxa"/>
            <w:hideMark/>
          </w:tcPr>
          <w:p w14:paraId="74AC67FA"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2.886*</w:t>
            </w:r>
          </w:p>
        </w:tc>
        <w:tc>
          <w:tcPr>
            <w:tcW w:w="1440" w:type="dxa"/>
            <w:hideMark/>
          </w:tcPr>
          <w:p w14:paraId="151DE852"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-15.97</w:t>
            </w:r>
          </w:p>
        </w:tc>
        <w:tc>
          <w:tcPr>
            <w:tcW w:w="1152" w:type="dxa"/>
            <w:hideMark/>
          </w:tcPr>
          <w:p w14:paraId="37664710"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-419.3</w:t>
            </w:r>
          </w:p>
        </w:tc>
      </w:tr>
      <w:tr w:rsidR="00170150" w:rsidRPr="00DF2E9A" w14:paraId="635D0F97" w14:textId="77777777" w:rsidTr="003D502B">
        <w:trPr>
          <w:jc w:val="center"/>
        </w:trPr>
        <w:tc>
          <w:tcPr>
            <w:tcW w:w="2235" w:type="dxa"/>
          </w:tcPr>
          <w:p w14:paraId="2E9A10A4" w14:textId="77777777" w:rsidR="00170150" w:rsidRPr="00DF2E9A" w:rsidRDefault="00170150" w:rsidP="009A6B96">
            <w:pPr>
              <w:autoSpaceDE w:val="0"/>
              <w:autoSpaceDN w:val="0"/>
              <w:adjustRightInd w:val="0"/>
              <w:jc w:val="left"/>
              <w:rPr>
                <w:rFonts w:ascii="Times New Roman" w:eastAsia="等线" w:hAnsi="等线" w:cs="Times New Roman"/>
                <w:kern w:val="0"/>
                <w:szCs w:val="24"/>
              </w:rPr>
            </w:pPr>
          </w:p>
        </w:tc>
        <w:tc>
          <w:tcPr>
            <w:tcW w:w="1440" w:type="dxa"/>
            <w:hideMark/>
          </w:tcPr>
          <w:p w14:paraId="677D3ACB"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(1.554)</w:t>
            </w:r>
          </w:p>
        </w:tc>
        <w:tc>
          <w:tcPr>
            <w:tcW w:w="1440" w:type="dxa"/>
            <w:hideMark/>
          </w:tcPr>
          <w:p w14:paraId="4A456812"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(9.880)</w:t>
            </w:r>
          </w:p>
        </w:tc>
        <w:tc>
          <w:tcPr>
            <w:tcW w:w="1152" w:type="dxa"/>
            <w:hideMark/>
          </w:tcPr>
          <w:p w14:paraId="63B64AB6"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(283.1)</w:t>
            </w:r>
          </w:p>
        </w:tc>
      </w:tr>
      <w:tr w:rsidR="00170150" w:rsidRPr="00DF2E9A" w14:paraId="2A2041CB" w14:textId="77777777" w:rsidTr="003D502B">
        <w:trPr>
          <w:jc w:val="center"/>
        </w:trPr>
        <w:tc>
          <w:tcPr>
            <w:tcW w:w="2235" w:type="dxa"/>
            <w:hideMark/>
          </w:tcPr>
          <w:p w14:paraId="042C0E24" w14:textId="77777777" w:rsidR="00170150" w:rsidRPr="00DF2E9A" w:rsidRDefault="00170150" w:rsidP="009A6B96">
            <w:pPr>
              <w:autoSpaceDE w:val="0"/>
              <w:autoSpaceDN w:val="0"/>
              <w:adjustRightInd w:val="0"/>
              <w:jc w:val="left"/>
              <w:rPr>
                <w:rFonts w:ascii="Times New Roman" w:eastAsia="等线" w:hAnsi="Times New Roman" w:cs="Times New Roman"/>
                <w:kern w:val="0"/>
                <w:szCs w:val="24"/>
              </w:rPr>
            </w:pPr>
            <w:r w:rsidRPr="00DF2E9A">
              <w:rPr>
                <w:rFonts w:ascii="Times New Roman" w:eastAsia="等线" w:hAnsi="Times New Roman" w:cs="Times New Roman"/>
                <w:kern w:val="0"/>
                <w:szCs w:val="24"/>
              </w:rPr>
              <w:t>Constant</w:t>
            </w:r>
          </w:p>
        </w:tc>
        <w:tc>
          <w:tcPr>
            <w:tcW w:w="1440" w:type="dxa"/>
            <w:hideMark/>
          </w:tcPr>
          <w:p w14:paraId="29273F57"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72.72***</w:t>
            </w:r>
          </w:p>
        </w:tc>
        <w:tc>
          <w:tcPr>
            <w:tcW w:w="1440" w:type="dxa"/>
            <w:hideMark/>
          </w:tcPr>
          <w:p w14:paraId="61B5B249"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154.6***</w:t>
            </w:r>
          </w:p>
        </w:tc>
        <w:tc>
          <w:tcPr>
            <w:tcW w:w="1152" w:type="dxa"/>
            <w:hideMark/>
          </w:tcPr>
          <w:p w14:paraId="128597E1"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305.4</w:t>
            </w:r>
          </w:p>
        </w:tc>
      </w:tr>
      <w:tr w:rsidR="00170150" w:rsidRPr="00DF2E9A" w14:paraId="119DEE72" w14:textId="77777777" w:rsidTr="003D502B">
        <w:trPr>
          <w:jc w:val="center"/>
        </w:trPr>
        <w:tc>
          <w:tcPr>
            <w:tcW w:w="2235" w:type="dxa"/>
          </w:tcPr>
          <w:p w14:paraId="3288E549" w14:textId="77777777" w:rsidR="00170150" w:rsidRPr="00DF2E9A" w:rsidRDefault="00170150" w:rsidP="009A6B96">
            <w:pPr>
              <w:autoSpaceDE w:val="0"/>
              <w:autoSpaceDN w:val="0"/>
              <w:adjustRightInd w:val="0"/>
              <w:jc w:val="left"/>
              <w:rPr>
                <w:rFonts w:ascii="Times New Roman" w:eastAsia="等线" w:hAnsi="等线" w:cs="Times New Roman"/>
                <w:kern w:val="0"/>
                <w:szCs w:val="24"/>
              </w:rPr>
            </w:pPr>
          </w:p>
        </w:tc>
        <w:tc>
          <w:tcPr>
            <w:tcW w:w="1440" w:type="dxa"/>
            <w:hideMark/>
          </w:tcPr>
          <w:p w14:paraId="48D0E182"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(4.595)</w:t>
            </w:r>
          </w:p>
        </w:tc>
        <w:tc>
          <w:tcPr>
            <w:tcW w:w="1440" w:type="dxa"/>
            <w:hideMark/>
          </w:tcPr>
          <w:p w14:paraId="106816B7"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(26.15)</w:t>
            </w:r>
          </w:p>
        </w:tc>
        <w:tc>
          <w:tcPr>
            <w:tcW w:w="1152" w:type="dxa"/>
            <w:hideMark/>
          </w:tcPr>
          <w:p w14:paraId="043C1FD5"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(630.9)</w:t>
            </w:r>
          </w:p>
        </w:tc>
      </w:tr>
      <w:tr w:rsidR="00170150" w:rsidRPr="00DF2E9A" w14:paraId="2D9F32ED" w14:textId="77777777" w:rsidTr="003D502B">
        <w:trPr>
          <w:jc w:val="center"/>
        </w:trPr>
        <w:tc>
          <w:tcPr>
            <w:tcW w:w="2235" w:type="dxa"/>
          </w:tcPr>
          <w:p w14:paraId="72D14A80" w14:textId="77777777" w:rsidR="00170150" w:rsidRPr="00DF2E9A" w:rsidRDefault="00170150" w:rsidP="009A6B96">
            <w:pPr>
              <w:autoSpaceDE w:val="0"/>
              <w:autoSpaceDN w:val="0"/>
              <w:adjustRightInd w:val="0"/>
              <w:jc w:val="left"/>
              <w:rPr>
                <w:rFonts w:ascii="Times New Roman" w:eastAsia="等线" w:hAnsi="等线" w:cs="Times New Roman"/>
                <w:kern w:val="0"/>
                <w:szCs w:val="24"/>
              </w:rPr>
            </w:pPr>
          </w:p>
        </w:tc>
        <w:tc>
          <w:tcPr>
            <w:tcW w:w="1440" w:type="dxa"/>
          </w:tcPr>
          <w:p w14:paraId="62240E74" w14:textId="77777777" w:rsidR="00170150" w:rsidRPr="00DF2E9A" w:rsidRDefault="00170150" w:rsidP="009A6B96">
            <w:pPr>
              <w:autoSpaceDE w:val="0"/>
              <w:autoSpaceDN w:val="0"/>
              <w:adjustRightInd w:val="0"/>
              <w:jc w:val="center"/>
              <w:rPr>
                <w:rFonts w:ascii="Times New Roman" w:eastAsia="等线" w:hAnsi="等线" w:cs="Times New Roman"/>
                <w:kern w:val="0"/>
                <w:szCs w:val="24"/>
              </w:rPr>
            </w:pPr>
          </w:p>
        </w:tc>
        <w:tc>
          <w:tcPr>
            <w:tcW w:w="1440" w:type="dxa"/>
          </w:tcPr>
          <w:p w14:paraId="1C4B5F05" w14:textId="77777777" w:rsidR="00170150" w:rsidRPr="00DF2E9A" w:rsidRDefault="00170150" w:rsidP="009A6B96">
            <w:pPr>
              <w:autoSpaceDE w:val="0"/>
              <w:autoSpaceDN w:val="0"/>
              <w:adjustRightInd w:val="0"/>
              <w:jc w:val="center"/>
              <w:rPr>
                <w:rFonts w:ascii="Times New Roman" w:eastAsia="等线" w:hAnsi="等线" w:cs="Times New Roman"/>
                <w:kern w:val="0"/>
                <w:szCs w:val="24"/>
              </w:rPr>
            </w:pPr>
          </w:p>
        </w:tc>
        <w:tc>
          <w:tcPr>
            <w:tcW w:w="1152" w:type="dxa"/>
          </w:tcPr>
          <w:p w14:paraId="1289055B" w14:textId="77777777" w:rsidR="00170150" w:rsidRPr="00DF2E9A" w:rsidRDefault="00170150" w:rsidP="009A6B96">
            <w:pPr>
              <w:autoSpaceDE w:val="0"/>
              <w:autoSpaceDN w:val="0"/>
              <w:adjustRightInd w:val="0"/>
              <w:jc w:val="center"/>
              <w:rPr>
                <w:rFonts w:ascii="Times New Roman" w:eastAsia="等线" w:hAnsi="等线" w:cs="Times New Roman"/>
                <w:kern w:val="0"/>
                <w:szCs w:val="24"/>
              </w:rPr>
            </w:pPr>
          </w:p>
        </w:tc>
      </w:tr>
      <w:tr w:rsidR="00170150" w:rsidRPr="00DF2E9A" w14:paraId="1F91E49E" w14:textId="77777777" w:rsidTr="003D502B">
        <w:trPr>
          <w:jc w:val="center"/>
        </w:trPr>
        <w:tc>
          <w:tcPr>
            <w:tcW w:w="2235" w:type="dxa"/>
            <w:hideMark/>
          </w:tcPr>
          <w:p w14:paraId="4F7170C9" w14:textId="77777777" w:rsidR="00170150" w:rsidRPr="00DF2E9A" w:rsidRDefault="00170150" w:rsidP="009A6B96">
            <w:pPr>
              <w:autoSpaceDE w:val="0"/>
              <w:autoSpaceDN w:val="0"/>
              <w:adjustRightInd w:val="0"/>
              <w:jc w:val="left"/>
              <w:rPr>
                <w:rFonts w:ascii="Times New Roman" w:eastAsia="等线" w:hAnsi="Times New Roman" w:cs="Times New Roman"/>
                <w:kern w:val="0"/>
                <w:szCs w:val="24"/>
              </w:rPr>
            </w:pPr>
            <w:r w:rsidRPr="00DF2E9A">
              <w:rPr>
                <w:rFonts w:ascii="Times New Roman" w:eastAsia="等线" w:hAnsi="Times New Roman" w:cs="Times New Roman"/>
                <w:kern w:val="0"/>
                <w:szCs w:val="24"/>
              </w:rPr>
              <w:t>Observations</w:t>
            </w:r>
          </w:p>
        </w:tc>
        <w:tc>
          <w:tcPr>
            <w:tcW w:w="1440" w:type="dxa"/>
            <w:hideMark/>
          </w:tcPr>
          <w:p w14:paraId="4E009BD2"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226</w:t>
            </w:r>
          </w:p>
        </w:tc>
        <w:tc>
          <w:tcPr>
            <w:tcW w:w="1440" w:type="dxa"/>
            <w:hideMark/>
          </w:tcPr>
          <w:p w14:paraId="0866A81A"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226</w:t>
            </w:r>
          </w:p>
        </w:tc>
        <w:tc>
          <w:tcPr>
            <w:tcW w:w="1152" w:type="dxa"/>
            <w:hideMark/>
          </w:tcPr>
          <w:p w14:paraId="654B94A2"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224</w:t>
            </w:r>
          </w:p>
        </w:tc>
      </w:tr>
      <w:tr w:rsidR="00170150" w:rsidRPr="00DF2E9A" w14:paraId="544945D5" w14:textId="77777777" w:rsidTr="003D502B">
        <w:trPr>
          <w:jc w:val="center"/>
        </w:trPr>
        <w:tc>
          <w:tcPr>
            <w:tcW w:w="2235" w:type="dxa"/>
            <w:hideMark/>
          </w:tcPr>
          <w:p w14:paraId="3AFC4C1A" w14:textId="77777777" w:rsidR="00170150" w:rsidRPr="00DF2E9A" w:rsidRDefault="00170150" w:rsidP="009A6B96">
            <w:pPr>
              <w:autoSpaceDE w:val="0"/>
              <w:autoSpaceDN w:val="0"/>
              <w:adjustRightInd w:val="0"/>
              <w:jc w:val="left"/>
              <w:rPr>
                <w:rFonts w:ascii="Times New Roman" w:eastAsia="等线" w:hAnsi="Times New Roman" w:cs="Times New Roman"/>
                <w:kern w:val="0"/>
                <w:szCs w:val="24"/>
              </w:rPr>
            </w:pPr>
            <w:r w:rsidRPr="00DF2E9A">
              <w:rPr>
                <w:rFonts w:ascii="Times New Roman" w:eastAsia="等线" w:hAnsi="Times New Roman" w:cs="Times New Roman"/>
                <w:kern w:val="0"/>
                <w:szCs w:val="24"/>
              </w:rPr>
              <w:t>R-squared</w:t>
            </w:r>
          </w:p>
        </w:tc>
        <w:tc>
          <w:tcPr>
            <w:tcW w:w="1440" w:type="dxa"/>
            <w:hideMark/>
          </w:tcPr>
          <w:p w14:paraId="7C005EF4"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0.314</w:t>
            </w:r>
          </w:p>
        </w:tc>
        <w:tc>
          <w:tcPr>
            <w:tcW w:w="1440" w:type="dxa"/>
            <w:hideMark/>
          </w:tcPr>
          <w:p w14:paraId="3547AADB"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0.073</w:t>
            </w:r>
          </w:p>
        </w:tc>
        <w:tc>
          <w:tcPr>
            <w:tcW w:w="1152" w:type="dxa"/>
            <w:hideMark/>
          </w:tcPr>
          <w:p w14:paraId="197262E9"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0.036</w:t>
            </w:r>
          </w:p>
        </w:tc>
      </w:tr>
      <w:tr w:rsidR="00170150" w:rsidRPr="00DF2E9A" w14:paraId="6F878194" w14:textId="77777777" w:rsidTr="003D502B">
        <w:trPr>
          <w:jc w:val="center"/>
        </w:trPr>
        <w:tc>
          <w:tcPr>
            <w:tcW w:w="2235" w:type="dxa"/>
            <w:hideMark/>
          </w:tcPr>
          <w:p w14:paraId="1A08D745" w14:textId="77777777" w:rsidR="00170150" w:rsidRPr="00DF2E9A" w:rsidRDefault="00170150" w:rsidP="009A6B96">
            <w:pPr>
              <w:autoSpaceDE w:val="0"/>
              <w:autoSpaceDN w:val="0"/>
              <w:adjustRightInd w:val="0"/>
              <w:jc w:val="left"/>
              <w:rPr>
                <w:rFonts w:ascii="Times New Roman" w:eastAsia="等线" w:hAnsi="Times New Roman" w:cs="Times New Roman"/>
                <w:kern w:val="0"/>
                <w:szCs w:val="24"/>
              </w:rPr>
            </w:pPr>
            <w:r w:rsidRPr="00DF2E9A">
              <w:rPr>
                <w:rFonts w:ascii="Times New Roman" w:eastAsia="等线" w:hAnsi="Times New Roman" w:cs="Times New Roman"/>
                <w:kern w:val="0"/>
                <w:szCs w:val="24"/>
              </w:rPr>
              <w:t>Number of Corp</w:t>
            </w:r>
          </w:p>
        </w:tc>
        <w:tc>
          <w:tcPr>
            <w:tcW w:w="1440" w:type="dxa"/>
            <w:hideMark/>
          </w:tcPr>
          <w:p w14:paraId="60373234"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81</w:t>
            </w:r>
          </w:p>
        </w:tc>
        <w:tc>
          <w:tcPr>
            <w:tcW w:w="1440" w:type="dxa"/>
            <w:hideMark/>
          </w:tcPr>
          <w:p w14:paraId="408DE150"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81</w:t>
            </w:r>
          </w:p>
        </w:tc>
        <w:tc>
          <w:tcPr>
            <w:tcW w:w="1152" w:type="dxa"/>
            <w:hideMark/>
          </w:tcPr>
          <w:p w14:paraId="1E098D89" w14:textId="77777777" w:rsidR="00170150" w:rsidRPr="00DF2E9A" w:rsidRDefault="00170150" w:rsidP="009A6B96">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80</w:t>
            </w:r>
          </w:p>
        </w:tc>
      </w:tr>
    </w:tbl>
    <w:p w14:paraId="3C830F8A" w14:textId="77777777" w:rsidR="00170150" w:rsidRPr="00DF2E9A" w:rsidRDefault="00170150" w:rsidP="00170150">
      <w:pPr>
        <w:autoSpaceDE w:val="0"/>
        <w:autoSpaceDN w:val="0"/>
        <w:adjustRightInd w:val="0"/>
        <w:jc w:val="center"/>
        <w:rPr>
          <w:rFonts w:ascii="Times New Roman" w:eastAsia="等线" w:hAnsi="Times New Roman" w:cs="Times New Roman"/>
          <w:kern w:val="0"/>
          <w:szCs w:val="24"/>
        </w:rPr>
      </w:pPr>
      <w:r w:rsidRPr="00DF2E9A">
        <w:rPr>
          <w:rFonts w:ascii="Times New Roman" w:eastAsia="等线" w:hAnsi="Times New Roman" w:cs="Times New Roman"/>
          <w:kern w:val="0"/>
          <w:szCs w:val="24"/>
        </w:rPr>
        <w:t>Robust standard errors in parentheses</w:t>
      </w:r>
    </w:p>
    <w:p w14:paraId="0AF7F5E1" w14:textId="77777777" w:rsidR="00170150" w:rsidRPr="00DF2E9A" w:rsidRDefault="00170150" w:rsidP="00170150">
      <w:pPr>
        <w:autoSpaceDE w:val="0"/>
        <w:autoSpaceDN w:val="0"/>
        <w:adjustRightInd w:val="0"/>
        <w:jc w:val="center"/>
        <w:rPr>
          <w:rFonts w:ascii="Times New Roman" w:eastAsia="等线" w:hAnsi="等线" w:cs="Times New Roman"/>
          <w:kern w:val="0"/>
          <w:szCs w:val="24"/>
        </w:rPr>
      </w:pPr>
      <w:r w:rsidRPr="00DF2E9A">
        <w:rPr>
          <w:rFonts w:ascii="Times New Roman" w:eastAsia="等线" w:hAnsi="Times New Roman" w:cs="Times New Roman"/>
          <w:kern w:val="0"/>
          <w:szCs w:val="24"/>
        </w:rPr>
        <w:t>*** p&lt;0.01, ** p&lt;0.05, * p&lt;0.1</w:t>
      </w:r>
    </w:p>
    <w:p w14:paraId="65A07CEC" w14:textId="77777777" w:rsidR="00170150" w:rsidRPr="003D502B" w:rsidRDefault="00170150" w:rsidP="003D502B">
      <w:pPr>
        <w:ind w:firstLineChars="200" w:firstLine="480"/>
        <w:rPr>
          <w:rFonts w:ascii="宋体" w:eastAsia="宋体" w:hAnsi="宋体"/>
          <w:sz w:val="24"/>
          <w:szCs w:val="24"/>
        </w:rPr>
      </w:pPr>
      <w:r w:rsidRPr="003D502B">
        <w:rPr>
          <w:rFonts w:ascii="宋体" w:eastAsia="宋体" w:hAnsi="宋体" w:hint="eastAsia"/>
          <w:sz w:val="24"/>
          <w:szCs w:val="24"/>
        </w:rPr>
        <w:t>由于在房地产行业中，许多财务指标不仅受到同期因素的影响，有可能会受到同一科目上一个会计期间的数值的影响，例如房地韩企业货币资金的科目金额不仅取决于当前会计期间的货币资金留存数值，还在一定程度上与过去各期的货币资金流入有关。因此本文选用变量滞后一期进行双向固定效应回归来检验回归结果的分析，这种方法可以很好的解决解释变量之间的内生性问题。结合上表的回归结果发现，在滞后一期稳健性检验下，五个核心解释变量的系数正负未发生明显变化，且系数的大小保持良好的稳定性，其他指标的系数显著程度也和上表中的回归结果相似。</w:t>
      </w:r>
    </w:p>
    <w:p w14:paraId="58E54ED0" w14:textId="77777777" w:rsidR="00170150" w:rsidRDefault="00170150" w:rsidP="00170150">
      <w:pPr>
        <w:pStyle w:val="2"/>
      </w:pPr>
      <w:bookmarkStart w:id="49" w:name="_Toc103640996"/>
      <w:r>
        <w:rPr>
          <w:rFonts w:hint="eastAsia"/>
        </w:rPr>
        <w:t>3</w:t>
      </w:r>
      <w:r>
        <w:t xml:space="preserve">.5 </w:t>
      </w:r>
      <w:r>
        <w:rPr>
          <w:rFonts w:hint="eastAsia"/>
        </w:rPr>
        <w:t>小结</w:t>
      </w:r>
      <w:bookmarkEnd w:id="49"/>
    </w:p>
    <w:p w14:paraId="700D5CAC" w14:textId="77777777" w:rsidR="00170150" w:rsidRPr="003D502B" w:rsidRDefault="00170150" w:rsidP="003D502B">
      <w:pPr>
        <w:ind w:firstLineChars="200" w:firstLine="480"/>
        <w:rPr>
          <w:rFonts w:ascii="宋体" w:eastAsia="宋体" w:hAnsi="宋体"/>
          <w:sz w:val="24"/>
          <w:szCs w:val="24"/>
        </w:rPr>
      </w:pPr>
      <w:r w:rsidRPr="003D502B">
        <w:rPr>
          <w:rFonts w:ascii="宋体" w:eastAsia="宋体" w:hAnsi="宋体" w:hint="eastAsia"/>
          <w:sz w:val="24"/>
          <w:szCs w:val="24"/>
        </w:rPr>
        <w:t>第3章主要通过实证研究方法对“三道红线”中的三个归置指标和房地产企业5类融资的占比进行了相关性的探讨，首先确定了解释变量和被解释变量，然后以此为基础建立多元回归模型，利用Hausman检验选择了双向固定效应模型。最后以</w:t>
      </w:r>
      <w:r w:rsidRPr="003D502B">
        <w:rPr>
          <w:rFonts w:ascii="宋体" w:eastAsia="宋体" w:hAnsi="宋体"/>
          <w:sz w:val="24"/>
          <w:szCs w:val="24"/>
        </w:rPr>
        <w:t>117</w:t>
      </w:r>
      <w:r w:rsidRPr="003D502B">
        <w:rPr>
          <w:rFonts w:ascii="宋体" w:eastAsia="宋体" w:hAnsi="宋体" w:hint="eastAsia"/>
          <w:sz w:val="24"/>
          <w:szCs w:val="24"/>
        </w:rPr>
        <w:t>家房地产上市企业的2</w:t>
      </w:r>
      <w:r w:rsidRPr="003D502B">
        <w:rPr>
          <w:rFonts w:ascii="宋体" w:eastAsia="宋体" w:hAnsi="宋体"/>
          <w:sz w:val="24"/>
          <w:szCs w:val="24"/>
        </w:rPr>
        <w:t>017</w:t>
      </w:r>
      <w:r w:rsidRPr="003D502B">
        <w:rPr>
          <w:rFonts w:ascii="宋体" w:eastAsia="宋体" w:hAnsi="宋体" w:hint="eastAsia"/>
          <w:sz w:val="24"/>
          <w:szCs w:val="24"/>
        </w:rPr>
        <w:t>年至2</w:t>
      </w:r>
      <w:r w:rsidRPr="003D502B">
        <w:rPr>
          <w:rFonts w:ascii="宋体" w:eastAsia="宋体" w:hAnsi="宋体"/>
          <w:sz w:val="24"/>
          <w:szCs w:val="24"/>
        </w:rPr>
        <w:t>021</w:t>
      </w:r>
      <w:r w:rsidRPr="003D502B">
        <w:rPr>
          <w:rFonts w:ascii="宋体" w:eastAsia="宋体" w:hAnsi="宋体" w:hint="eastAsia"/>
          <w:sz w:val="24"/>
          <w:szCs w:val="24"/>
        </w:rPr>
        <w:t>年间共5个年度财务报表中提取的数据作为研究对象，进行回归分析和稳健性检验。实证分析结果表明：“三道红线”政策对房地产企业股权融资率、商业信用融资率、内源融资率的影响为正；对房地产企业债券融资率的影响为负。</w:t>
      </w:r>
    </w:p>
    <w:p w14:paraId="4BA92DE4" w14:textId="77777777" w:rsidR="00170150" w:rsidRDefault="00170150" w:rsidP="00170150">
      <w:pPr>
        <w:pStyle w:val="1"/>
      </w:pPr>
      <w:bookmarkStart w:id="50" w:name="_Toc103640997"/>
      <w:r>
        <w:rPr>
          <w:rFonts w:hint="eastAsia"/>
        </w:rPr>
        <w:lastRenderedPageBreak/>
        <w:t>第4章 综合研究结论以及对策建议</w:t>
      </w:r>
      <w:bookmarkEnd w:id="50"/>
    </w:p>
    <w:p w14:paraId="345263F6" w14:textId="77777777" w:rsidR="00170150" w:rsidRPr="003D502B" w:rsidRDefault="00170150" w:rsidP="00170150">
      <w:pPr>
        <w:ind w:firstLineChars="200" w:firstLine="480"/>
        <w:rPr>
          <w:rFonts w:ascii="宋体" w:eastAsia="宋体" w:hAnsi="宋体"/>
          <w:sz w:val="24"/>
          <w:szCs w:val="24"/>
        </w:rPr>
      </w:pPr>
      <w:r w:rsidRPr="003D502B">
        <w:rPr>
          <w:rFonts w:ascii="宋体" w:eastAsia="宋体" w:hAnsi="宋体" w:hint="eastAsia"/>
          <w:sz w:val="24"/>
          <w:szCs w:val="24"/>
        </w:rPr>
        <w:t>本章针对理论以及实证分析结果，将对最后的研究结论进行阐述，在此基础上促进“三道红线”推进房地产企业降低高杠杆高负债的积极作用得到充分的发挥，也为房地产企业如何在融资新规实行下合理拓宽融资渠道提出具体的对策和建议。</w:t>
      </w:r>
    </w:p>
    <w:p w14:paraId="57D1AFEE" w14:textId="77777777" w:rsidR="00170150" w:rsidRDefault="00170150" w:rsidP="00170150">
      <w:pPr>
        <w:pStyle w:val="2"/>
      </w:pPr>
      <w:bookmarkStart w:id="51" w:name="_Toc103640998"/>
      <w:r>
        <w:rPr>
          <w:rFonts w:hint="eastAsia"/>
        </w:rPr>
        <w:t>4</w:t>
      </w:r>
      <w:r>
        <w:t xml:space="preserve">.1 </w:t>
      </w:r>
      <w:r>
        <w:rPr>
          <w:rFonts w:hint="eastAsia"/>
        </w:rPr>
        <w:t>研究结论</w:t>
      </w:r>
      <w:bookmarkEnd w:id="51"/>
    </w:p>
    <w:p w14:paraId="225715F4" w14:textId="77777777" w:rsidR="00170150" w:rsidRPr="003D502B" w:rsidRDefault="00170150" w:rsidP="00170150">
      <w:pPr>
        <w:ind w:firstLineChars="200" w:firstLine="480"/>
        <w:rPr>
          <w:rFonts w:ascii="宋体" w:eastAsia="宋体" w:hAnsi="宋体"/>
          <w:sz w:val="24"/>
          <w:szCs w:val="24"/>
        </w:rPr>
      </w:pPr>
      <w:r w:rsidRPr="003D502B">
        <w:rPr>
          <w:rFonts w:ascii="宋体" w:eastAsia="宋体" w:hAnsi="宋体" w:hint="eastAsia"/>
          <w:sz w:val="24"/>
          <w:szCs w:val="24"/>
        </w:rPr>
        <w:t>本文理论研究部分介绍了房地产产业融资的主要特点，查阅相关案例和文献得出了规制政策中三个财务指标和五类融资率的计算公式，结合过往学者对房地产领域内的国家政策和房地产企业融资端的内生逻辑的研究，最后得出规制政策对房地产企业融资端产生的影响。</w:t>
      </w:r>
    </w:p>
    <w:p w14:paraId="01F1F8FA" w14:textId="77777777" w:rsidR="00170150" w:rsidRPr="003D502B" w:rsidRDefault="00170150" w:rsidP="00170150">
      <w:pPr>
        <w:ind w:firstLineChars="200" w:firstLine="480"/>
        <w:rPr>
          <w:rFonts w:ascii="宋体" w:eastAsia="宋体" w:hAnsi="宋体"/>
          <w:sz w:val="24"/>
          <w:szCs w:val="24"/>
        </w:rPr>
      </w:pPr>
      <w:r w:rsidRPr="003D502B">
        <w:rPr>
          <w:rFonts w:ascii="宋体" w:eastAsia="宋体" w:hAnsi="宋体" w:hint="eastAsia"/>
          <w:sz w:val="24"/>
          <w:szCs w:val="24"/>
        </w:rPr>
        <w:t>本文实证部分选取了1</w:t>
      </w:r>
      <w:r w:rsidRPr="003D502B">
        <w:rPr>
          <w:rFonts w:ascii="宋体" w:eastAsia="宋体" w:hAnsi="宋体"/>
          <w:sz w:val="24"/>
          <w:szCs w:val="24"/>
        </w:rPr>
        <w:t>77</w:t>
      </w:r>
      <w:r w:rsidRPr="003D502B">
        <w:rPr>
          <w:rFonts w:ascii="宋体" w:eastAsia="宋体" w:hAnsi="宋体" w:hint="eastAsia"/>
          <w:sz w:val="24"/>
          <w:szCs w:val="24"/>
        </w:rPr>
        <w:t>家房地产上市企业作为实证研究对象，对“三道红线”规制政策对房地产上市企业融资的影响建立了模型并且进行了多元线性回归分析，根据回归结果中解释变量的正负以及显著性的大小得出各类融自占比的变化对企业三个财务比率的影响，最后再通过规制政策中的具体要求，来判断“三道红线”政策对房地产企业融资端所产生的的影响。</w:t>
      </w:r>
    </w:p>
    <w:p w14:paraId="3AE93F4D" w14:textId="77777777" w:rsidR="00170150" w:rsidRPr="003D502B" w:rsidRDefault="00170150" w:rsidP="00170150">
      <w:pPr>
        <w:ind w:firstLineChars="200" w:firstLine="480"/>
        <w:rPr>
          <w:rFonts w:ascii="宋体" w:eastAsia="宋体" w:hAnsi="宋体"/>
          <w:sz w:val="24"/>
          <w:szCs w:val="24"/>
        </w:rPr>
      </w:pPr>
      <w:r w:rsidRPr="003D502B">
        <w:rPr>
          <w:rFonts w:ascii="宋体" w:eastAsia="宋体" w:hAnsi="宋体" w:hint="eastAsia"/>
          <w:sz w:val="24"/>
          <w:szCs w:val="24"/>
        </w:rPr>
        <w:t>最终通过理论和实证分析得出以下结论：</w:t>
      </w:r>
    </w:p>
    <w:p w14:paraId="212E3475" w14:textId="77777777" w:rsidR="00170150" w:rsidRPr="003D502B" w:rsidRDefault="00170150" w:rsidP="00170150">
      <w:pPr>
        <w:ind w:firstLineChars="200" w:firstLine="480"/>
        <w:rPr>
          <w:rFonts w:ascii="宋体" w:eastAsia="宋体" w:hAnsi="宋体"/>
          <w:sz w:val="24"/>
          <w:szCs w:val="24"/>
        </w:rPr>
      </w:pPr>
      <w:r w:rsidRPr="003D502B">
        <w:rPr>
          <w:rFonts w:ascii="宋体" w:eastAsia="宋体" w:hAnsi="宋体" w:hint="eastAsia"/>
          <w:sz w:val="24"/>
          <w:szCs w:val="24"/>
        </w:rPr>
        <w:t>（1）“三道红线”政策会促使房地产企业改良融资结构，从融资端来看表现为提升股权融资占比、商业信用融资占比和内源性融资占比。</w:t>
      </w:r>
    </w:p>
    <w:p w14:paraId="049F41ED" w14:textId="77777777" w:rsidR="00170150" w:rsidRPr="003D502B" w:rsidRDefault="00170150" w:rsidP="00170150">
      <w:pPr>
        <w:ind w:firstLineChars="200" w:firstLine="480"/>
        <w:rPr>
          <w:rFonts w:ascii="宋体" w:eastAsia="宋体" w:hAnsi="宋体"/>
          <w:sz w:val="24"/>
          <w:szCs w:val="24"/>
        </w:rPr>
      </w:pPr>
      <w:r w:rsidRPr="003D502B">
        <w:rPr>
          <w:rFonts w:ascii="宋体" w:eastAsia="宋体" w:hAnsi="宋体" w:hint="eastAsia"/>
          <w:sz w:val="24"/>
          <w:szCs w:val="24"/>
        </w:rPr>
        <w:t>（2）“三道红线”政策会对房地产企业减缓负债规模的上升，从融资端来看表现为降低债券融资的占比。</w:t>
      </w:r>
    </w:p>
    <w:p w14:paraId="6CB0D745" w14:textId="77777777" w:rsidR="00170150" w:rsidRDefault="00170150" w:rsidP="00170150">
      <w:pPr>
        <w:pStyle w:val="2"/>
      </w:pPr>
      <w:bookmarkStart w:id="52" w:name="_Toc103640999"/>
      <w:r>
        <w:rPr>
          <w:rFonts w:hint="eastAsia"/>
        </w:rPr>
        <w:t>4</w:t>
      </w:r>
      <w:r>
        <w:t xml:space="preserve">.2 </w:t>
      </w:r>
      <w:r>
        <w:rPr>
          <w:rFonts w:hint="eastAsia"/>
        </w:rPr>
        <w:t>对策建议</w:t>
      </w:r>
      <w:bookmarkEnd w:id="52"/>
    </w:p>
    <w:p w14:paraId="573F586B" w14:textId="77777777" w:rsidR="00170150" w:rsidRPr="003D502B" w:rsidRDefault="00170150" w:rsidP="00170150">
      <w:pPr>
        <w:ind w:firstLine="270"/>
        <w:rPr>
          <w:rFonts w:ascii="宋体" w:eastAsia="宋体" w:hAnsi="宋体"/>
          <w:sz w:val="24"/>
          <w:szCs w:val="24"/>
        </w:rPr>
      </w:pPr>
      <w:r w:rsidRPr="003D502B">
        <w:rPr>
          <w:rFonts w:ascii="宋体" w:eastAsia="宋体" w:hAnsi="宋体" w:hint="eastAsia"/>
          <w:sz w:val="24"/>
          <w:szCs w:val="24"/>
        </w:rPr>
        <w:t>“三道红线”政策的目的在于通过控制房地产企业有息负债的增速进一步促使房地产自发的完善自身融资结构的调整，降低房地产也普遍存在的“高杠杆，高负债”的财务风险，推动房地产业得到健康的发展。本文结合理论分析和实证分析的结果，分别从房地产企业如何应对融资新规、相关管理部门扩大监管范围两个层面提出具体的对策建议，以使得房地产企业能通过健康合理的方式应对融资新规下的行业走势，在符合监管的前提下健康有序的发展。</w:t>
      </w:r>
    </w:p>
    <w:p w14:paraId="342FDF82" w14:textId="344857DE" w:rsidR="00170150" w:rsidRDefault="00170150" w:rsidP="00170150">
      <w:pPr>
        <w:pStyle w:val="3"/>
      </w:pPr>
      <w:bookmarkStart w:id="53" w:name="_Toc103641000"/>
      <w:r>
        <w:rPr>
          <w:rFonts w:hint="eastAsia"/>
        </w:rPr>
        <w:t>4</w:t>
      </w:r>
      <w:r>
        <w:t xml:space="preserve">.2.1 </w:t>
      </w:r>
      <w:r w:rsidR="00B82D3D">
        <w:rPr>
          <w:rFonts w:hint="eastAsia"/>
        </w:rPr>
        <w:t>对</w:t>
      </w:r>
      <w:r>
        <w:rPr>
          <w:rFonts w:hint="eastAsia"/>
        </w:rPr>
        <w:t>房地产企业</w:t>
      </w:r>
      <w:r w:rsidR="00B82D3D">
        <w:rPr>
          <w:rFonts w:hint="eastAsia"/>
        </w:rPr>
        <w:t>的</w:t>
      </w:r>
      <w:r>
        <w:rPr>
          <w:rFonts w:hint="eastAsia"/>
        </w:rPr>
        <w:t>建议</w:t>
      </w:r>
      <w:bookmarkEnd w:id="53"/>
    </w:p>
    <w:p w14:paraId="2B9E4184" w14:textId="77777777" w:rsidR="00170150" w:rsidRPr="003D502B" w:rsidRDefault="00170150" w:rsidP="00170150">
      <w:pPr>
        <w:rPr>
          <w:rFonts w:ascii="宋体" w:eastAsia="宋体" w:hAnsi="宋体"/>
          <w:sz w:val="24"/>
          <w:szCs w:val="24"/>
        </w:rPr>
      </w:pPr>
      <w:r w:rsidRPr="003D502B">
        <w:rPr>
          <w:rFonts w:ascii="宋体" w:eastAsia="宋体" w:hAnsi="宋体" w:hint="eastAsia"/>
          <w:sz w:val="24"/>
          <w:szCs w:val="24"/>
        </w:rPr>
        <w:t>（1）房地产企业应结合具体的财务状况调整自身融资结构，按照“三升高一降低”的核心观念，调高融资端的股权融资率、商业信用融资率以及内源融资率；调低融资端的债务融资率。</w:t>
      </w:r>
    </w:p>
    <w:p w14:paraId="1288DBE1" w14:textId="77777777" w:rsidR="00170150" w:rsidRDefault="00170150" w:rsidP="00FC1D7B">
      <w:pPr>
        <w:rPr>
          <w:rFonts w:ascii="宋体" w:eastAsia="宋体" w:hAnsi="宋体"/>
          <w:sz w:val="24"/>
          <w:szCs w:val="24"/>
        </w:rPr>
      </w:pPr>
      <w:r w:rsidRPr="003D502B">
        <w:rPr>
          <w:rFonts w:ascii="宋体" w:eastAsia="宋体" w:hAnsi="宋体" w:hint="eastAsia"/>
          <w:sz w:val="24"/>
          <w:szCs w:val="24"/>
        </w:rPr>
        <w:t>（2）</w:t>
      </w:r>
      <w:r w:rsidR="00F056F3">
        <w:rPr>
          <w:rFonts w:ascii="宋体" w:eastAsia="宋体" w:hAnsi="宋体" w:hint="eastAsia"/>
          <w:sz w:val="24"/>
          <w:szCs w:val="24"/>
        </w:rPr>
        <w:t>扩大股权融资的占比。从表中的数据结果可以看出，在新规实行后的房地产行业中，很多大型房地产企业都采用了增发配股的方式来扩大股权融资的占比，以此来降低整体的融资成本，优化自身的财务结构。</w:t>
      </w:r>
    </w:p>
    <w:p w14:paraId="5E49BB5F" w14:textId="77777777" w:rsidR="00F056F3" w:rsidRDefault="00F056F3" w:rsidP="00FC1D7B">
      <w:pPr>
        <w:rPr>
          <w:rFonts w:ascii="宋体" w:eastAsia="宋体" w:hAnsi="宋体"/>
          <w:sz w:val="24"/>
          <w:szCs w:val="24"/>
        </w:rPr>
      </w:pPr>
    </w:p>
    <w:p w14:paraId="44761E46" w14:textId="77777777" w:rsidR="00F056F3" w:rsidRDefault="00F056F3" w:rsidP="00FC1D7B">
      <w:pPr>
        <w:rPr>
          <w:rFonts w:ascii="宋体" w:eastAsia="宋体" w:hAnsi="宋体"/>
          <w:sz w:val="24"/>
          <w:szCs w:val="24"/>
        </w:rPr>
      </w:pPr>
      <w:r>
        <w:rPr>
          <w:rFonts w:ascii="宋体" w:eastAsia="宋体" w:hAnsi="宋体" w:hint="eastAsia"/>
          <w:sz w:val="24"/>
          <w:szCs w:val="24"/>
        </w:rPr>
        <w:t>（3）</w:t>
      </w:r>
      <w:r w:rsidR="00672A62">
        <w:rPr>
          <w:rFonts w:ascii="宋体" w:eastAsia="宋体" w:hAnsi="宋体" w:hint="eastAsia"/>
          <w:sz w:val="24"/>
          <w:szCs w:val="24"/>
        </w:rPr>
        <w:t>发展房地产服务延伸的业务，分拆上市。房地产企业在发展服务延伸业务的时候，具有先天的优势。他们可以从自身的楼盘着手开始发展物业、租赁、康养以及大健康产业，并且一开始就享有现成的私域流量。</w:t>
      </w:r>
      <w:r w:rsidR="00D63FBE">
        <w:rPr>
          <w:rFonts w:ascii="宋体" w:eastAsia="宋体" w:hAnsi="宋体" w:hint="eastAsia"/>
          <w:sz w:val="24"/>
          <w:szCs w:val="24"/>
        </w:rPr>
        <w:t>将</w:t>
      </w:r>
      <w:r w:rsidR="00672A62">
        <w:rPr>
          <w:rFonts w:ascii="宋体" w:eastAsia="宋体" w:hAnsi="宋体" w:hint="eastAsia"/>
          <w:sz w:val="24"/>
          <w:szCs w:val="24"/>
        </w:rPr>
        <w:t>这些业务发展到一定规模化后可以进行上市</w:t>
      </w:r>
      <w:r w:rsidR="00D63FBE">
        <w:rPr>
          <w:rFonts w:ascii="宋体" w:eastAsia="宋体" w:hAnsi="宋体" w:hint="eastAsia"/>
          <w:sz w:val="24"/>
          <w:szCs w:val="24"/>
        </w:rPr>
        <w:t>，可以为合并报表后的母公司带来利润的增加，同时也能为其母公司释放一部分流动性。</w:t>
      </w:r>
    </w:p>
    <w:p w14:paraId="69797BFA" w14:textId="77777777" w:rsidR="00D63FBE" w:rsidRDefault="00D63FBE" w:rsidP="00FC1D7B">
      <w:pPr>
        <w:rPr>
          <w:rFonts w:ascii="宋体" w:eastAsia="宋体" w:hAnsi="宋体"/>
          <w:sz w:val="24"/>
          <w:szCs w:val="24"/>
        </w:rPr>
      </w:pPr>
      <w:r>
        <w:rPr>
          <w:rFonts w:ascii="宋体" w:eastAsia="宋体" w:hAnsi="宋体" w:hint="eastAsia"/>
          <w:sz w:val="24"/>
          <w:szCs w:val="24"/>
        </w:rPr>
        <w:t>（4）缩短项目周期，提升资金周转速率。</w:t>
      </w:r>
      <w:r w:rsidR="00265C38">
        <w:rPr>
          <w:rFonts w:ascii="宋体" w:eastAsia="宋体" w:hAnsi="宋体" w:hint="eastAsia"/>
          <w:sz w:val="24"/>
          <w:szCs w:val="24"/>
        </w:rPr>
        <w:t>房地产企业可以考虑适当牺牲</w:t>
      </w:r>
      <w:r w:rsidR="004C1239">
        <w:rPr>
          <w:rFonts w:ascii="宋体" w:eastAsia="宋体" w:hAnsi="宋体" w:hint="eastAsia"/>
          <w:sz w:val="24"/>
          <w:szCs w:val="24"/>
        </w:rPr>
        <w:t>一部分利润换取更高的销量，随着疫情对国内外金融市场上造成的负面影响，我国房地产市场的民用住宅销量一直处在较低的位置，以至于很多房企的期房交付都出现了烂尾的现象。</w:t>
      </w:r>
      <w:r w:rsidR="00F40EE2">
        <w:rPr>
          <w:rFonts w:ascii="宋体" w:eastAsia="宋体" w:hAnsi="宋体" w:hint="eastAsia"/>
          <w:sz w:val="24"/>
          <w:szCs w:val="24"/>
        </w:rPr>
        <w:t>再加上新规的实行，房地产企业急需获得</w:t>
      </w:r>
      <w:r w:rsidR="00B82D3D">
        <w:rPr>
          <w:rFonts w:ascii="宋体" w:eastAsia="宋体" w:hAnsi="宋体" w:hint="eastAsia"/>
          <w:sz w:val="24"/>
          <w:szCs w:val="24"/>
        </w:rPr>
        <w:t>非常高的销量来回收资金，这样才能使得回款资金速率大于负债增速，最终体现在财务报表中的“剔除预收款后资产负债率”和“净负债率”的降低。</w:t>
      </w:r>
    </w:p>
    <w:p w14:paraId="3D159EAF" w14:textId="77777777" w:rsidR="001714BC" w:rsidRDefault="001714BC" w:rsidP="00FC1D7B">
      <w:pPr>
        <w:rPr>
          <w:rFonts w:ascii="宋体" w:eastAsia="宋体" w:hAnsi="宋体"/>
          <w:sz w:val="24"/>
          <w:szCs w:val="24"/>
        </w:rPr>
      </w:pPr>
    </w:p>
    <w:p w14:paraId="108C4288" w14:textId="4D484CC9" w:rsidR="001714BC" w:rsidRDefault="001714BC" w:rsidP="001714BC">
      <w:pPr>
        <w:pStyle w:val="3"/>
      </w:pPr>
      <w:bookmarkStart w:id="54" w:name="_Toc103641001"/>
      <w:r>
        <w:rPr>
          <w:rFonts w:hint="eastAsia"/>
        </w:rPr>
        <w:t>4</w:t>
      </w:r>
      <w:r>
        <w:t xml:space="preserve">.2.2 </w:t>
      </w:r>
      <w:r>
        <w:rPr>
          <w:rFonts w:hint="eastAsia"/>
        </w:rPr>
        <w:t>对监管层面的建议</w:t>
      </w:r>
      <w:bookmarkEnd w:id="54"/>
    </w:p>
    <w:p w14:paraId="02BF0513" w14:textId="77777777" w:rsidR="00D7040C" w:rsidRDefault="001714BC" w:rsidP="00FC1D7B">
      <w:pPr>
        <w:rPr>
          <w:rFonts w:ascii="宋体" w:eastAsia="宋体" w:hAnsi="宋体"/>
          <w:sz w:val="24"/>
          <w:szCs w:val="24"/>
        </w:rPr>
      </w:pPr>
      <w:r>
        <w:rPr>
          <w:rFonts w:ascii="宋体" w:eastAsia="宋体" w:hAnsi="宋体" w:hint="eastAsia"/>
          <w:sz w:val="24"/>
          <w:szCs w:val="24"/>
        </w:rPr>
        <w:t>（1）</w:t>
      </w:r>
      <w:r w:rsidR="002461C8">
        <w:rPr>
          <w:rFonts w:ascii="宋体" w:eastAsia="宋体" w:hAnsi="宋体" w:hint="eastAsia"/>
          <w:sz w:val="24"/>
          <w:szCs w:val="24"/>
        </w:rPr>
        <w:t>加强对房地产企业表外融资的监管。新规实行后，大量房地产企业采用增加合作项目的方式来分散自身的财务风险。利用合联营企业不用并表的特点，将原本在表内的债务转移至表外。这样的策略虽然有助于方资产企业将债务指标控制在监管范围内，但实际上</w:t>
      </w:r>
      <w:r w:rsidR="00D7040C">
        <w:rPr>
          <w:rFonts w:ascii="宋体" w:eastAsia="宋体" w:hAnsi="宋体" w:hint="eastAsia"/>
          <w:sz w:val="24"/>
          <w:szCs w:val="24"/>
        </w:rPr>
        <w:t>其负债规模并没有降低，在这样的背景下，房企的贷款仍然可能过度膨胀，催生影子银行业务，对我过房地产金融业体系造成了潜在的系统性风险。</w:t>
      </w:r>
    </w:p>
    <w:p w14:paraId="26CAF436" w14:textId="77777777" w:rsidR="00D7040C" w:rsidRDefault="00D7040C" w:rsidP="00FC1D7B">
      <w:pPr>
        <w:rPr>
          <w:rFonts w:ascii="宋体" w:eastAsia="宋体" w:hAnsi="宋体"/>
          <w:sz w:val="24"/>
          <w:szCs w:val="24"/>
        </w:rPr>
      </w:pPr>
    </w:p>
    <w:p w14:paraId="6CAF2F24" w14:textId="175BA0E4" w:rsidR="00D7040C" w:rsidRPr="00170150" w:rsidRDefault="00D7040C" w:rsidP="00FC1D7B">
      <w:pPr>
        <w:rPr>
          <w:rFonts w:ascii="宋体" w:eastAsia="宋体" w:hAnsi="宋体" w:hint="eastAsia"/>
          <w:sz w:val="24"/>
          <w:szCs w:val="24"/>
        </w:rPr>
        <w:sectPr w:rsidR="00D7040C" w:rsidRPr="00170150" w:rsidSect="004A208C">
          <w:pgSz w:w="11906" w:h="16838"/>
          <w:pgMar w:top="1440" w:right="1800" w:bottom="1440" w:left="1800" w:header="851" w:footer="992" w:gutter="0"/>
          <w:pgNumType w:start="9"/>
          <w:cols w:space="425"/>
          <w:docGrid w:type="lines" w:linePitch="312"/>
        </w:sectPr>
      </w:pPr>
      <w:r>
        <w:rPr>
          <w:rFonts w:ascii="宋体" w:eastAsia="宋体" w:hAnsi="宋体" w:hint="eastAsia"/>
          <w:sz w:val="24"/>
          <w:szCs w:val="24"/>
        </w:rPr>
        <w:t>（2）加强对房地产企业财务指标中商业汇票的监管</w:t>
      </w:r>
      <w:r w:rsidR="00CE4ED0">
        <w:rPr>
          <w:rFonts w:ascii="宋体" w:eastAsia="宋体" w:hAnsi="宋体" w:hint="eastAsia"/>
          <w:sz w:val="24"/>
          <w:szCs w:val="24"/>
        </w:rPr>
        <w:t>。论文上述的研究说明了“三道红线”政策对于房地产企业融资结构的影响，房地产企业争相降低自己的有息债务规模来适应政策的监管。从财务分析的角度看，有息负债的规模不仅可以通过调节融资结构来实现转型，还可以通过将有息负债的转移到商业汇票的方式实现。根据R</w:t>
      </w:r>
      <w:r w:rsidR="00CE4ED0">
        <w:rPr>
          <w:rFonts w:ascii="宋体" w:eastAsia="宋体" w:hAnsi="宋体"/>
          <w:sz w:val="24"/>
          <w:szCs w:val="24"/>
        </w:rPr>
        <w:t xml:space="preserve">ESSET </w:t>
      </w:r>
      <w:r w:rsidR="00CE4ED0">
        <w:rPr>
          <w:rFonts w:ascii="宋体" w:eastAsia="宋体" w:hAnsi="宋体" w:hint="eastAsia"/>
          <w:sz w:val="24"/>
          <w:szCs w:val="24"/>
        </w:rPr>
        <w:t>数据库收集的数据，截</w:t>
      </w:r>
      <w:r w:rsidR="00A741FC">
        <w:rPr>
          <w:rFonts w:ascii="宋体" w:eastAsia="宋体" w:hAnsi="宋体" w:hint="eastAsia"/>
          <w:sz w:val="24"/>
          <w:szCs w:val="24"/>
        </w:rPr>
        <w:t>至</w:t>
      </w:r>
      <w:r w:rsidR="00CE4ED0">
        <w:rPr>
          <w:rFonts w:ascii="宋体" w:eastAsia="宋体" w:hAnsi="宋体" w:hint="eastAsia"/>
          <w:sz w:val="24"/>
          <w:szCs w:val="24"/>
        </w:rPr>
        <w:t>2</w:t>
      </w:r>
      <w:r w:rsidR="00CE4ED0">
        <w:rPr>
          <w:rFonts w:ascii="宋体" w:eastAsia="宋体" w:hAnsi="宋体"/>
          <w:sz w:val="24"/>
          <w:szCs w:val="24"/>
        </w:rPr>
        <w:t>02</w:t>
      </w:r>
      <w:r w:rsidR="00A741FC">
        <w:rPr>
          <w:rFonts w:ascii="宋体" w:eastAsia="宋体" w:hAnsi="宋体"/>
          <w:sz w:val="24"/>
          <w:szCs w:val="24"/>
        </w:rPr>
        <w:t>1</w:t>
      </w:r>
      <w:r w:rsidR="00A741FC">
        <w:rPr>
          <w:rFonts w:ascii="宋体" w:eastAsia="宋体" w:hAnsi="宋体" w:hint="eastAsia"/>
          <w:sz w:val="24"/>
          <w:szCs w:val="24"/>
        </w:rPr>
        <w:t>年底，我国房地产企业应付票据的规模同比增加了3</w:t>
      </w:r>
      <w:r w:rsidR="00A741FC">
        <w:rPr>
          <w:rFonts w:ascii="宋体" w:eastAsia="宋体" w:hAnsi="宋体"/>
          <w:sz w:val="24"/>
          <w:szCs w:val="24"/>
        </w:rPr>
        <w:t>6.8%</w:t>
      </w:r>
      <w:r w:rsidR="00A741FC">
        <w:rPr>
          <w:rFonts w:ascii="宋体" w:eastAsia="宋体" w:hAnsi="宋体" w:hint="eastAsia"/>
          <w:sz w:val="24"/>
          <w:szCs w:val="24"/>
        </w:rPr>
        <w:t>。商业票据作为一种融资手段，可以帮助房地产企业形成很难被监管到的融资渠道，然而当房企的偿债压力较大、盈利能力降低时，商业票据违约的风险就会大大增高。“三道红线”主要对房企的有息负债作出了明确规定，商业票据是一种信用性票据，并不计入有息负债，但其过快的增长同样会给房地产企业带来高杠杆、高负债的财务风险。因此建议相关监管部门</w:t>
      </w:r>
      <w:r w:rsidR="00F64894">
        <w:rPr>
          <w:rFonts w:ascii="宋体" w:eastAsia="宋体" w:hAnsi="宋体" w:hint="eastAsia"/>
          <w:sz w:val="24"/>
          <w:szCs w:val="24"/>
        </w:rPr>
        <w:t>对房地产企业商业票据规模也进行一定程度的监管。</w:t>
      </w:r>
    </w:p>
    <w:p w14:paraId="70B12788" w14:textId="31F52D38" w:rsidR="00280AA7" w:rsidRPr="0086528B" w:rsidRDefault="00A64CC2" w:rsidP="00F64894">
      <w:pPr>
        <w:pStyle w:val="1"/>
        <w:jc w:val="center"/>
        <w:rPr>
          <w:sz w:val="36"/>
          <w:szCs w:val="36"/>
        </w:rPr>
      </w:pPr>
      <w:r w:rsidRPr="0086528B">
        <w:rPr>
          <w:rFonts w:hint="eastAsia"/>
          <w:sz w:val="36"/>
          <w:szCs w:val="36"/>
        </w:rPr>
        <w:lastRenderedPageBreak/>
        <w:t>参考文献</w:t>
      </w:r>
    </w:p>
    <w:p w14:paraId="475B81A5" w14:textId="77777777" w:rsidR="0086528B" w:rsidRDefault="00A64CC2" w:rsidP="00886A06">
      <w:pPr>
        <w:ind w:left="480" w:hangingChars="200" w:hanging="480"/>
        <w:rPr>
          <w:rFonts w:ascii="宋体" w:eastAsia="宋体" w:hAnsi="宋体"/>
          <w:sz w:val="24"/>
          <w:szCs w:val="24"/>
        </w:rPr>
      </w:pPr>
      <w:r w:rsidRPr="0086528B">
        <w:rPr>
          <w:rFonts w:ascii="宋体" w:eastAsia="宋体" w:hAnsi="宋体"/>
          <w:sz w:val="24"/>
          <w:szCs w:val="24"/>
        </w:rPr>
        <w:t>[1]虞晓芬,冯香妮,张利花.房地产调控政策对房地产企业经营业绩的影响—</w:t>
      </w:r>
    </w:p>
    <w:p w14:paraId="25D482BB" w14:textId="76162577" w:rsidR="00A64CC2" w:rsidRPr="0086528B" w:rsidRDefault="00A64CC2" w:rsidP="00886A06">
      <w:pPr>
        <w:ind w:left="480" w:hangingChars="200" w:hanging="480"/>
        <w:rPr>
          <w:rFonts w:ascii="宋体" w:eastAsia="宋体" w:hAnsi="宋体"/>
          <w:sz w:val="24"/>
          <w:szCs w:val="24"/>
        </w:rPr>
      </w:pPr>
      <w:r w:rsidRPr="0086528B">
        <w:rPr>
          <w:rFonts w:ascii="宋体" w:eastAsia="宋体" w:hAnsi="宋体"/>
          <w:sz w:val="24"/>
          <w:szCs w:val="24"/>
        </w:rPr>
        <w:t>国有与非国有上市企业比较分析[J].浙江工业大学学报(社会科</w:t>
      </w:r>
      <w:r w:rsidR="0086528B">
        <w:rPr>
          <w:rFonts w:ascii="宋体" w:eastAsia="宋体" w:hAnsi="宋体" w:hint="eastAsia"/>
          <w:sz w:val="24"/>
          <w:szCs w:val="24"/>
        </w:rPr>
        <w:t>学</w:t>
      </w:r>
      <w:r w:rsidRPr="0086528B">
        <w:rPr>
          <w:rFonts w:ascii="宋体" w:eastAsia="宋体" w:hAnsi="宋体"/>
          <w:sz w:val="24"/>
          <w:szCs w:val="24"/>
        </w:rPr>
        <w:t>版),2021,20(01):66-73.</w:t>
      </w:r>
    </w:p>
    <w:p w14:paraId="6F466091" w14:textId="2650DD0A" w:rsidR="00A64CC2" w:rsidRPr="00C54BFC" w:rsidRDefault="00A64CC2" w:rsidP="00886A06">
      <w:pPr>
        <w:ind w:left="720" w:hangingChars="300" w:hanging="720"/>
        <w:rPr>
          <w:rFonts w:ascii="宋体" w:eastAsia="宋体" w:hAnsi="宋体"/>
          <w:sz w:val="24"/>
          <w:szCs w:val="24"/>
        </w:rPr>
      </w:pPr>
      <w:r w:rsidRPr="00C54BFC">
        <w:rPr>
          <w:rFonts w:ascii="宋体" w:eastAsia="宋体" w:hAnsi="宋体"/>
          <w:sz w:val="24"/>
          <w:szCs w:val="24"/>
        </w:rPr>
        <w:t>[</w:t>
      </w:r>
      <w:r w:rsidR="00C54BFC" w:rsidRPr="00C54BFC">
        <w:rPr>
          <w:rFonts w:ascii="宋体" w:eastAsia="宋体" w:hAnsi="宋体"/>
          <w:sz w:val="24"/>
          <w:szCs w:val="24"/>
        </w:rPr>
        <w:t>2</w:t>
      </w:r>
      <w:r w:rsidRPr="00C54BFC">
        <w:rPr>
          <w:rFonts w:ascii="宋体" w:eastAsia="宋体" w:hAnsi="宋体"/>
          <w:sz w:val="24"/>
          <w:szCs w:val="24"/>
        </w:rPr>
        <w:t>]吴可.宏观调控政策对房地产上市公司的影响研究[J].经营</w:t>
      </w:r>
      <w:r w:rsidR="00C54BFC" w:rsidRPr="00C54BFC">
        <w:rPr>
          <w:rFonts w:ascii="宋体" w:eastAsia="宋体" w:hAnsi="宋体" w:hint="eastAsia"/>
          <w:sz w:val="24"/>
          <w:szCs w:val="24"/>
        </w:rPr>
        <w:t>与</w:t>
      </w:r>
      <w:r w:rsidR="00C54BFC">
        <w:rPr>
          <w:rFonts w:ascii="宋体" w:eastAsia="宋体" w:hAnsi="宋体" w:hint="eastAsia"/>
          <w:sz w:val="24"/>
          <w:szCs w:val="24"/>
        </w:rPr>
        <w:t>管</w:t>
      </w:r>
      <w:r w:rsidRPr="00C54BFC">
        <w:rPr>
          <w:rFonts w:ascii="宋体" w:eastAsia="宋体" w:hAnsi="宋体"/>
          <w:sz w:val="24"/>
          <w:szCs w:val="24"/>
        </w:rPr>
        <w:t>理,2019(02)</w:t>
      </w:r>
    </w:p>
    <w:p w14:paraId="53806115" w14:textId="5385B889" w:rsidR="00A64CC2" w:rsidRPr="00C54BFC" w:rsidRDefault="00A64CC2" w:rsidP="00886A06">
      <w:pPr>
        <w:ind w:left="720" w:hangingChars="300" w:hanging="720"/>
        <w:rPr>
          <w:rFonts w:ascii="宋体" w:eastAsia="宋体" w:hAnsi="宋体"/>
          <w:sz w:val="24"/>
          <w:szCs w:val="24"/>
        </w:rPr>
      </w:pPr>
      <w:r w:rsidRPr="00C54BFC">
        <w:rPr>
          <w:rFonts w:ascii="宋体" w:eastAsia="宋体" w:hAnsi="宋体"/>
          <w:sz w:val="24"/>
          <w:szCs w:val="24"/>
        </w:rPr>
        <w:t>[</w:t>
      </w:r>
      <w:r w:rsidR="00C54BFC" w:rsidRPr="00C54BFC">
        <w:rPr>
          <w:rFonts w:ascii="宋体" w:eastAsia="宋体" w:hAnsi="宋体"/>
          <w:sz w:val="24"/>
          <w:szCs w:val="24"/>
        </w:rPr>
        <w:t>3</w:t>
      </w:r>
      <w:r w:rsidRPr="00C54BFC">
        <w:rPr>
          <w:rFonts w:ascii="宋体" w:eastAsia="宋体" w:hAnsi="宋体"/>
          <w:sz w:val="24"/>
          <w:szCs w:val="24"/>
        </w:rPr>
        <w:t>]周芳,常志芳.“三道红线”对房地产企业的影响研究[J].中国</w:t>
      </w:r>
      <w:r w:rsidR="00886A06">
        <w:rPr>
          <w:rFonts w:ascii="宋体" w:eastAsia="宋体" w:hAnsi="宋体" w:hint="eastAsia"/>
          <w:sz w:val="24"/>
          <w:szCs w:val="24"/>
        </w:rPr>
        <w:t>储</w:t>
      </w:r>
      <w:r w:rsidRPr="00C54BFC">
        <w:rPr>
          <w:rFonts w:ascii="宋体" w:eastAsia="宋体" w:hAnsi="宋体"/>
          <w:sz w:val="24"/>
          <w:szCs w:val="24"/>
        </w:rPr>
        <w:t>运,2022(01)</w:t>
      </w:r>
    </w:p>
    <w:p w14:paraId="063931D1" w14:textId="77777777" w:rsidR="00886A06" w:rsidRDefault="00A64CC2" w:rsidP="00886A06">
      <w:pPr>
        <w:ind w:left="480" w:hangingChars="200" w:hanging="480"/>
        <w:rPr>
          <w:rFonts w:ascii="宋体" w:eastAsia="宋体" w:hAnsi="宋体"/>
          <w:sz w:val="24"/>
          <w:szCs w:val="24"/>
        </w:rPr>
      </w:pPr>
      <w:r w:rsidRPr="00C54BFC">
        <w:rPr>
          <w:rFonts w:ascii="宋体" w:eastAsia="宋体" w:hAnsi="宋体"/>
          <w:sz w:val="24"/>
          <w:szCs w:val="24"/>
        </w:rPr>
        <w:t>[</w:t>
      </w:r>
      <w:r w:rsidR="00C54BFC" w:rsidRPr="00C54BFC">
        <w:rPr>
          <w:rFonts w:ascii="宋体" w:eastAsia="宋体" w:hAnsi="宋体"/>
          <w:sz w:val="24"/>
          <w:szCs w:val="24"/>
        </w:rPr>
        <w:t>4</w:t>
      </w:r>
      <w:r w:rsidRPr="00C54BFC">
        <w:rPr>
          <w:rFonts w:ascii="宋体" w:eastAsia="宋体" w:hAnsi="宋体"/>
          <w:sz w:val="24"/>
          <w:szCs w:val="24"/>
        </w:rPr>
        <w:t>]李春莲,张晓玉. 上市房企三季报有人欢喜有人忧  荣盛发展晋升绿档房</w:t>
      </w:r>
      <w:r w:rsidR="00886A06">
        <w:rPr>
          <w:rFonts w:ascii="宋体" w:eastAsia="宋体" w:hAnsi="宋体" w:hint="eastAsia"/>
          <w:sz w:val="24"/>
          <w:szCs w:val="24"/>
        </w:rPr>
        <w:t>企</w:t>
      </w:r>
    </w:p>
    <w:p w14:paraId="08042DEE" w14:textId="12F96F8D" w:rsidR="00A64CC2" w:rsidRPr="00C54BFC" w:rsidRDefault="00886A06" w:rsidP="00886A06">
      <w:pPr>
        <w:ind w:left="480" w:hangingChars="200" w:hanging="480"/>
        <w:rPr>
          <w:rFonts w:ascii="宋体" w:eastAsia="宋体" w:hAnsi="宋体"/>
          <w:sz w:val="24"/>
          <w:szCs w:val="24"/>
        </w:rPr>
      </w:pPr>
      <w:r>
        <w:rPr>
          <w:rFonts w:ascii="宋体" w:eastAsia="宋体" w:hAnsi="宋体" w:hint="eastAsia"/>
          <w:sz w:val="24"/>
          <w:szCs w:val="24"/>
        </w:rPr>
        <w:t>业</w:t>
      </w:r>
      <w:r w:rsidR="00A64CC2" w:rsidRPr="00C54BFC">
        <w:rPr>
          <w:rFonts w:ascii="宋体" w:eastAsia="宋体" w:hAnsi="宋体"/>
          <w:sz w:val="24"/>
          <w:szCs w:val="24"/>
        </w:rPr>
        <w:t>阵营[N]. 证券日报,2021-11-01(B02)</w:t>
      </w:r>
    </w:p>
    <w:p w14:paraId="60905F97" w14:textId="7CB3AD44" w:rsidR="00A64CC2" w:rsidRPr="00C54BFC" w:rsidRDefault="00A64CC2" w:rsidP="00886A06">
      <w:pPr>
        <w:rPr>
          <w:rFonts w:ascii="宋体" w:eastAsia="宋体" w:hAnsi="宋体"/>
          <w:sz w:val="24"/>
          <w:szCs w:val="24"/>
        </w:rPr>
      </w:pPr>
      <w:r w:rsidRPr="00C54BFC">
        <w:rPr>
          <w:rFonts w:ascii="宋体" w:eastAsia="宋体" w:hAnsi="宋体"/>
          <w:sz w:val="24"/>
          <w:szCs w:val="24"/>
        </w:rPr>
        <w:t>[</w:t>
      </w:r>
      <w:r w:rsidR="00C54BFC" w:rsidRPr="00C54BFC">
        <w:rPr>
          <w:rFonts w:ascii="宋体" w:eastAsia="宋体" w:hAnsi="宋体"/>
          <w:sz w:val="24"/>
          <w:szCs w:val="24"/>
        </w:rPr>
        <w:t>5</w:t>
      </w:r>
      <w:r w:rsidRPr="00C54BFC">
        <w:rPr>
          <w:rFonts w:ascii="宋体" w:eastAsia="宋体" w:hAnsi="宋体"/>
          <w:sz w:val="24"/>
          <w:szCs w:val="24"/>
        </w:rPr>
        <w:t>]艾振强.超投模式，有助突围“三道红线”[J].城市开发,2021(20)</w:t>
      </w:r>
    </w:p>
    <w:p w14:paraId="56ADFAA2" w14:textId="77777777" w:rsidR="00886A06" w:rsidRDefault="00A64CC2" w:rsidP="00886A06">
      <w:pPr>
        <w:ind w:left="720" w:hangingChars="300" w:hanging="720"/>
        <w:rPr>
          <w:rFonts w:ascii="宋体" w:eastAsia="宋体" w:hAnsi="宋体"/>
          <w:sz w:val="24"/>
          <w:szCs w:val="24"/>
        </w:rPr>
      </w:pPr>
      <w:r w:rsidRPr="00C54BFC">
        <w:rPr>
          <w:rFonts w:ascii="宋体" w:eastAsia="宋体" w:hAnsi="宋体"/>
          <w:sz w:val="24"/>
          <w:szCs w:val="24"/>
        </w:rPr>
        <w:t>[</w:t>
      </w:r>
      <w:r w:rsidR="00C54BFC" w:rsidRPr="00C54BFC">
        <w:rPr>
          <w:rFonts w:ascii="宋体" w:eastAsia="宋体" w:hAnsi="宋体"/>
          <w:sz w:val="24"/>
          <w:szCs w:val="24"/>
        </w:rPr>
        <w:t>6</w:t>
      </w:r>
      <w:r w:rsidRPr="00C54BFC">
        <w:rPr>
          <w:rFonts w:ascii="宋体" w:eastAsia="宋体" w:hAnsi="宋体"/>
          <w:sz w:val="24"/>
          <w:szCs w:val="24"/>
        </w:rPr>
        <w:t>]岑泽斌,王华兵.基于“三道红线”政策引发的对房地产企业降负债的思</w:t>
      </w:r>
      <w:r w:rsidR="00886A06">
        <w:rPr>
          <w:rFonts w:ascii="宋体" w:eastAsia="宋体" w:hAnsi="宋体" w:hint="eastAsia"/>
          <w:sz w:val="24"/>
          <w:szCs w:val="24"/>
        </w:rPr>
        <w:t>考</w:t>
      </w:r>
    </w:p>
    <w:p w14:paraId="3083739A" w14:textId="048753FE" w:rsidR="00A64CC2" w:rsidRPr="00C54BFC" w:rsidRDefault="00A64CC2" w:rsidP="00886A06">
      <w:pPr>
        <w:ind w:left="720" w:hangingChars="300" w:hanging="720"/>
        <w:rPr>
          <w:rFonts w:ascii="宋体" w:eastAsia="宋体" w:hAnsi="宋体"/>
          <w:sz w:val="24"/>
          <w:szCs w:val="24"/>
        </w:rPr>
      </w:pPr>
      <w:r w:rsidRPr="00C54BFC">
        <w:rPr>
          <w:rFonts w:ascii="宋体" w:eastAsia="宋体" w:hAnsi="宋体"/>
          <w:sz w:val="24"/>
          <w:szCs w:val="24"/>
        </w:rPr>
        <w:t>[J].产业与科技论坛,2021,20(19)</w:t>
      </w:r>
    </w:p>
    <w:p w14:paraId="74338AD7" w14:textId="046B7358" w:rsidR="00A64CC2" w:rsidRPr="00C54BFC" w:rsidRDefault="00B44D07" w:rsidP="00886A06">
      <w:pPr>
        <w:rPr>
          <w:rFonts w:ascii="宋体" w:eastAsia="宋体" w:hAnsi="宋体"/>
          <w:sz w:val="24"/>
          <w:szCs w:val="24"/>
        </w:rPr>
      </w:pPr>
      <w:r w:rsidRPr="00C54BFC">
        <w:rPr>
          <w:rFonts w:ascii="宋体" w:eastAsia="宋体" w:hAnsi="宋体"/>
          <w:sz w:val="24"/>
          <w:szCs w:val="24"/>
        </w:rPr>
        <w:t>[</w:t>
      </w:r>
      <w:r w:rsidR="00C54BFC" w:rsidRPr="00C54BFC">
        <w:rPr>
          <w:rFonts w:ascii="宋体" w:eastAsia="宋体" w:hAnsi="宋体"/>
          <w:sz w:val="24"/>
          <w:szCs w:val="24"/>
        </w:rPr>
        <w:t>7</w:t>
      </w:r>
      <w:r w:rsidRPr="00C54BFC">
        <w:rPr>
          <w:rFonts w:ascii="宋体" w:eastAsia="宋体" w:hAnsi="宋体"/>
          <w:sz w:val="24"/>
          <w:szCs w:val="24"/>
        </w:rPr>
        <w:t>]付巍.“三道红线”下房地产企业融资策略分析[J].投资与合作,2021(05)</w:t>
      </w:r>
    </w:p>
    <w:p w14:paraId="3604723D" w14:textId="77777777" w:rsidR="00886A06" w:rsidRDefault="00B44D07" w:rsidP="00886A06">
      <w:pPr>
        <w:ind w:left="480" w:hangingChars="200" w:hanging="480"/>
        <w:rPr>
          <w:rFonts w:ascii="宋体" w:eastAsia="宋体" w:hAnsi="宋体"/>
          <w:sz w:val="24"/>
          <w:szCs w:val="24"/>
        </w:rPr>
      </w:pPr>
      <w:r w:rsidRPr="00C54BFC">
        <w:rPr>
          <w:rFonts w:ascii="宋体" w:eastAsia="宋体" w:hAnsi="宋体"/>
          <w:sz w:val="24"/>
          <w:szCs w:val="24"/>
        </w:rPr>
        <w:t>[</w:t>
      </w:r>
      <w:r w:rsidR="00C54BFC" w:rsidRPr="00C54BFC">
        <w:rPr>
          <w:rFonts w:ascii="宋体" w:eastAsia="宋体" w:hAnsi="宋体"/>
          <w:sz w:val="24"/>
          <w:szCs w:val="24"/>
        </w:rPr>
        <w:t>8</w:t>
      </w:r>
      <w:r w:rsidRPr="00C54BFC">
        <w:rPr>
          <w:rFonts w:ascii="宋体" w:eastAsia="宋体" w:hAnsi="宋体"/>
          <w:sz w:val="24"/>
          <w:szCs w:val="24"/>
        </w:rPr>
        <w:t>]李茜.“五道红线”在房地产金融市场中风险防范的作用[J].财富时</w:t>
      </w:r>
    </w:p>
    <w:p w14:paraId="3AE0A498" w14:textId="4AA84FA6" w:rsidR="00B44D07" w:rsidRPr="00C54BFC" w:rsidRDefault="00B44D07" w:rsidP="00886A06">
      <w:pPr>
        <w:ind w:left="480" w:hangingChars="200" w:hanging="480"/>
        <w:rPr>
          <w:rFonts w:ascii="宋体" w:eastAsia="宋体" w:hAnsi="宋体"/>
          <w:sz w:val="24"/>
          <w:szCs w:val="24"/>
        </w:rPr>
      </w:pPr>
      <w:r w:rsidRPr="00C54BFC">
        <w:rPr>
          <w:rFonts w:ascii="宋体" w:eastAsia="宋体" w:hAnsi="宋体"/>
          <w:sz w:val="24"/>
          <w:szCs w:val="24"/>
        </w:rPr>
        <w:t>代,2021(06)</w:t>
      </w:r>
    </w:p>
    <w:p w14:paraId="2143152F" w14:textId="0481E3F1" w:rsidR="00B44D07" w:rsidRPr="00C54BFC" w:rsidRDefault="00B44D07" w:rsidP="00886A06">
      <w:pPr>
        <w:rPr>
          <w:rFonts w:ascii="宋体" w:eastAsia="宋体" w:hAnsi="宋体"/>
          <w:sz w:val="24"/>
          <w:szCs w:val="24"/>
        </w:rPr>
      </w:pPr>
      <w:r w:rsidRPr="00C54BFC">
        <w:rPr>
          <w:rFonts w:ascii="宋体" w:eastAsia="宋体" w:hAnsi="宋体"/>
          <w:sz w:val="24"/>
          <w:szCs w:val="24"/>
        </w:rPr>
        <w:t>[</w:t>
      </w:r>
      <w:r w:rsidR="00C54BFC" w:rsidRPr="00C54BFC">
        <w:rPr>
          <w:rFonts w:ascii="宋体" w:eastAsia="宋体" w:hAnsi="宋体"/>
          <w:sz w:val="24"/>
          <w:szCs w:val="24"/>
        </w:rPr>
        <w:t>9</w:t>
      </w:r>
      <w:r w:rsidRPr="00C54BFC">
        <w:rPr>
          <w:rFonts w:ascii="宋体" w:eastAsia="宋体" w:hAnsi="宋体"/>
          <w:sz w:val="24"/>
          <w:szCs w:val="24"/>
        </w:rPr>
        <w:t>]孙红. 货币政策对我国房地产企业的影响研究[D].沈阳工业大学,2021.</w:t>
      </w:r>
    </w:p>
    <w:p w14:paraId="31443522" w14:textId="061235BF" w:rsidR="00B44D07" w:rsidRPr="00C54BFC" w:rsidRDefault="00B44D07" w:rsidP="00886A06">
      <w:pPr>
        <w:rPr>
          <w:rFonts w:ascii="宋体" w:eastAsia="宋体" w:hAnsi="宋体"/>
          <w:sz w:val="24"/>
          <w:szCs w:val="24"/>
        </w:rPr>
      </w:pPr>
      <w:r w:rsidRPr="00C54BFC">
        <w:rPr>
          <w:rFonts w:ascii="宋体" w:eastAsia="宋体" w:hAnsi="宋体"/>
          <w:sz w:val="24"/>
          <w:szCs w:val="24"/>
        </w:rPr>
        <w:t>[</w:t>
      </w:r>
      <w:r w:rsidR="00C54BFC" w:rsidRPr="00C54BFC">
        <w:rPr>
          <w:rFonts w:ascii="宋体" w:eastAsia="宋体" w:hAnsi="宋体"/>
          <w:sz w:val="24"/>
          <w:szCs w:val="24"/>
        </w:rPr>
        <w:t>10</w:t>
      </w:r>
      <w:r w:rsidRPr="00C54BFC">
        <w:rPr>
          <w:rFonts w:ascii="宋体" w:eastAsia="宋体" w:hAnsi="宋体"/>
          <w:sz w:val="24"/>
          <w:szCs w:val="24"/>
        </w:rPr>
        <w:t>]付彦妮. “营改增”对A房地产企业税负的影响研究[D].西南大学,2020.</w:t>
      </w:r>
    </w:p>
    <w:p w14:paraId="7631B07D" w14:textId="77777777" w:rsidR="00886A06" w:rsidRDefault="00B44D07" w:rsidP="00886A06">
      <w:pPr>
        <w:ind w:left="720" w:hangingChars="300" w:hanging="720"/>
        <w:rPr>
          <w:rFonts w:ascii="宋体" w:eastAsia="宋体" w:hAnsi="宋体"/>
          <w:sz w:val="24"/>
          <w:szCs w:val="24"/>
        </w:rPr>
      </w:pPr>
      <w:r w:rsidRPr="00C54BFC">
        <w:rPr>
          <w:rFonts w:ascii="宋体" w:eastAsia="宋体" w:hAnsi="宋体"/>
          <w:sz w:val="24"/>
          <w:szCs w:val="24"/>
        </w:rPr>
        <w:t>[1</w:t>
      </w:r>
      <w:r w:rsidR="00C54BFC" w:rsidRPr="00C54BFC">
        <w:rPr>
          <w:rFonts w:ascii="宋体" w:eastAsia="宋体" w:hAnsi="宋体"/>
          <w:sz w:val="24"/>
          <w:szCs w:val="24"/>
        </w:rPr>
        <w:t>1</w:t>
      </w:r>
      <w:r w:rsidRPr="00C54BFC">
        <w:rPr>
          <w:rFonts w:ascii="宋体" w:eastAsia="宋体" w:hAnsi="宋体"/>
          <w:sz w:val="24"/>
          <w:szCs w:val="24"/>
        </w:rPr>
        <w:t>]刘建国,杨卫东.房地产行业上市公司融资结构与公司绩效实证浅析[J].东</w:t>
      </w:r>
    </w:p>
    <w:p w14:paraId="085BB7D4" w14:textId="639F6D51" w:rsidR="00B44D07" w:rsidRPr="00C54BFC" w:rsidRDefault="00B44D07" w:rsidP="00886A06">
      <w:pPr>
        <w:ind w:left="720" w:hangingChars="300" w:hanging="720"/>
        <w:rPr>
          <w:rFonts w:ascii="宋体" w:eastAsia="宋体" w:hAnsi="宋体"/>
          <w:sz w:val="24"/>
          <w:szCs w:val="24"/>
        </w:rPr>
      </w:pPr>
      <w:r w:rsidRPr="00C54BFC">
        <w:rPr>
          <w:rFonts w:ascii="宋体" w:eastAsia="宋体" w:hAnsi="宋体"/>
          <w:sz w:val="24"/>
          <w:szCs w:val="24"/>
        </w:rPr>
        <w:t>理工大学学报(社会科学版),2009,24(01)</w:t>
      </w:r>
    </w:p>
    <w:p w14:paraId="650FC7A9" w14:textId="5E78580C" w:rsidR="00B44D07" w:rsidRPr="00C54BFC" w:rsidRDefault="00B44D07" w:rsidP="00886A06">
      <w:pPr>
        <w:rPr>
          <w:rFonts w:ascii="宋体" w:eastAsia="宋体" w:hAnsi="宋体"/>
          <w:sz w:val="24"/>
          <w:szCs w:val="24"/>
        </w:rPr>
      </w:pPr>
      <w:r w:rsidRPr="00C54BFC">
        <w:rPr>
          <w:rFonts w:ascii="宋体" w:eastAsia="宋体" w:hAnsi="宋体"/>
          <w:sz w:val="24"/>
          <w:szCs w:val="24"/>
        </w:rPr>
        <w:t>[1</w:t>
      </w:r>
      <w:r w:rsidR="00C54BFC" w:rsidRPr="00C54BFC">
        <w:rPr>
          <w:rFonts w:ascii="宋体" w:eastAsia="宋体" w:hAnsi="宋体"/>
          <w:sz w:val="24"/>
          <w:szCs w:val="24"/>
        </w:rPr>
        <w:t>2</w:t>
      </w:r>
      <w:r w:rsidRPr="00C54BFC">
        <w:rPr>
          <w:rFonts w:ascii="宋体" w:eastAsia="宋体" w:hAnsi="宋体"/>
          <w:sz w:val="24"/>
          <w:szCs w:val="24"/>
        </w:rPr>
        <w:t>]孙翠兰.我国房地产融资方式的比较、选择与调整[J].金融论坛,2005(11)</w:t>
      </w:r>
    </w:p>
    <w:p w14:paraId="73B481FE" w14:textId="77777777" w:rsidR="00886A06" w:rsidRDefault="00B44D07" w:rsidP="00886A06">
      <w:pPr>
        <w:ind w:left="720" w:hangingChars="300" w:hanging="720"/>
        <w:rPr>
          <w:rFonts w:ascii="宋体" w:eastAsia="宋体" w:hAnsi="宋体"/>
          <w:sz w:val="24"/>
          <w:szCs w:val="24"/>
        </w:rPr>
      </w:pPr>
      <w:r w:rsidRPr="00C54BFC">
        <w:rPr>
          <w:rFonts w:ascii="宋体" w:eastAsia="宋体" w:hAnsi="宋体"/>
          <w:sz w:val="24"/>
          <w:szCs w:val="24"/>
        </w:rPr>
        <w:t>[1</w:t>
      </w:r>
      <w:r w:rsidR="00C54BFC" w:rsidRPr="00C54BFC">
        <w:rPr>
          <w:rFonts w:ascii="宋体" w:eastAsia="宋体" w:hAnsi="宋体"/>
          <w:sz w:val="24"/>
          <w:szCs w:val="24"/>
        </w:rPr>
        <w:t>3</w:t>
      </w:r>
      <w:r w:rsidRPr="00C54BFC">
        <w:rPr>
          <w:rFonts w:ascii="宋体" w:eastAsia="宋体" w:hAnsi="宋体"/>
          <w:sz w:val="24"/>
          <w:szCs w:val="24"/>
        </w:rPr>
        <w:t>]孟伦. “三道红线”监管背景下新城控股集团融资方案研究[D].兰州理工</w:t>
      </w:r>
    </w:p>
    <w:p w14:paraId="457FC833" w14:textId="6B4C931C" w:rsidR="00B44D07" w:rsidRPr="00C54BFC" w:rsidRDefault="00B44D07" w:rsidP="00886A06">
      <w:pPr>
        <w:ind w:left="720" w:hangingChars="300" w:hanging="720"/>
        <w:rPr>
          <w:rFonts w:ascii="宋体" w:eastAsia="宋体" w:hAnsi="宋体"/>
          <w:sz w:val="24"/>
          <w:szCs w:val="24"/>
        </w:rPr>
      </w:pPr>
      <w:r w:rsidRPr="00C54BFC">
        <w:rPr>
          <w:rFonts w:ascii="宋体" w:eastAsia="宋体" w:hAnsi="宋体"/>
          <w:sz w:val="24"/>
          <w:szCs w:val="24"/>
        </w:rPr>
        <w:t>大学,2021.</w:t>
      </w:r>
    </w:p>
    <w:p w14:paraId="6CAEAB4E" w14:textId="77777777" w:rsidR="00886A06" w:rsidRDefault="00B44D07" w:rsidP="00886A06">
      <w:pPr>
        <w:ind w:left="720" w:hangingChars="300" w:hanging="720"/>
        <w:rPr>
          <w:rFonts w:ascii="宋体" w:eastAsia="宋体" w:hAnsi="宋体"/>
          <w:sz w:val="24"/>
          <w:szCs w:val="24"/>
        </w:rPr>
      </w:pPr>
      <w:r w:rsidRPr="00C54BFC">
        <w:rPr>
          <w:rFonts w:ascii="宋体" w:eastAsia="宋体" w:hAnsi="宋体"/>
          <w:sz w:val="24"/>
          <w:szCs w:val="24"/>
        </w:rPr>
        <w:t>[1</w:t>
      </w:r>
      <w:r w:rsidR="00C54BFC" w:rsidRPr="00C54BFC">
        <w:rPr>
          <w:rFonts w:ascii="宋体" w:eastAsia="宋体" w:hAnsi="宋体"/>
          <w:sz w:val="24"/>
          <w:szCs w:val="24"/>
        </w:rPr>
        <w:t>4</w:t>
      </w:r>
      <w:r w:rsidRPr="00C54BFC">
        <w:rPr>
          <w:rFonts w:ascii="宋体" w:eastAsia="宋体" w:hAnsi="宋体"/>
          <w:sz w:val="24"/>
          <w:szCs w:val="24"/>
        </w:rPr>
        <w:t>]张怡媛.融资新规对房地产企业的影响及应对策略研究[J].质量与市</w:t>
      </w:r>
    </w:p>
    <w:p w14:paraId="3E27F618" w14:textId="6EEBF1F8" w:rsidR="00B44D07" w:rsidRPr="00C54BFC" w:rsidRDefault="00B44D07" w:rsidP="00886A06">
      <w:pPr>
        <w:ind w:left="720" w:hangingChars="300" w:hanging="720"/>
        <w:rPr>
          <w:rFonts w:ascii="宋体" w:eastAsia="宋体" w:hAnsi="宋体"/>
          <w:sz w:val="24"/>
          <w:szCs w:val="24"/>
        </w:rPr>
      </w:pPr>
      <w:r w:rsidRPr="00C54BFC">
        <w:rPr>
          <w:rFonts w:ascii="宋体" w:eastAsia="宋体" w:hAnsi="宋体"/>
          <w:sz w:val="24"/>
          <w:szCs w:val="24"/>
        </w:rPr>
        <w:t>场,2021(24)</w:t>
      </w:r>
    </w:p>
    <w:p w14:paraId="7A0A44FB" w14:textId="790D94AC" w:rsidR="00886A06" w:rsidRDefault="00B44D07" w:rsidP="00886A06">
      <w:pPr>
        <w:ind w:left="720" w:hangingChars="300" w:hanging="720"/>
        <w:rPr>
          <w:rFonts w:ascii="宋体" w:eastAsia="宋体" w:hAnsi="宋体"/>
          <w:sz w:val="24"/>
          <w:szCs w:val="24"/>
        </w:rPr>
      </w:pPr>
      <w:r w:rsidRPr="00C54BFC">
        <w:rPr>
          <w:rFonts w:ascii="宋体" w:eastAsia="宋体" w:hAnsi="宋体"/>
          <w:sz w:val="24"/>
          <w:szCs w:val="24"/>
        </w:rPr>
        <w:t>[1</w:t>
      </w:r>
      <w:r w:rsidR="00C54BFC" w:rsidRPr="00C54BFC">
        <w:rPr>
          <w:rFonts w:ascii="宋体" w:eastAsia="宋体" w:hAnsi="宋体"/>
          <w:sz w:val="24"/>
          <w:szCs w:val="24"/>
        </w:rPr>
        <w:t>5</w:t>
      </w:r>
      <w:r w:rsidRPr="00C54BFC">
        <w:rPr>
          <w:rFonts w:ascii="宋体" w:eastAsia="宋体" w:hAnsi="宋体"/>
          <w:sz w:val="24"/>
          <w:szCs w:val="24"/>
        </w:rPr>
        <w:t>]卢玮哲.关于商业银行对房地产企业授信评估的财务风险识别[J].商业经</w:t>
      </w:r>
    </w:p>
    <w:p w14:paraId="7EB42F4D" w14:textId="77055966" w:rsidR="00B44D07" w:rsidRPr="00C54BFC" w:rsidRDefault="00B44D07" w:rsidP="00886A06">
      <w:pPr>
        <w:rPr>
          <w:rFonts w:ascii="宋体" w:eastAsia="宋体" w:hAnsi="宋体"/>
          <w:sz w:val="24"/>
          <w:szCs w:val="24"/>
        </w:rPr>
      </w:pPr>
      <w:r w:rsidRPr="00C54BFC">
        <w:rPr>
          <w:rFonts w:ascii="宋体" w:eastAsia="宋体" w:hAnsi="宋体"/>
          <w:sz w:val="24"/>
          <w:szCs w:val="24"/>
        </w:rPr>
        <w:t>济,2022(04)</w:t>
      </w:r>
    </w:p>
    <w:p w14:paraId="34A01584" w14:textId="77777777" w:rsidR="00886A06" w:rsidRDefault="00B44D07" w:rsidP="00886A06">
      <w:pPr>
        <w:ind w:left="720" w:hangingChars="300" w:hanging="720"/>
        <w:rPr>
          <w:rFonts w:ascii="宋体" w:eastAsia="宋体" w:hAnsi="宋体"/>
          <w:sz w:val="24"/>
          <w:szCs w:val="24"/>
        </w:rPr>
      </w:pPr>
      <w:r w:rsidRPr="00C54BFC">
        <w:rPr>
          <w:rFonts w:ascii="宋体" w:eastAsia="宋体" w:hAnsi="宋体"/>
          <w:sz w:val="24"/>
          <w:szCs w:val="24"/>
        </w:rPr>
        <w:t>[1</w:t>
      </w:r>
      <w:r w:rsidR="00C54BFC" w:rsidRPr="00C54BFC">
        <w:rPr>
          <w:rFonts w:ascii="宋体" w:eastAsia="宋体" w:hAnsi="宋体"/>
          <w:sz w:val="24"/>
          <w:szCs w:val="24"/>
        </w:rPr>
        <w:t>6</w:t>
      </w:r>
      <w:r w:rsidRPr="00C54BFC">
        <w:rPr>
          <w:rFonts w:ascii="宋体" w:eastAsia="宋体" w:hAnsi="宋体"/>
          <w:sz w:val="24"/>
          <w:szCs w:val="24"/>
        </w:rPr>
        <w:t>]张鹏晖.房地产企业预售房款会计核算存在的问题和措施分析[J].商</w:t>
      </w:r>
    </w:p>
    <w:p w14:paraId="2F205160" w14:textId="190D7722" w:rsidR="00B44D07" w:rsidRPr="00C54BFC" w:rsidRDefault="00B44D07" w:rsidP="00886A06">
      <w:pPr>
        <w:ind w:left="720" w:hangingChars="300" w:hanging="720"/>
        <w:rPr>
          <w:rFonts w:ascii="宋体" w:eastAsia="宋体" w:hAnsi="宋体"/>
          <w:sz w:val="24"/>
          <w:szCs w:val="24"/>
        </w:rPr>
      </w:pPr>
      <w:r w:rsidRPr="00C54BFC">
        <w:rPr>
          <w:rFonts w:ascii="宋体" w:eastAsia="宋体" w:hAnsi="宋体"/>
          <w:sz w:val="24"/>
          <w:szCs w:val="24"/>
        </w:rPr>
        <w:t>讯,2021(22)</w:t>
      </w:r>
    </w:p>
    <w:p w14:paraId="76997FE5" w14:textId="77777777" w:rsidR="00886A06" w:rsidRDefault="00B44D07" w:rsidP="00886A06">
      <w:pPr>
        <w:ind w:left="720" w:hangingChars="300" w:hanging="720"/>
        <w:rPr>
          <w:rFonts w:ascii="宋体" w:eastAsia="宋体" w:hAnsi="宋体"/>
          <w:sz w:val="24"/>
          <w:szCs w:val="24"/>
        </w:rPr>
      </w:pPr>
      <w:bookmarkStart w:id="55" w:name="_Hlk103642721"/>
      <w:r w:rsidRPr="00C54BFC">
        <w:rPr>
          <w:rFonts w:ascii="宋体" w:eastAsia="宋体" w:hAnsi="宋体"/>
          <w:sz w:val="24"/>
          <w:szCs w:val="24"/>
        </w:rPr>
        <w:t>[1</w:t>
      </w:r>
      <w:r w:rsidR="00C54BFC" w:rsidRPr="00C54BFC">
        <w:rPr>
          <w:rFonts w:ascii="宋体" w:eastAsia="宋体" w:hAnsi="宋体"/>
          <w:sz w:val="24"/>
          <w:szCs w:val="24"/>
        </w:rPr>
        <w:t>7</w:t>
      </w:r>
      <w:r w:rsidRPr="00C54BFC">
        <w:rPr>
          <w:rFonts w:ascii="宋体" w:eastAsia="宋体" w:hAnsi="宋体"/>
          <w:sz w:val="24"/>
          <w:szCs w:val="24"/>
        </w:rPr>
        <w:t>]</w:t>
      </w:r>
      <w:bookmarkEnd w:id="55"/>
      <w:r w:rsidRPr="00C54BFC">
        <w:rPr>
          <w:rFonts w:ascii="宋体" w:eastAsia="宋体" w:hAnsi="宋体"/>
          <w:sz w:val="24"/>
          <w:szCs w:val="24"/>
        </w:rPr>
        <w:t>王丽新. 28家房企逾3万亿元有息负债待偿  现金短债比逼近红线的公司</w:t>
      </w:r>
    </w:p>
    <w:p w14:paraId="357A0E7C" w14:textId="7C662B56" w:rsidR="00B44D07" w:rsidRPr="00C54BFC" w:rsidRDefault="00B44D07" w:rsidP="00886A06">
      <w:pPr>
        <w:ind w:left="720" w:hangingChars="300" w:hanging="720"/>
        <w:rPr>
          <w:rFonts w:ascii="宋体" w:eastAsia="宋体" w:hAnsi="宋体"/>
          <w:sz w:val="24"/>
          <w:szCs w:val="24"/>
        </w:rPr>
      </w:pPr>
      <w:r w:rsidRPr="00C54BFC">
        <w:rPr>
          <w:rFonts w:ascii="宋体" w:eastAsia="宋体" w:hAnsi="宋体"/>
          <w:sz w:val="24"/>
          <w:szCs w:val="24"/>
        </w:rPr>
        <w:t>该如何应对？[</w:t>
      </w:r>
      <w:r w:rsidR="00C54BFC" w:rsidRPr="00C54BFC">
        <w:rPr>
          <w:rFonts w:ascii="宋体" w:eastAsia="宋体" w:hAnsi="宋体"/>
          <w:sz w:val="24"/>
          <w:szCs w:val="24"/>
        </w:rPr>
        <w:t>N</w:t>
      </w:r>
      <w:r w:rsidRPr="00C54BFC">
        <w:rPr>
          <w:rFonts w:ascii="宋体" w:eastAsia="宋体" w:hAnsi="宋体"/>
          <w:sz w:val="24"/>
          <w:szCs w:val="24"/>
        </w:rPr>
        <w:t>]. 证券日报,2022-04-13(A03)</w:t>
      </w:r>
    </w:p>
    <w:p w14:paraId="4323C8C3" w14:textId="79CC658E" w:rsidR="00301C35" w:rsidRPr="00A33A7F" w:rsidRDefault="00C54BFC" w:rsidP="00886A06">
      <w:pPr>
        <w:jc w:val="left"/>
        <w:rPr>
          <w:rFonts w:ascii="Times New Roman" w:eastAsia="宋体" w:hAnsi="Times New Roman" w:cs="Times New Roman"/>
          <w:color w:val="222222"/>
          <w:sz w:val="24"/>
          <w:szCs w:val="24"/>
          <w:shd w:val="clear" w:color="auto" w:fill="FFFFFF"/>
        </w:rPr>
      </w:pPr>
      <w:r w:rsidRPr="00C54BFC">
        <w:rPr>
          <w:rFonts w:ascii="宋体" w:eastAsia="宋体" w:hAnsi="宋体"/>
          <w:sz w:val="24"/>
          <w:szCs w:val="24"/>
        </w:rPr>
        <w:t>[1</w:t>
      </w:r>
      <w:r w:rsidR="0086528B">
        <w:rPr>
          <w:rFonts w:ascii="宋体" w:eastAsia="宋体" w:hAnsi="宋体"/>
          <w:sz w:val="24"/>
          <w:szCs w:val="24"/>
        </w:rPr>
        <w:t>8</w:t>
      </w:r>
      <w:r w:rsidRPr="00C54BFC">
        <w:rPr>
          <w:rFonts w:ascii="宋体" w:eastAsia="宋体" w:hAnsi="宋体"/>
          <w:sz w:val="24"/>
          <w:szCs w:val="24"/>
        </w:rPr>
        <w:t>]</w:t>
      </w:r>
      <w:r w:rsidR="0086528B">
        <w:rPr>
          <w:rFonts w:ascii="宋体" w:eastAsia="宋体" w:hAnsi="宋体"/>
          <w:sz w:val="24"/>
          <w:szCs w:val="24"/>
        </w:rPr>
        <w:t xml:space="preserve"> </w:t>
      </w:r>
      <w:r w:rsidR="00301C35" w:rsidRPr="00A33A7F">
        <w:rPr>
          <w:rFonts w:ascii="Times New Roman" w:eastAsia="宋体" w:hAnsi="Times New Roman" w:cs="Times New Roman"/>
          <w:color w:val="222222"/>
          <w:sz w:val="24"/>
          <w:szCs w:val="24"/>
          <w:shd w:val="clear" w:color="auto" w:fill="FFFFFF"/>
        </w:rPr>
        <w:t>Masulis R W, Wang C, Xie F. Globalizing the boardroom—The effects of foreign directors on corporate governance and firm performance[J]. Journal of Accounting and Economics, 2012, 53(3)</w:t>
      </w:r>
    </w:p>
    <w:p w14:paraId="650860F8" w14:textId="3160F20C" w:rsidR="00301C35" w:rsidRPr="00A33A7F" w:rsidRDefault="00C54BFC" w:rsidP="00886A06">
      <w:pPr>
        <w:jc w:val="left"/>
        <w:rPr>
          <w:rFonts w:ascii="Times New Roman" w:eastAsia="宋体" w:hAnsi="Times New Roman" w:cs="Times New Roman"/>
          <w:color w:val="222222"/>
          <w:sz w:val="24"/>
          <w:szCs w:val="24"/>
          <w:shd w:val="clear" w:color="auto" w:fill="FFFFFF"/>
        </w:rPr>
      </w:pPr>
      <w:r w:rsidRPr="00C54BFC">
        <w:rPr>
          <w:rFonts w:ascii="宋体" w:eastAsia="宋体" w:hAnsi="宋体"/>
          <w:sz w:val="24"/>
          <w:szCs w:val="24"/>
        </w:rPr>
        <w:t>[1</w:t>
      </w:r>
      <w:r w:rsidR="0086528B">
        <w:rPr>
          <w:rFonts w:ascii="宋体" w:eastAsia="宋体" w:hAnsi="宋体"/>
          <w:sz w:val="24"/>
          <w:szCs w:val="24"/>
        </w:rPr>
        <w:t>9</w:t>
      </w:r>
      <w:r w:rsidRPr="00C54BFC">
        <w:rPr>
          <w:rFonts w:ascii="宋体" w:eastAsia="宋体" w:hAnsi="宋体"/>
          <w:sz w:val="24"/>
          <w:szCs w:val="24"/>
        </w:rPr>
        <w:t>]</w:t>
      </w:r>
      <w:r w:rsidR="00301C35" w:rsidRPr="00A33A7F">
        <w:rPr>
          <w:rFonts w:ascii="Times New Roman" w:eastAsia="宋体" w:hAnsi="Times New Roman" w:cs="Times New Roman"/>
          <w:color w:val="222222"/>
          <w:sz w:val="24"/>
          <w:szCs w:val="24"/>
          <w:shd w:val="clear" w:color="auto" w:fill="FFFFFF"/>
        </w:rPr>
        <w:t>Korajczyk R A, Levy A. Capital structure choice: macroeconomic conditions and financial constraints[J]. Journal of financial economics, 2003, 68(1)</w:t>
      </w:r>
    </w:p>
    <w:p w14:paraId="52A094F6" w14:textId="291C8733" w:rsidR="00301C35" w:rsidRPr="00C54BFC" w:rsidRDefault="00C54BFC" w:rsidP="00886A06">
      <w:pPr>
        <w:jc w:val="left"/>
        <w:rPr>
          <w:rFonts w:ascii="宋体" w:eastAsia="宋体" w:hAnsi="宋体" w:cs="Arial"/>
          <w:color w:val="222222"/>
          <w:sz w:val="24"/>
          <w:szCs w:val="24"/>
          <w:shd w:val="clear" w:color="auto" w:fill="FFFFFF"/>
        </w:rPr>
      </w:pPr>
      <w:r w:rsidRPr="00C54BFC">
        <w:rPr>
          <w:rFonts w:ascii="宋体" w:eastAsia="宋体" w:hAnsi="宋体"/>
          <w:sz w:val="24"/>
          <w:szCs w:val="24"/>
        </w:rPr>
        <w:t>[</w:t>
      </w:r>
      <w:r w:rsidR="0086528B">
        <w:rPr>
          <w:rFonts w:ascii="宋体" w:eastAsia="宋体" w:hAnsi="宋体"/>
          <w:sz w:val="24"/>
          <w:szCs w:val="24"/>
        </w:rPr>
        <w:t>20</w:t>
      </w:r>
      <w:r w:rsidRPr="00C54BFC">
        <w:rPr>
          <w:rFonts w:ascii="宋体" w:eastAsia="宋体" w:hAnsi="宋体"/>
          <w:sz w:val="24"/>
          <w:szCs w:val="24"/>
        </w:rPr>
        <w:t>]</w:t>
      </w:r>
      <w:r w:rsidR="00301C35" w:rsidRPr="00A33A7F">
        <w:rPr>
          <w:rFonts w:ascii="Times New Roman" w:eastAsia="宋体" w:hAnsi="Times New Roman" w:cs="Times New Roman"/>
          <w:color w:val="222222"/>
          <w:sz w:val="24"/>
          <w:szCs w:val="24"/>
          <w:shd w:val="clear" w:color="auto" w:fill="FFFFFF"/>
        </w:rPr>
        <w:t>Wenzel P, Daiber A, Oelze M, et al. Mechanisms underlying recoupling of eNOS by HMG-CoA reductase inhibition in a rat model of streptozotocin-induced diabetes mellitus[J]. Atherosclerosis, 2008, 198(1): 65-76.</w:t>
      </w:r>
    </w:p>
    <w:p w14:paraId="53F886F9" w14:textId="647EFC8B" w:rsidR="00C54BFC" w:rsidRDefault="00C54BFC" w:rsidP="00886A06">
      <w:pPr>
        <w:jc w:val="left"/>
        <w:rPr>
          <w:rFonts w:ascii="Times New Roman" w:eastAsia="宋体" w:hAnsi="Times New Roman" w:cs="Times New Roman"/>
          <w:color w:val="222222"/>
          <w:sz w:val="24"/>
          <w:szCs w:val="24"/>
          <w:shd w:val="clear" w:color="auto" w:fill="FFFFFF"/>
        </w:rPr>
      </w:pPr>
      <w:r w:rsidRPr="00C54BFC">
        <w:rPr>
          <w:rFonts w:ascii="宋体" w:eastAsia="宋体" w:hAnsi="宋体"/>
          <w:sz w:val="24"/>
          <w:szCs w:val="24"/>
        </w:rPr>
        <w:t>[</w:t>
      </w:r>
      <w:r w:rsidR="0086528B">
        <w:rPr>
          <w:rFonts w:ascii="宋体" w:eastAsia="宋体" w:hAnsi="宋体"/>
          <w:sz w:val="24"/>
          <w:szCs w:val="24"/>
        </w:rPr>
        <w:t>21</w:t>
      </w:r>
      <w:r w:rsidRPr="00C54BFC">
        <w:rPr>
          <w:rFonts w:ascii="宋体" w:eastAsia="宋体" w:hAnsi="宋体"/>
          <w:sz w:val="24"/>
          <w:szCs w:val="24"/>
        </w:rPr>
        <w:t>]</w:t>
      </w:r>
      <w:r w:rsidRPr="00A33A7F">
        <w:rPr>
          <w:rFonts w:ascii="Times New Roman" w:eastAsia="宋体" w:hAnsi="Times New Roman" w:cs="Times New Roman"/>
          <w:color w:val="222222"/>
          <w:sz w:val="24"/>
          <w:szCs w:val="24"/>
          <w:shd w:val="clear" w:color="auto" w:fill="FFFFFF"/>
        </w:rPr>
        <w:t>Korajczyk R A, Levy A. Capital structure choice: macroeconomic conditions and financial constraints[J]. Journal of financial economics, 2003, 68(1)</w:t>
      </w:r>
    </w:p>
    <w:p w14:paraId="76AB5B60" w14:textId="26DD6DE2" w:rsidR="00A33A7F" w:rsidRDefault="00A33A7F" w:rsidP="00886A06">
      <w:pPr>
        <w:jc w:val="left"/>
        <w:rPr>
          <w:rFonts w:ascii="Times New Roman" w:eastAsia="宋体" w:hAnsi="Times New Roman" w:cs="Times New Roman"/>
          <w:color w:val="222222"/>
          <w:sz w:val="24"/>
          <w:szCs w:val="24"/>
          <w:shd w:val="clear" w:color="auto" w:fill="FFFFFF"/>
        </w:rPr>
      </w:pPr>
    </w:p>
    <w:p w14:paraId="17CD4242" w14:textId="38739892" w:rsidR="00A33A7F" w:rsidRDefault="00A33A7F" w:rsidP="00886A06">
      <w:pPr>
        <w:jc w:val="left"/>
        <w:rPr>
          <w:rFonts w:ascii="Times New Roman" w:eastAsia="宋体" w:hAnsi="Times New Roman" w:cs="Times New Roman"/>
          <w:color w:val="222222"/>
          <w:sz w:val="24"/>
          <w:szCs w:val="24"/>
          <w:shd w:val="clear" w:color="auto" w:fill="FFFFFF"/>
        </w:rPr>
      </w:pPr>
    </w:p>
    <w:p w14:paraId="45B0F487" w14:textId="5502BAC3" w:rsidR="00A33A7F" w:rsidRDefault="00A33A7F" w:rsidP="00A33A7F">
      <w:pPr>
        <w:pStyle w:val="1"/>
        <w:jc w:val="center"/>
      </w:pPr>
      <w:r>
        <w:rPr>
          <w:rFonts w:hint="eastAsia"/>
        </w:rPr>
        <w:lastRenderedPageBreak/>
        <w:t>致谢</w:t>
      </w:r>
    </w:p>
    <w:p w14:paraId="0383C6FD" w14:textId="14898007" w:rsidR="00A33A7F" w:rsidRPr="00A33A7F" w:rsidRDefault="00A33A7F" w:rsidP="00A33A7F">
      <w:pPr>
        <w:spacing w:line="480" w:lineRule="auto"/>
        <w:ind w:firstLine="420"/>
        <w:rPr>
          <w:rFonts w:ascii="等线" w:eastAsia="宋体" w:hAnsi="等线" w:cs="Times New Roman"/>
          <w:sz w:val="24"/>
          <w:szCs w:val="24"/>
        </w:rPr>
      </w:pPr>
      <w:r w:rsidRPr="00A33A7F">
        <w:rPr>
          <w:rFonts w:ascii="宋体" w:eastAsia="宋体" w:hAnsi="宋体" w:cs="Times New Roman" w:hint="eastAsia"/>
          <w:sz w:val="24"/>
          <w:szCs w:val="24"/>
        </w:rPr>
        <w:t>四年的大学</w:t>
      </w:r>
      <w:r w:rsidR="00FF6F68">
        <w:rPr>
          <w:rFonts w:ascii="宋体" w:eastAsia="宋体" w:hAnsi="宋体" w:cs="Times New Roman" w:hint="eastAsia"/>
          <w:sz w:val="24"/>
          <w:szCs w:val="24"/>
        </w:rPr>
        <w:t>时光充实而又短暂</w:t>
      </w:r>
      <w:r w:rsidRPr="00A33A7F">
        <w:rPr>
          <w:rFonts w:ascii="宋体" w:eastAsia="宋体" w:hAnsi="宋体" w:cs="Times New Roman" w:hint="eastAsia"/>
          <w:sz w:val="24"/>
          <w:szCs w:val="24"/>
        </w:rPr>
        <w:t>，</w:t>
      </w:r>
      <w:r w:rsidR="00FF6F68">
        <w:rPr>
          <w:rFonts w:ascii="宋体" w:eastAsia="宋体" w:hAnsi="宋体" w:cs="Times New Roman" w:hint="eastAsia"/>
          <w:sz w:val="24"/>
          <w:szCs w:val="24"/>
        </w:rPr>
        <w:t>值此</w:t>
      </w:r>
      <w:r w:rsidRPr="00A33A7F">
        <w:rPr>
          <w:rFonts w:ascii="宋体" w:eastAsia="宋体" w:hAnsi="宋体" w:cs="Times New Roman" w:hint="eastAsia"/>
          <w:sz w:val="24"/>
          <w:szCs w:val="24"/>
        </w:rPr>
        <w:t>毕业之际，</w:t>
      </w:r>
      <w:r w:rsidR="00FF6F68">
        <w:rPr>
          <w:rFonts w:ascii="宋体" w:eastAsia="宋体" w:hAnsi="宋体" w:cs="Times New Roman" w:hint="eastAsia"/>
          <w:sz w:val="24"/>
          <w:szCs w:val="24"/>
        </w:rPr>
        <w:t>四年的耕耘</w:t>
      </w:r>
      <w:r w:rsidRPr="00A33A7F">
        <w:rPr>
          <w:rFonts w:ascii="宋体" w:eastAsia="宋体" w:hAnsi="宋体" w:cs="Times New Roman" w:hint="eastAsia"/>
          <w:sz w:val="24"/>
          <w:szCs w:val="24"/>
        </w:rPr>
        <w:t>化作毕业成果，由此来检验我在大学阶段的</w:t>
      </w:r>
      <w:r w:rsidR="00FF6F68">
        <w:rPr>
          <w:rFonts w:ascii="宋体" w:eastAsia="宋体" w:hAnsi="宋体" w:cs="Times New Roman" w:hint="eastAsia"/>
          <w:sz w:val="24"/>
          <w:szCs w:val="24"/>
        </w:rPr>
        <w:t>学习成果</w:t>
      </w:r>
      <w:r w:rsidRPr="00A33A7F">
        <w:rPr>
          <w:rFonts w:ascii="宋体" w:eastAsia="宋体" w:hAnsi="宋体" w:cs="Times New Roman" w:hint="eastAsia"/>
          <w:sz w:val="24"/>
          <w:szCs w:val="24"/>
        </w:rPr>
        <w:t>。</w:t>
      </w:r>
    </w:p>
    <w:p w14:paraId="7175792D" w14:textId="01FE6243" w:rsidR="00A33A7F" w:rsidRPr="00A33A7F" w:rsidRDefault="00A33A7F" w:rsidP="00A33A7F">
      <w:pPr>
        <w:spacing w:line="480" w:lineRule="auto"/>
        <w:ind w:firstLine="420"/>
        <w:rPr>
          <w:rFonts w:ascii="等线" w:eastAsia="宋体" w:hAnsi="等线" w:cs="Times New Roman" w:hint="eastAsia"/>
          <w:sz w:val="24"/>
          <w:szCs w:val="24"/>
        </w:rPr>
      </w:pPr>
      <w:r w:rsidRPr="00A33A7F">
        <w:rPr>
          <w:rFonts w:ascii="宋体" w:eastAsia="宋体" w:hAnsi="宋体" w:cs="Times New Roman" w:hint="eastAsia"/>
          <w:sz w:val="24"/>
          <w:szCs w:val="24"/>
        </w:rPr>
        <w:t>首先，感谢上海</w:t>
      </w:r>
      <w:r w:rsidR="00FF6F68">
        <w:rPr>
          <w:rFonts w:ascii="宋体" w:eastAsia="宋体" w:hAnsi="宋体" w:cs="Times New Roman" w:hint="eastAsia"/>
          <w:sz w:val="24"/>
          <w:szCs w:val="24"/>
        </w:rPr>
        <w:t>大学管理学院</w:t>
      </w:r>
      <w:r w:rsidRPr="00A33A7F">
        <w:rPr>
          <w:rFonts w:ascii="宋体" w:eastAsia="宋体" w:hAnsi="宋体" w:cs="Times New Roman" w:hint="eastAsia"/>
          <w:sz w:val="24"/>
          <w:szCs w:val="24"/>
        </w:rPr>
        <w:t>提供的学习资源和学习</w:t>
      </w:r>
      <w:r w:rsidR="00FF6F68">
        <w:rPr>
          <w:rFonts w:ascii="宋体" w:eastAsia="宋体" w:hAnsi="宋体" w:cs="Times New Roman" w:hint="eastAsia"/>
          <w:sz w:val="24"/>
          <w:szCs w:val="24"/>
        </w:rPr>
        <w:t>氛围</w:t>
      </w:r>
      <w:r w:rsidRPr="00A33A7F">
        <w:rPr>
          <w:rFonts w:ascii="宋体" w:eastAsia="宋体" w:hAnsi="宋体" w:cs="Times New Roman" w:hint="eastAsia"/>
          <w:sz w:val="24"/>
          <w:szCs w:val="24"/>
        </w:rPr>
        <w:t>，在</w:t>
      </w:r>
      <w:r w:rsidR="00FF6F68">
        <w:rPr>
          <w:rFonts w:ascii="宋体" w:eastAsia="宋体" w:hAnsi="宋体" w:cs="Times New Roman" w:hint="eastAsia"/>
          <w:sz w:val="24"/>
          <w:szCs w:val="24"/>
        </w:rPr>
        <w:t>四年的求学生涯</w:t>
      </w:r>
      <w:r w:rsidRPr="00A33A7F">
        <w:rPr>
          <w:rFonts w:ascii="宋体" w:eastAsia="宋体" w:hAnsi="宋体" w:cs="Times New Roman" w:hint="eastAsia"/>
          <w:sz w:val="24"/>
          <w:szCs w:val="24"/>
        </w:rPr>
        <w:t>中培养了我</w:t>
      </w:r>
      <w:r w:rsidR="00FF6F68">
        <w:rPr>
          <w:rFonts w:ascii="宋体" w:eastAsia="宋体" w:hAnsi="宋体" w:cs="Times New Roman" w:hint="eastAsia"/>
          <w:sz w:val="24"/>
          <w:szCs w:val="24"/>
        </w:rPr>
        <w:t>高效的学习能力</w:t>
      </w:r>
      <w:r w:rsidRPr="00A33A7F">
        <w:rPr>
          <w:rFonts w:ascii="宋体" w:eastAsia="宋体" w:hAnsi="宋体" w:cs="Times New Roman" w:hint="eastAsia"/>
          <w:sz w:val="24"/>
          <w:szCs w:val="24"/>
        </w:rPr>
        <w:t>。毕业后走出校门，我也会谨遵校训“自强不息，先天下之忧而忧，后天下之乐而乐”。</w:t>
      </w:r>
    </w:p>
    <w:p w14:paraId="42B6A610" w14:textId="3A5295DC" w:rsidR="00A33A7F" w:rsidRDefault="00A33A7F" w:rsidP="00A33A7F">
      <w:pPr>
        <w:spacing w:line="480" w:lineRule="auto"/>
        <w:ind w:firstLine="420"/>
        <w:rPr>
          <w:rFonts w:ascii="宋体" w:eastAsia="宋体" w:hAnsi="宋体" w:cs="Times New Roman"/>
          <w:sz w:val="24"/>
          <w:szCs w:val="24"/>
        </w:rPr>
      </w:pPr>
      <w:r w:rsidRPr="00A33A7F">
        <w:rPr>
          <w:rFonts w:ascii="等线" w:eastAsia="宋体" w:hAnsi="等线" w:cs="Times New Roman" w:hint="eastAsia"/>
          <w:sz w:val="24"/>
          <w:szCs w:val="24"/>
        </w:rPr>
        <w:t xml:space="preserve"> </w:t>
      </w:r>
      <w:r w:rsidRPr="00A33A7F">
        <w:rPr>
          <w:rFonts w:ascii="宋体" w:eastAsia="宋体" w:hAnsi="宋体" w:cs="Times New Roman" w:hint="eastAsia"/>
          <w:sz w:val="24"/>
          <w:szCs w:val="24"/>
        </w:rPr>
        <w:t>其次，十分感谢我的导师</w:t>
      </w:r>
      <w:r w:rsidR="00FF6F68">
        <w:rPr>
          <w:rFonts w:ascii="宋体" w:eastAsia="宋体" w:hAnsi="宋体" w:cs="Times New Roman" w:hint="eastAsia"/>
          <w:sz w:val="24"/>
          <w:szCs w:val="24"/>
        </w:rPr>
        <w:t>吴建刚</w:t>
      </w:r>
      <w:r w:rsidRPr="00A33A7F">
        <w:rPr>
          <w:rFonts w:ascii="宋体" w:eastAsia="宋体" w:hAnsi="宋体" w:cs="Times New Roman" w:hint="eastAsia"/>
          <w:sz w:val="24"/>
          <w:szCs w:val="24"/>
        </w:rPr>
        <w:t>老师。</w:t>
      </w:r>
      <w:r w:rsidR="00FF6F68">
        <w:rPr>
          <w:rFonts w:ascii="宋体" w:eastAsia="宋体" w:hAnsi="宋体" w:cs="Times New Roman" w:hint="eastAsia"/>
          <w:sz w:val="24"/>
          <w:szCs w:val="24"/>
        </w:rPr>
        <w:t>在我刚着手写论文之前，吴建刚老师就提前对我的想法作出了指导，并且在初期的研究方向上为我指明了方案。后续的论文进程中，由于新冠疫情的影响，学校的学习生活较往常多了很多的不便。吴老师不仅在学术上为我解答了疑惑，还在生活中为我们提供了很大的便利，真正做到了亦师亦友。</w:t>
      </w:r>
      <w:r w:rsidRPr="00A33A7F">
        <w:rPr>
          <w:rFonts w:ascii="宋体" w:eastAsia="宋体" w:hAnsi="宋体" w:cs="Times New Roman" w:hint="eastAsia"/>
          <w:sz w:val="24"/>
          <w:szCs w:val="24"/>
        </w:rPr>
        <w:t>在论文撰写过程中，老师认真负责，</w:t>
      </w:r>
      <w:r w:rsidR="00F32260">
        <w:rPr>
          <w:rFonts w:ascii="宋体" w:eastAsia="宋体" w:hAnsi="宋体" w:cs="Times New Roman" w:hint="eastAsia"/>
          <w:sz w:val="24"/>
          <w:szCs w:val="24"/>
        </w:rPr>
        <w:t>不厌其烦的向我解释实证研究相关的理论知识</w:t>
      </w:r>
      <w:r w:rsidRPr="00A33A7F">
        <w:rPr>
          <w:rFonts w:ascii="宋体" w:eastAsia="宋体" w:hAnsi="宋体" w:cs="Times New Roman" w:hint="eastAsia"/>
          <w:sz w:val="24"/>
          <w:szCs w:val="24"/>
        </w:rPr>
        <w:t>，并认真给出建议。在论文修改中，老师细致严谨，指出我的小问题，即使是一个标点也难逃法眼。在老师的指导下，我收获良多。不仅是专业论文的规范写作，还有对待工作认真守时的态度。在以后的工作中，我将会将这种态度保持下去，展现上大人的优良风采。在此，再次感谢我的导师，感谢导师在这段时间的悉心指导。</w:t>
      </w:r>
    </w:p>
    <w:p w14:paraId="0D4BE02F" w14:textId="185AA496" w:rsidR="00F32260" w:rsidRDefault="00F32260" w:rsidP="00A33A7F">
      <w:pPr>
        <w:spacing w:line="480" w:lineRule="auto"/>
        <w:ind w:firstLine="420"/>
        <w:rPr>
          <w:rFonts w:ascii="宋体" w:eastAsia="宋体" w:hAnsi="宋体" w:cs="Times New Roman"/>
          <w:sz w:val="24"/>
          <w:szCs w:val="24"/>
        </w:rPr>
      </w:pPr>
      <w:r>
        <w:rPr>
          <w:rFonts w:ascii="宋体" w:eastAsia="宋体" w:hAnsi="宋体" w:cs="Times New Roman" w:hint="eastAsia"/>
          <w:sz w:val="24"/>
          <w:szCs w:val="24"/>
        </w:rPr>
        <w:t>最后，作为一名退伍大学生士兵我想要对上海大学武装部道一声感谢。两年部队生活带给我了坚毅的性格和博大的胸襟，退伍复学后，武装部的全体老师能及时的为我们解决学习生活面的困难，带给我了很多温暖和感动，在以后的学习生活中我将继续发扬退伍学生的优良品质。</w:t>
      </w:r>
    </w:p>
    <w:p w14:paraId="6868CDA8" w14:textId="165951B1" w:rsidR="00F32260" w:rsidRDefault="00F32260" w:rsidP="00A33A7F">
      <w:pPr>
        <w:spacing w:line="480" w:lineRule="auto"/>
        <w:ind w:firstLine="420"/>
        <w:rPr>
          <w:rFonts w:ascii="宋体" w:eastAsia="宋体" w:hAnsi="宋体" w:cs="Times New Roman" w:hint="eastAsia"/>
          <w:sz w:val="24"/>
          <w:szCs w:val="24"/>
        </w:rPr>
      </w:pPr>
      <w:r>
        <w:rPr>
          <w:rFonts w:ascii="宋体" w:eastAsia="宋体" w:hAnsi="宋体" w:cs="Times New Roman" w:hint="eastAsia"/>
          <w:sz w:val="24"/>
          <w:szCs w:val="24"/>
        </w:rPr>
        <w:t>感谢阅读此文的老师们，与你们相遇十分荣幸！</w:t>
      </w:r>
    </w:p>
    <w:p w14:paraId="740D913F" w14:textId="68AC7006" w:rsidR="00A33A7F" w:rsidRPr="00A33A7F" w:rsidRDefault="00A33A7F" w:rsidP="00A33A7F">
      <w:pPr>
        <w:rPr>
          <w:rFonts w:ascii="等线" w:eastAsia="等线" w:hAnsi="等线" w:cs="Times New Roman" w:hint="eastAsia"/>
          <w:szCs w:val="21"/>
        </w:rPr>
      </w:pPr>
    </w:p>
    <w:p w14:paraId="64C3B9F5" w14:textId="122A12A2" w:rsidR="00A33A7F" w:rsidRPr="00A33A7F" w:rsidRDefault="00A33A7F" w:rsidP="00A33A7F">
      <w:pPr>
        <w:rPr>
          <w:rFonts w:hint="eastAsia"/>
        </w:rPr>
      </w:pPr>
    </w:p>
    <w:sectPr w:rsidR="00A33A7F" w:rsidRPr="00A33A7F" w:rsidSect="003D502B">
      <w:pgSz w:w="11906" w:h="16838"/>
      <w:pgMar w:top="1440" w:right="1800" w:bottom="1440" w:left="1800" w:header="851" w:footer="992" w:gutter="0"/>
      <w:pgNumType w:start="15"/>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309B9" w14:textId="77777777" w:rsidR="000660BC" w:rsidRDefault="000660BC">
      <w:r>
        <w:separator/>
      </w:r>
    </w:p>
  </w:endnote>
  <w:endnote w:type="continuationSeparator" w:id="0">
    <w:p w14:paraId="1861C443" w14:textId="77777777" w:rsidR="000660BC" w:rsidRDefault="00066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BFA48" w14:textId="77777777" w:rsidR="00BA6993" w:rsidRDefault="00BA6993">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4887811"/>
      <w:docPartObj>
        <w:docPartGallery w:val="AutoText"/>
      </w:docPartObj>
    </w:sdtPr>
    <w:sdtEndPr/>
    <w:sdtContent>
      <w:p w14:paraId="466044DB" w14:textId="77777777" w:rsidR="00BA6993" w:rsidRDefault="00BA6993" w:rsidP="00BA6993">
        <w:pPr>
          <w:pStyle w:val="a5"/>
          <w:jc w:val="center"/>
        </w:pPr>
        <w:r>
          <w:fldChar w:fldCharType="begin"/>
        </w:r>
        <w:r>
          <w:instrText>PAGE   \* MERGEFORMAT</w:instrText>
        </w:r>
        <w:r>
          <w:fldChar w:fldCharType="separate"/>
        </w:r>
        <w:r w:rsidR="00F95490" w:rsidRPr="00F95490">
          <w:rPr>
            <w:noProof/>
            <w:lang w:val="zh-CN"/>
          </w:rPr>
          <w:t>1</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709485"/>
      <w:docPartObj>
        <w:docPartGallery w:val="AutoText"/>
      </w:docPartObj>
    </w:sdtPr>
    <w:sdtEndPr/>
    <w:sdtContent>
      <w:p w14:paraId="3E4379EC" w14:textId="77777777" w:rsidR="00BA6993" w:rsidRDefault="00BA6993" w:rsidP="004A208C">
        <w:pPr>
          <w:pStyle w:val="a5"/>
          <w:jc w:val="center"/>
        </w:pPr>
        <w:r>
          <w:fldChar w:fldCharType="begin"/>
        </w:r>
        <w:r>
          <w:instrText>PAGE   \* MERGEFORMAT</w:instrText>
        </w:r>
        <w:r>
          <w:fldChar w:fldCharType="separate"/>
        </w:r>
        <w:r w:rsidR="00F95490" w:rsidRPr="00F95490">
          <w:rPr>
            <w:noProof/>
            <w:lang w:val="zh-CN"/>
          </w:rPr>
          <w:t>33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449DE" w14:textId="77777777" w:rsidR="000660BC" w:rsidRDefault="000660BC">
      <w:r>
        <w:separator/>
      </w:r>
    </w:p>
  </w:footnote>
  <w:footnote w:type="continuationSeparator" w:id="0">
    <w:p w14:paraId="1C3BF6E5" w14:textId="77777777" w:rsidR="000660BC" w:rsidRDefault="000660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F6096"/>
    <w:multiLevelType w:val="multilevel"/>
    <w:tmpl w:val="07BF6096"/>
    <w:lvl w:ilvl="0">
      <w:start w:val="1"/>
      <w:numFmt w:val="decimalEnclosedCircle"/>
      <w:lvlText w:val="%1"/>
      <w:lvlJc w:val="left"/>
      <w:pPr>
        <w:ind w:left="360" w:hanging="360"/>
      </w:pPr>
      <w:rPr>
        <w:rFonts w:ascii="宋体" w:hAnsi="宋体" w:cs="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31C3B70"/>
    <w:multiLevelType w:val="multilevel"/>
    <w:tmpl w:val="131C3B70"/>
    <w:lvl w:ilvl="0">
      <w:start w:val="1"/>
      <w:numFmt w:val="decimalEnclosedCircle"/>
      <w:lvlText w:val="%1"/>
      <w:lvlJc w:val="left"/>
      <w:pPr>
        <w:ind w:left="360" w:hanging="360"/>
      </w:pPr>
      <w:rPr>
        <w:rFonts w:ascii="宋体" w:hAnsi="宋体" w:cs="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614274A"/>
    <w:multiLevelType w:val="multilevel"/>
    <w:tmpl w:val="5630DADC"/>
    <w:lvl w:ilvl="0">
      <w:start w:val="1"/>
      <w:numFmt w:val="ideographDigital"/>
      <w:lvlText w:val="第%1节"/>
      <w:lvlJc w:val="left"/>
      <w:pPr>
        <w:ind w:left="740" w:hanging="74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20AD4266"/>
    <w:multiLevelType w:val="multilevel"/>
    <w:tmpl w:val="E34445A6"/>
    <w:lvl w:ilvl="0">
      <w:start w:val="1"/>
      <w:numFmt w:val="ideographDigital"/>
      <w:lvlText w:val="第%1节"/>
      <w:lvlJc w:val="left"/>
      <w:pPr>
        <w:ind w:left="740" w:hanging="74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2B325C2B"/>
    <w:multiLevelType w:val="hybridMultilevel"/>
    <w:tmpl w:val="41AAAC5E"/>
    <w:lvl w:ilvl="0" w:tplc="CC5459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BB4F0F"/>
    <w:multiLevelType w:val="multilevel"/>
    <w:tmpl w:val="C2108744"/>
    <w:lvl w:ilvl="0">
      <w:start w:val="1"/>
      <w:numFmt w:val="ideographDigital"/>
      <w:lvlText w:val="第%1节"/>
      <w:lvlJc w:val="left"/>
      <w:pPr>
        <w:ind w:left="740" w:hanging="74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2D595FB5"/>
    <w:multiLevelType w:val="multilevel"/>
    <w:tmpl w:val="D5525E6A"/>
    <w:lvl w:ilvl="0">
      <w:start w:val="1"/>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DE972CD"/>
    <w:multiLevelType w:val="hybridMultilevel"/>
    <w:tmpl w:val="4E243BFC"/>
    <w:lvl w:ilvl="0" w:tplc="65AC08B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4A54F5A"/>
    <w:multiLevelType w:val="multilevel"/>
    <w:tmpl w:val="B7A00924"/>
    <w:lvl w:ilvl="0">
      <w:start w:val="1"/>
      <w:numFmt w:val="ideographDigital"/>
      <w:lvlText w:val="第%1节"/>
      <w:lvlJc w:val="left"/>
      <w:pPr>
        <w:ind w:left="740" w:hanging="74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353576D7"/>
    <w:multiLevelType w:val="hybridMultilevel"/>
    <w:tmpl w:val="DBEA18CA"/>
    <w:lvl w:ilvl="0" w:tplc="D6B2FC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7A7047"/>
    <w:multiLevelType w:val="multilevel"/>
    <w:tmpl w:val="42BA6FBE"/>
    <w:lvl w:ilvl="0">
      <w:start w:val="1"/>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7D702F7"/>
    <w:multiLevelType w:val="hybridMultilevel"/>
    <w:tmpl w:val="DD78DC12"/>
    <w:lvl w:ilvl="0" w:tplc="CC5459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1616FAB"/>
    <w:multiLevelType w:val="multilevel"/>
    <w:tmpl w:val="7E5E8390"/>
    <w:lvl w:ilvl="0">
      <w:start w:val="1"/>
      <w:numFmt w:val="ideographDigital"/>
      <w:lvlText w:val="第%1节"/>
      <w:lvlJc w:val="left"/>
      <w:pPr>
        <w:ind w:left="740" w:hanging="74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45E94F5E"/>
    <w:multiLevelType w:val="hybridMultilevel"/>
    <w:tmpl w:val="400A522A"/>
    <w:lvl w:ilvl="0" w:tplc="E0303666">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4" w15:restartNumberingAfterBreak="0">
    <w:nsid w:val="45F936A9"/>
    <w:multiLevelType w:val="multilevel"/>
    <w:tmpl w:val="3E0A4FAC"/>
    <w:lvl w:ilvl="0">
      <w:start w:val="1"/>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77F1A5E"/>
    <w:multiLevelType w:val="multilevel"/>
    <w:tmpl w:val="477F1A5E"/>
    <w:lvl w:ilvl="0">
      <w:start w:val="1"/>
      <w:numFmt w:val="decimalEnclosedCircle"/>
      <w:lvlText w:val="%1"/>
      <w:lvlJc w:val="left"/>
      <w:pPr>
        <w:ind w:left="360" w:hanging="360"/>
      </w:pPr>
      <w:rPr>
        <w:rFonts w:ascii="宋体" w:hAnsi="宋体" w:cs="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47F54BBD"/>
    <w:multiLevelType w:val="multilevel"/>
    <w:tmpl w:val="8F727A28"/>
    <w:lvl w:ilvl="0">
      <w:start w:val="1"/>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BFC5705"/>
    <w:multiLevelType w:val="multilevel"/>
    <w:tmpl w:val="4BFC5705"/>
    <w:lvl w:ilvl="0">
      <w:start w:val="1"/>
      <w:numFmt w:val="japaneseCounting"/>
      <w:lvlText w:val="第%1章"/>
      <w:lvlJc w:val="left"/>
      <w:pPr>
        <w:ind w:left="1260" w:hanging="12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6D2440EB"/>
    <w:multiLevelType w:val="multilevel"/>
    <w:tmpl w:val="4BD6B696"/>
    <w:lvl w:ilvl="0">
      <w:start w:val="1"/>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6E987D12"/>
    <w:multiLevelType w:val="hybridMultilevel"/>
    <w:tmpl w:val="2E48E986"/>
    <w:lvl w:ilvl="0" w:tplc="729676FC">
      <w:start w:val="1"/>
      <w:numFmt w:val="decimal"/>
      <w:lvlText w:val="第%1章"/>
      <w:lvlJc w:val="left"/>
      <w:pPr>
        <w:ind w:left="1570" w:hanging="1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89372C7"/>
    <w:multiLevelType w:val="multilevel"/>
    <w:tmpl w:val="FA24BCE8"/>
    <w:lvl w:ilvl="0">
      <w:start w:val="1"/>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91718108">
    <w:abstractNumId w:val="17"/>
  </w:num>
  <w:num w:numId="2" w16cid:durableId="1316762832">
    <w:abstractNumId w:val="2"/>
  </w:num>
  <w:num w:numId="3" w16cid:durableId="1399746965">
    <w:abstractNumId w:val="8"/>
  </w:num>
  <w:num w:numId="4" w16cid:durableId="486240609">
    <w:abstractNumId w:val="3"/>
  </w:num>
  <w:num w:numId="5" w16cid:durableId="2014795431">
    <w:abstractNumId w:val="12"/>
  </w:num>
  <w:num w:numId="6" w16cid:durableId="948656351">
    <w:abstractNumId w:val="1"/>
  </w:num>
  <w:num w:numId="7" w16cid:durableId="1392540500">
    <w:abstractNumId w:val="5"/>
  </w:num>
  <w:num w:numId="8" w16cid:durableId="1960141675">
    <w:abstractNumId w:val="0"/>
  </w:num>
  <w:num w:numId="9" w16cid:durableId="297616414">
    <w:abstractNumId w:val="15"/>
  </w:num>
  <w:num w:numId="10" w16cid:durableId="1848520672">
    <w:abstractNumId w:val="9"/>
  </w:num>
  <w:num w:numId="11" w16cid:durableId="753282896">
    <w:abstractNumId w:val="11"/>
  </w:num>
  <w:num w:numId="12" w16cid:durableId="1939294866">
    <w:abstractNumId w:val="4"/>
  </w:num>
  <w:num w:numId="13" w16cid:durableId="79956138">
    <w:abstractNumId w:val="19"/>
  </w:num>
  <w:num w:numId="14" w16cid:durableId="224418291">
    <w:abstractNumId w:val="7"/>
  </w:num>
  <w:num w:numId="15" w16cid:durableId="70988598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6637800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96919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2235755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30085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012646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670123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autoHyphenation/>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4DA"/>
    <w:rsid w:val="00006E62"/>
    <w:rsid w:val="000128B1"/>
    <w:rsid w:val="000136CC"/>
    <w:rsid w:val="00016E77"/>
    <w:rsid w:val="000305E8"/>
    <w:rsid w:val="000346F9"/>
    <w:rsid w:val="00042263"/>
    <w:rsid w:val="000514D0"/>
    <w:rsid w:val="000660BC"/>
    <w:rsid w:val="00093EDB"/>
    <w:rsid w:val="000A67FD"/>
    <w:rsid w:val="000B0E43"/>
    <w:rsid w:val="000C232B"/>
    <w:rsid w:val="000C457A"/>
    <w:rsid w:val="000C5FFD"/>
    <w:rsid w:val="000E267A"/>
    <w:rsid w:val="000E36A4"/>
    <w:rsid w:val="000F09DD"/>
    <w:rsid w:val="000F44EA"/>
    <w:rsid w:val="00107750"/>
    <w:rsid w:val="00112613"/>
    <w:rsid w:val="00132B81"/>
    <w:rsid w:val="00143C92"/>
    <w:rsid w:val="00166A89"/>
    <w:rsid w:val="00170150"/>
    <w:rsid w:val="001714BC"/>
    <w:rsid w:val="00175089"/>
    <w:rsid w:val="00181A2C"/>
    <w:rsid w:val="001842EF"/>
    <w:rsid w:val="001B0C0E"/>
    <w:rsid w:val="001C5514"/>
    <w:rsid w:val="001C7FF0"/>
    <w:rsid w:val="001D53E3"/>
    <w:rsid w:val="001E55D1"/>
    <w:rsid w:val="001E6F00"/>
    <w:rsid w:val="001F06E1"/>
    <w:rsid w:val="001F64D2"/>
    <w:rsid w:val="001F7E64"/>
    <w:rsid w:val="0020166C"/>
    <w:rsid w:val="00225773"/>
    <w:rsid w:val="002455AE"/>
    <w:rsid w:val="002461C8"/>
    <w:rsid w:val="00265C38"/>
    <w:rsid w:val="002729DA"/>
    <w:rsid w:val="002756F7"/>
    <w:rsid w:val="00280AA7"/>
    <w:rsid w:val="00285F46"/>
    <w:rsid w:val="002B0574"/>
    <w:rsid w:val="002B58D5"/>
    <w:rsid w:val="002E3A5D"/>
    <w:rsid w:val="002E6B05"/>
    <w:rsid w:val="002F4A4B"/>
    <w:rsid w:val="00301C35"/>
    <w:rsid w:val="00303EE7"/>
    <w:rsid w:val="003138F1"/>
    <w:rsid w:val="00334EDB"/>
    <w:rsid w:val="00342B46"/>
    <w:rsid w:val="00342D08"/>
    <w:rsid w:val="00354494"/>
    <w:rsid w:val="003614D0"/>
    <w:rsid w:val="00366A09"/>
    <w:rsid w:val="00370BE6"/>
    <w:rsid w:val="0037236B"/>
    <w:rsid w:val="00375BDA"/>
    <w:rsid w:val="00386CB7"/>
    <w:rsid w:val="003A1184"/>
    <w:rsid w:val="003A6CB4"/>
    <w:rsid w:val="003B031E"/>
    <w:rsid w:val="003B1569"/>
    <w:rsid w:val="003B3C2A"/>
    <w:rsid w:val="003C19F3"/>
    <w:rsid w:val="003C57F4"/>
    <w:rsid w:val="003D502B"/>
    <w:rsid w:val="003D7852"/>
    <w:rsid w:val="003E407B"/>
    <w:rsid w:val="003E728C"/>
    <w:rsid w:val="003F086E"/>
    <w:rsid w:val="003F52F2"/>
    <w:rsid w:val="00400314"/>
    <w:rsid w:val="00467FA5"/>
    <w:rsid w:val="00471893"/>
    <w:rsid w:val="004829B2"/>
    <w:rsid w:val="004843B1"/>
    <w:rsid w:val="00485998"/>
    <w:rsid w:val="004A208C"/>
    <w:rsid w:val="004B0DD8"/>
    <w:rsid w:val="004C1239"/>
    <w:rsid w:val="004C4941"/>
    <w:rsid w:val="004D2D40"/>
    <w:rsid w:val="004F457D"/>
    <w:rsid w:val="005051C5"/>
    <w:rsid w:val="00523878"/>
    <w:rsid w:val="00527169"/>
    <w:rsid w:val="005342B4"/>
    <w:rsid w:val="00542A26"/>
    <w:rsid w:val="00547902"/>
    <w:rsid w:val="005727F1"/>
    <w:rsid w:val="00583770"/>
    <w:rsid w:val="005939FE"/>
    <w:rsid w:val="005A31F1"/>
    <w:rsid w:val="005B54FA"/>
    <w:rsid w:val="005B7238"/>
    <w:rsid w:val="005C6279"/>
    <w:rsid w:val="005C68E1"/>
    <w:rsid w:val="005D7726"/>
    <w:rsid w:val="005E16AF"/>
    <w:rsid w:val="005F1FF3"/>
    <w:rsid w:val="005F4849"/>
    <w:rsid w:val="005F6312"/>
    <w:rsid w:val="005F6B88"/>
    <w:rsid w:val="0060418D"/>
    <w:rsid w:val="0060441D"/>
    <w:rsid w:val="00612057"/>
    <w:rsid w:val="0061541F"/>
    <w:rsid w:val="00617BB9"/>
    <w:rsid w:val="00620CCC"/>
    <w:rsid w:val="00643DBE"/>
    <w:rsid w:val="006567F0"/>
    <w:rsid w:val="006568C6"/>
    <w:rsid w:val="00664AF5"/>
    <w:rsid w:val="00665A7B"/>
    <w:rsid w:val="00672A62"/>
    <w:rsid w:val="00684339"/>
    <w:rsid w:val="006A0EAA"/>
    <w:rsid w:val="006B2760"/>
    <w:rsid w:val="006C4F67"/>
    <w:rsid w:val="006E7D1A"/>
    <w:rsid w:val="006F0631"/>
    <w:rsid w:val="006F560D"/>
    <w:rsid w:val="00706083"/>
    <w:rsid w:val="007077DD"/>
    <w:rsid w:val="00783A02"/>
    <w:rsid w:val="00791C78"/>
    <w:rsid w:val="007A33C1"/>
    <w:rsid w:val="007B15EA"/>
    <w:rsid w:val="007C36C2"/>
    <w:rsid w:val="007C58FD"/>
    <w:rsid w:val="007C6436"/>
    <w:rsid w:val="007C78FF"/>
    <w:rsid w:val="007D5823"/>
    <w:rsid w:val="00802E64"/>
    <w:rsid w:val="008163C8"/>
    <w:rsid w:val="00820812"/>
    <w:rsid w:val="00823281"/>
    <w:rsid w:val="00823A36"/>
    <w:rsid w:val="008311A9"/>
    <w:rsid w:val="00863227"/>
    <w:rsid w:val="0086528B"/>
    <w:rsid w:val="00865D5D"/>
    <w:rsid w:val="00866199"/>
    <w:rsid w:val="00867D78"/>
    <w:rsid w:val="008768F8"/>
    <w:rsid w:val="00881D25"/>
    <w:rsid w:val="00882FC3"/>
    <w:rsid w:val="00883563"/>
    <w:rsid w:val="00886A06"/>
    <w:rsid w:val="008912DB"/>
    <w:rsid w:val="00895282"/>
    <w:rsid w:val="008A32A7"/>
    <w:rsid w:val="008A4833"/>
    <w:rsid w:val="008A778B"/>
    <w:rsid w:val="008C02C2"/>
    <w:rsid w:val="008E2E5C"/>
    <w:rsid w:val="008F3AED"/>
    <w:rsid w:val="008F6BD4"/>
    <w:rsid w:val="008F7DD8"/>
    <w:rsid w:val="00901B3E"/>
    <w:rsid w:val="009072E0"/>
    <w:rsid w:val="00911475"/>
    <w:rsid w:val="0091694B"/>
    <w:rsid w:val="009319EB"/>
    <w:rsid w:val="00932094"/>
    <w:rsid w:val="00933324"/>
    <w:rsid w:val="00936AD4"/>
    <w:rsid w:val="00941631"/>
    <w:rsid w:val="009567AB"/>
    <w:rsid w:val="00962CCE"/>
    <w:rsid w:val="00993649"/>
    <w:rsid w:val="00993D15"/>
    <w:rsid w:val="009A4BCA"/>
    <w:rsid w:val="009B623A"/>
    <w:rsid w:val="009D2A05"/>
    <w:rsid w:val="009D359E"/>
    <w:rsid w:val="009D5A70"/>
    <w:rsid w:val="009D6F11"/>
    <w:rsid w:val="009D7CC8"/>
    <w:rsid w:val="009E439F"/>
    <w:rsid w:val="009E4BDC"/>
    <w:rsid w:val="009E533A"/>
    <w:rsid w:val="009F2475"/>
    <w:rsid w:val="00A07912"/>
    <w:rsid w:val="00A118C7"/>
    <w:rsid w:val="00A33A7F"/>
    <w:rsid w:val="00A3571F"/>
    <w:rsid w:val="00A41CA1"/>
    <w:rsid w:val="00A45B83"/>
    <w:rsid w:val="00A52292"/>
    <w:rsid w:val="00A64CC2"/>
    <w:rsid w:val="00A65BBD"/>
    <w:rsid w:val="00A741FC"/>
    <w:rsid w:val="00A74353"/>
    <w:rsid w:val="00A775D4"/>
    <w:rsid w:val="00A81600"/>
    <w:rsid w:val="00A85819"/>
    <w:rsid w:val="00AB6D4C"/>
    <w:rsid w:val="00AC3D06"/>
    <w:rsid w:val="00AC50AB"/>
    <w:rsid w:val="00AC663A"/>
    <w:rsid w:val="00AD0C6B"/>
    <w:rsid w:val="00AD3C83"/>
    <w:rsid w:val="00AD5EA8"/>
    <w:rsid w:val="00AD7BDC"/>
    <w:rsid w:val="00AD7E9E"/>
    <w:rsid w:val="00AE7F6A"/>
    <w:rsid w:val="00B07198"/>
    <w:rsid w:val="00B211E5"/>
    <w:rsid w:val="00B24EB7"/>
    <w:rsid w:val="00B254DA"/>
    <w:rsid w:val="00B26C88"/>
    <w:rsid w:val="00B308DB"/>
    <w:rsid w:val="00B31D79"/>
    <w:rsid w:val="00B43D06"/>
    <w:rsid w:val="00B44D07"/>
    <w:rsid w:val="00B46A5E"/>
    <w:rsid w:val="00B57203"/>
    <w:rsid w:val="00B74288"/>
    <w:rsid w:val="00B77308"/>
    <w:rsid w:val="00B82D3D"/>
    <w:rsid w:val="00B9277A"/>
    <w:rsid w:val="00BA315A"/>
    <w:rsid w:val="00BA6993"/>
    <w:rsid w:val="00BB19EC"/>
    <w:rsid w:val="00BB21F3"/>
    <w:rsid w:val="00BD2169"/>
    <w:rsid w:val="00BF0504"/>
    <w:rsid w:val="00BF795D"/>
    <w:rsid w:val="00C174C7"/>
    <w:rsid w:val="00C27F8D"/>
    <w:rsid w:val="00C30F0A"/>
    <w:rsid w:val="00C322FF"/>
    <w:rsid w:val="00C3781D"/>
    <w:rsid w:val="00C46F6B"/>
    <w:rsid w:val="00C50A9C"/>
    <w:rsid w:val="00C52626"/>
    <w:rsid w:val="00C54BFC"/>
    <w:rsid w:val="00C71DDE"/>
    <w:rsid w:val="00C83105"/>
    <w:rsid w:val="00CA697A"/>
    <w:rsid w:val="00CA723E"/>
    <w:rsid w:val="00CD4BB2"/>
    <w:rsid w:val="00CD7001"/>
    <w:rsid w:val="00CD7096"/>
    <w:rsid w:val="00CE4058"/>
    <w:rsid w:val="00CE4ED0"/>
    <w:rsid w:val="00CF2253"/>
    <w:rsid w:val="00CF4080"/>
    <w:rsid w:val="00D03460"/>
    <w:rsid w:val="00D072D4"/>
    <w:rsid w:val="00D137BF"/>
    <w:rsid w:val="00D21257"/>
    <w:rsid w:val="00D22B76"/>
    <w:rsid w:val="00D239D7"/>
    <w:rsid w:val="00D31B60"/>
    <w:rsid w:val="00D41690"/>
    <w:rsid w:val="00D44F7B"/>
    <w:rsid w:val="00D46F73"/>
    <w:rsid w:val="00D52EF1"/>
    <w:rsid w:val="00D61404"/>
    <w:rsid w:val="00D618ED"/>
    <w:rsid w:val="00D63FBE"/>
    <w:rsid w:val="00D7040C"/>
    <w:rsid w:val="00D75F4C"/>
    <w:rsid w:val="00D800FD"/>
    <w:rsid w:val="00D864A8"/>
    <w:rsid w:val="00D950A4"/>
    <w:rsid w:val="00D96EB2"/>
    <w:rsid w:val="00DA6B10"/>
    <w:rsid w:val="00DB32ED"/>
    <w:rsid w:val="00DB7FB9"/>
    <w:rsid w:val="00DD58ED"/>
    <w:rsid w:val="00DF0592"/>
    <w:rsid w:val="00DF05B5"/>
    <w:rsid w:val="00DF45CE"/>
    <w:rsid w:val="00DF7E61"/>
    <w:rsid w:val="00E0243E"/>
    <w:rsid w:val="00E54E20"/>
    <w:rsid w:val="00E6099E"/>
    <w:rsid w:val="00E83C18"/>
    <w:rsid w:val="00EA154B"/>
    <w:rsid w:val="00EA2DC0"/>
    <w:rsid w:val="00EA6010"/>
    <w:rsid w:val="00EB2D3F"/>
    <w:rsid w:val="00F0405A"/>
    <w:rsid w:val="00F056F3"/>
    <w:rsid w:val="00F14071"/>
    <w:rsid w:val="00F178D5"/>
    <w:rsid w:val="00F32260"/>
    <w:rsid w:val="00F3393C"/>
    <w:rsid w:val="00F40EE2"/>
    <w:rsid w:val="00F51A20"/>
    <w:rsid w:val="00F53CBE"/>
    <w:rsid w:val="00F64894"/>
    <w:rsid w:val="00F64E8F"/>
    <w:rsid w:val="00F65475"/>
    <w:rsid w:val="00F73C80"/>
    <w:rsid w:val="00F85265"/>
    <w:rsid w:val="00F95490"/>
    <w:rsid w:val="00FC1D7B"/>
    <w:rsid w:val="00FD23AB"/>
    <w:rsid w:val="00FE17BD"/>
    <w:rsid w:val="00FE7B7E"/>
    <w:rsid w:val="00FF0168"/>
    <w:rsid w:val="00FF6F68"/>
    <w:rsid w:val="00FF7FBB"/>
    <w:rsid w:val="102C13F9"/>
    <w:rsid w:val="36D93748"/>
    <w:rsid w:val="3E414332"/>
    <w:rsid w:val="3F993421"/>
    <w:rsid w:val="51C1057B"/>
    <w:rsid w:val="551441A6"/>
    <w:rsid w:val="7EE01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F6952D2"/>
  <w15:docId w15:val="{6CB47023-5B08-401E-A700-DEF904649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D4BB2"/>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uiPriority w:val="9"/>
    <w:unhideWhenUsed/>
    <w:qFormat/>
    <w:rsid w:val="00CD4BB2"/>
    <w:pPr>
      <w:keepNext/>
      <w:keepLines/>
      <w:spacing w:before="260" w:after="260" w:line="416" w:lineRule="auto"/>
      <w:outlineLvl w:val="2"/>
    </w:pPr>
    <w:rPr>
      <w:rFonts w:eastAsia="黑体"/>
      <w:b/>
      <w:bCs/>
      <w:sz w:val="30"/>
      <w:szCs w:val="32"/>
    </w:rPr>
  </w:style>
  <w:style w:type="paragraph" w:styleId="4">
    <w:name w:val="heading 4"/>
    <w:basedOn w:val="a"/>
    <w:next w:val="a"/>
    <w:link w:val="40"/>
    <w:uiPriority w:val="9"/>
    <w:unhideWhenUsed/>
    <w:qFormat/>
    <w:rsid w:val="00CD4BB2"/>
    <w:pPr>
      <w:keepNext/>
      <w:keepLines/>
      <w:spacing w:before="280" w:after="290" w:line="376" w:lineRule="auto"/>
      <w:outlineLvl w:val="3"/>
    </w:pPr>
    <w:rPr>
      <w:rFonts w:asciiTheme="majorHAnsi" w:eastAsia="黑体" w:hAnsiTheme="majorHAnsi" w:cstheme="majorBidi"/>
      <w:b/>
      <w:bCs/>
      <w:sz w:val="30"/>
      <w:szCs w:val="28"/>
    </w:rPr>
  </w:style>
  <w:style w:type="paragraph" w:styleId="5">
    <w:name w:val="heading 5"/>
    <w:basedOn w:val="a"/>
    <w:next w:val="a"/>
    <w:link w:val="50"/>
    <w:uiPriority w:val="9"/>
    <w:semiHidden/>
    <w:unhideWhenUsed/>
    <w:qFormat/>
    <w:rsid w:val="00CD4BB2"/>
    <w:pPr>
      <w:keepNext/>
      <w:keepLines/>
      <w:spacing w:before="280" w:after="290" w:line="376" w:lineRule="auto"/>
      <w:outlineLvl w:val="4"/>
    </w:pPr>
    <w:rPr>
      <w:rFonts w:eastAsia="黑体"/>
      <w:b/>
      <w:bCs/>
      <w:sz w:val="30"/>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footer"/>
    <w:basedOn w:val="a"/>
    <w:link w:val="11"/>
    <w:uiPriority w:val="99"/>
    <w:qFormat/>
    <w:pPr>
      <w:tabs>
        <w:tab w:val="center" w:pos="4153"/>
        <w:tab w:val="right" w:pos="8306"/>
      </w:tabs>
      <w:snapToGrid w:val="0"/>
      <w:jc w:val="left"/>
    </w:pPr>
    <w:rPr>
      <w:rFonts w:ascii="Times New Roman" w:eastAsia="宋体" w:hAnsi="Times New Roman" w:cs="Times New Roman"/>
      <w:sz w:val="18"/>
      <w:szCs w:val="18"/>
    </w:rPr>
  </w:style>
  <w:style w:type="paragraph" w:styleId="a6">
    <w:name w:val="header"/>
    <w:basedOn w:val="a"/>
    <w:link w:val="12"/>
    <w:qFormat/>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7">
    <w:name w:val="annotation subject"/>
    <w:basedOn w:val="a3"/>
    <w:next w:val="a3"/>
    <w:link w:val="a8"/>
    <w:uiPriority w:val="99"/>
    <w:semiHidden/>
    <w:unhideWhenUsed/>
    <w:qFormat/>
    <w:rPr>
      <w:b/>
      <w:bCs/>
    </w:rPr>
  </w:style>
  <w:style w:type="character" w:styleId="a9">
    <w:name w:val="Hyperlink"/>
    <w:uiPriority w:val="99"/>
    <w:qFormat/>
    <w:rPr>
      <w:color w:val="0000FF"/>
      <w:u w:val="single"/>
    </w:rPr>
  </w:style>
  <w:style w:type="character" w:styleId="aa">
    <w:name w:val="annotation reference"/>
    <w:basedOn w:val="a0"/>
    <w:uiPriority w:val="99"/>
    <w:semiHidden/>
    <w:unhideWhenUsed/>
    <w:qFormat/>
    <w:rPr>
      <w:sz w:val="21"/>
      <w:szCs w:val="21"/>
    </w:rPr>
  </w:style>
  <w:style w:type="character" w:customStyle="1" w:styleId="10">
    <w:name w:val="标题 1 字符"/>
    <w:basedOn w:val="a0"/>
    <w:link w:val="1"/>
    <w:uiPriority w:val="9"/>
    <w:qFormat/>
    <w:rPr>
      <w:b/>
      <w:bCs/>
      <w:kern w:val="44"/>
      <w:sz w:val="44"/>
      <w:szCs w:val="44"/>
    </w:rPr>
  </w:style>
  <w:style w:type="character" w:customStyle="1" w:styleId="ab">
    <w:name w:val="页眉 字符"/>
    <w:basedOn w:val="a0"/>
    <w:uiPriority w:val="99"/>
    <w:semiHidden/>
    <w:qFormat/>
    <w:rPr>
      <w:sz w:val="18"/>
      <w:szCs w:val="18"/>
    </w:rPr>
  </w:style>
  <w:style w:type="character" w:customStyle="1" w:styleId="12">
    <w:name w:val="页眉 字符1"/>
    <w:link w:val="a6"/>
    <w:rPr>
      <w:rFonts w:ascii="Times New Roman" w:eastAsia="宋体" w:hAnsi="Times New Roman" w:cs="Times New Roman"/>
      <w:sz w:val="18"/>
      <w:szCs w:val="18"/>
    </w:rPr>
  </w:style>
  <w:style w:type="character" w:customStyle="1" w:styleId="ac">
    <w:name w:val="页脚 字符"/>
    <w:basedOn w:val="a0"/>
    <w:uiPriority w:val="99"/>
    <w:qFormat/>
    <w:rPr>
      <w:sz w:val="18"/>
      <w:szCs w:val="18"/>
    </w:rPr>
  </w:style>
  <w:style w:type="character" w:customStyle="1" w:styleId="11">
    <w:name w:val="页脚 字符1"/>
    <w:link w:val="a5"/>
    <w:qFormat/>
    <w:rPr>
      <w:rFonts w:ascii="Times New Roman" w:eastAsia="宋体" w:hAnsi="Times New Roman" w:cs="Times New Roman"/>
      <w:sz w:val="18"/>
      <w:szCs w:val="18"/>
    </w:rPr>
  </w:style>
  <w:style w:type="paragraph" w:customStyle="1" w:styleId="13">
    <w:name w:val="列表段落1"/>
    <w:basedOn w:val="a"/>
    <w:next w:val="ad"/>
    <w:uiPriority w:val="34"/>
    <w:qFormat/>
    <w:pPr>
      <w:ind w:firstLineChars="200" w:firstLine="420"/>
    </w:pPr>
    <w:rPr>
      <w:rFonts w:ascii="Times New Roman" w:eastAsia="宋体" w:hAnsi="Times New Roman" w:cs="Times New Roman"/>
      <w:szCs w:val="21"/>
    </w:rPr>
  </w:style>
  <w:style w:type="paragraph" w:styleId="ad">
    <w:name w:val="List Paragraph"/>
    <w:basedOn w:val="a"/>
    <w:uiPriority w:val="34"/>
    <w:qFormat/>
    <w:pPr>
      <w:ind w:firstLineChars="200" w:firstLine="420"/>
    </w:pPr>
    <w:rPr>
      <w:rFonts w:ascii="Times New Roman" w:eastAsia="宋体" w:hAnsi="Times New Roman" w:cs="Times New Roman"/>
      <w:szCs w:val="2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4">
    <w:name w:val="批注文字 字符"/>
    <w:basedOn w:val="a0"/>
    <w:link w:val="a3"/>
    <w:uiPriority w:val="99"/>
    <w:semiHidden/>
    <w:qFormat/>
  </w:style>
  <w:style w:type="character" w:customStyle="1" w:styleId="a8">
    <w:name w:val="批注主题 字符"/>
    <w:basedOn w:val="a4"/>
    <w:link w:val="a7"/>
    <w:uiPriority w:val="99"/>
    <w:semiHidden/>
    <w:qFormat/>
    <w:rPr>
      <w:b/>
      <w:bCs/>
    </w:rPr>
  </w:style>
  <w:style w:type="character" w:styleId="ae">
    <w:name w:val="Placeholder Text"/>
    <w:basedOn w:val="a0"/>
    <w:uiPriority w:val="99"/>
    <w:semiHidden/>
    <w:qFormat/>
    <w:rPr>
      <w:color w:val="808080"/>
    </w:rPr>
  </w:style>
  <w:style w:type="paragraph" w:customStyle="1" w:styleId="af">
    <w:name w:val="论文正文"/>
    <w:basedOn w:val="a"/>
    <w:next w:val="a"/>
    <w:link w:val="af0"/>
    <w:qFormat/>
    <w:pPr>
      <w:spacing w:line="300" w:lineRule="auto"/>
      <w:ind w:firstLineChars="200" w:firstLine="200"/>
    </w:pPr>
    <w:rPr>
      <w:rFonts w:ascii="Times New Roman" w:eastAsia="宋体" w:hAnsi="Times New Roman" w:cs="宋体"/>
      <w:color w:val="000000" w:themeColor="text1"/>
      <w:sz w:val="24"/>
      <w:szCs w:val="24"/>
    </w:rPr>
  </w:style>
  <w:style w:type="character" w:customStyle="1" w:styleId="af0">
    <w:name w:val="论文正文 字符"/>
    <w:basedOn w:val="a0"/>
    <w:link w:val="af"/>
    <w:rPr>
      <w:rFonts w:ascii="Times New Roman" w:eastAsia="宋体" w:hAnsi="Times New Roman" w:cs="宋体"/>
      <w:color w:val="000000" w:themeColor="text1"/>
      <w:kern w:val="2"/>
      <w:sz w:val="24"/>
      <w:szCs w:val="24"/>
    </w:rPr>
  </w:style>
  <w:style w:type="character" w:customStyle="1" w:styleId="20">
    <w:name w:val="标题 2 字符"/>
    <w:basedOn w:val="a0"/>
    <w:link w:val="2"/>
    <w:uiPriority w:val="9"/>
    <w:rsid w:val="00CD4BB2"/>
    <w:rPr>
      <w:rFonts w:asciiTheme="majorHAnsi" w:eastAsia="黑体" w:hAnsiTheme="majorHAnsi" w:cstheme="majorBidi"/>
      <w:b/>
      <w:bCs/>
      <w:kern w:val="2"/>
      <w:sz w:val="30"/>
      <w:szCs w:val="32"/>
    </w:rPr>
  </w:style>
  <w:style w:type="paragraph" w:styleId="af1">
    <w:name w:val="footnote text"/>
    <w:basedOn w:val="a"/>
    <w:link w:val="af2"/>
    <w:uiPriority w:val="99"/>
    <w:semiHidden/>
    <w:unhideWhenUsed/>
    <w:rsid w:val="004D2D40"/>
    <w:pPr>
      <w:snapToGrid w:val="0"/>
      <w:jc w:val="left"/>
    </w:pPr>
    <w:rPr>
      <w:sz w:val="18"/>
      <w:szCs w:val="18"/>
    </w:rPr>
  </w:style>
  <w:style w:type="character" w:customStyle="1" w:styleId="af2">
    <w:name w:val="脚注文本 字符"/>
    <w:basedOn w:val="a0"/>
    <w:link w:val="af1"/>
    <w:uiPriority w:val="99"/>
    <w:semiHidden/>
    <w:rsid w:val="004D2D40"/>
    <w:rPr>
      <w:kern w:val="2"/>
      <w:sz w:val="18"/>
      <w:szCs w:val="18"/>
    </w:rPr>
  </w:style>
  <w:style w:type="character" w:styleId="af3">
    <w:name w:val="footnote reference"/>
    <w:basedOn w:val="a0"/>
    <w:uiPriority w:val="99"/>
    <w:semiHidden/>
    <w:unhideWhenUsed/>
    <w:rsid w:val="004D2D40"/>
    <w:rPr>
      <w:vertAlign w:val="superscript"/>
    </w:rPr>
  </w:style>
  <w:style w:type="paragraph" w:styleId="af4">
    <w:name w:val="endnote text"/>
    <w:basedOn w:val="a"/>
    <w:link w:val="af5"/>
    <w:uiPriority w:val="99"/>
    <w:semiHidden/>
    <w:unhideWhenUsed/>
    <w:rsid w:val="004D2D40"/>
    <w:pPr>
      <w:snapToGrid w:val="0"/>
      <w:jc w:val="left"/>
    </w:pPr>
  </w:style>
  <w:style w:type="character" w:customStyle="1" w:styleId="af5">
    <w:name w:val="尾注文本 字符"/>
    <w:basedOn w:val="a0"/>
    <w:link w:val="af4"/>
    <w:uiPriority w:val="99"/>
    <w:semiHidden/>
    <w:rsid w:val="004D2D40"/>
    <w:rPr>
      <w:kern w:val="2"/>
      <w:sz w:val="21"/>
      <w:szCs w:val="22"/>
    </w:rPr>
  </w:style>
  <w:style w:type="character" w:styleId="af6">
    <w:name w:val="endnote reference"/>
    <w:basedOn w:val="a0"/>
    <w:uiPriority w:val="99"/>
    <w:semiHidden/>
    <w:unhideWhenUsed/>
    <w:rsid w:val="004D2D40"/>
    <w:rPr>
      <w:vertAlign w:val="superscript"/>
    </w:rPr>
  </w:style>
  <w:style w:type="paragraph" w:styleId="TOC">
    <w:name w:val="TOC Heading"/>
    <w:basedOn w:val="1"/>
    <w:next w:val="a"/>
    <w:uiPriority w:val="39"/>
    <w:semiHidden/>
    <w:unhideWhenUsed/>
    <w:qFormat/>
    <w:rsid w:val="00F85265"/>
    <w:pPr>
      <w:outlineLvl w:val="9"/>
    </w:pPr>
  </w:style>
  <w:style w:type="paragraph" w:styleId="TOC3">
    <w:name w:val="toc 3"/>
    <w:basedOn w:val="a"/>
    <w:next w:val="a"/>
    <w:autoRedefine/>
    <w:uiPriority w:val="39"/>
    <w:unhideWhenUsed/>
    <w:rsid w:val="00F85265"/>
    <w:pPr>
      <w:ind w:leftChars="400" w:left="840"/>
    </w:pPr>
  </w:style>
  <w:style w:type="character" w:customStyle="1" w:styleId="30">
    <w:name w:val="标题 3 字符"/>
    <w:basedOn w:val="a0"/>
    <w:link w:val="3"/>
    <w:uiPriority w:val="9"/>
    <w:rsid w:val="00CD4BB2"/>
    <w:rPr>
      <w:rFonts w:eastAsia="黑体"/>
      <w:b/>
      <w:bCs/>
      <w:kern w:val="2"/>
      <w:sz w:val="30"/>
      <w:szCs w:val="32"/>
    </w:rPr>
  </w:style>
  <w:style w:type="character" w:customStyle="1" w:styleId="40">
    <w:name w:val="标题 4 字符"/>
    <w:basedOn w:val="a0"/>
    <w:link w:val="4"/>
    <w:uiPriority w:val="9"/>
    <w:rsid w:val="00CD4BB2"/>
    <w:rPr>
      <w:rFonts w:asciiTheme="majorHAnsi" w:eastAsia="黑体" w:hAnsiTheme="majorHAnsi" w:cstheme="majorBidi"/>
      <w:b/>
      <w:bCs/>
      <w:kern w:val="2"/>
      <w:sz w:val="30"/>
      <w:szCs w:val="28"/>
    </w:rPr>
  </w:style>
  <w:style w:type="character" w:customStyle="1" w:styleId="50">
    <w:name w:val="标题 5 字符"/>
    <w:basedOn w:val="a0"/>
    <w:link w:val="5"/>
    <w:uiPriority w:val="9"/>
    <w:semiHidden/>
    <w:rsid w:val="00CD4BB2"/>
    <w:rPr>
      <w:rFonts w:eastAsia="黑体"/>
      <w:b/>
      <w:bCs/>
      <w:kern w:val="2"/>
      <w:sz w:val="3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752733">
      <w:bodyDiv w:val="1"/>
      <w:marLeft w:val="0"/>
      <w:marRight w:val="0"/>
      <w:marTop w:val="0"/>
      <w:marBottom w:val="0"/>
      <w:divBdr>
        <w:top w:val="none" w:sz="0" w:space="0" w:color="auto"/>
        <w:left w:val="none" w:sz="0" w:space="0" w:color="auto"/>
        <w:bottom w:val="none" w:sz="0" w:space="0" w:color="auto"/>
        <w:right w:val="none" w:sz="0" w:space="0" w:color="auto"/>
      </w:divBdr>
    </w:div>
    <w:div w:id="425157488">
      <w:bodyDiv w:val="1"/>
      <w:marLeft w:val="0"/>
      <w:marRight w:val="0"/>
      <w:marTop w:val="0"/>
      <w:marBottom w:val="0"/>
      <w:divBdr>
        <w:top w:val="none" w:sz="0" w:space="0" w:color="auto"/>
        <w:left w:val="none" w:sz="0" w:space="0" w:color="auto"/>
        <w:bottom w:val="none" w:sz="0" w:space="0" w:color="auto"/>
        <w:right w:val="none" w:sz="0" w:space="0" w:color="auto"/>
      </w:divBdr>
    </w:div>
    <w:div w:id="701706160">
      <w:bodyDiv w:val="1"/>
      <w:marLeft w:val="0"/>
      <w:marRight w:val="0"/>
      <w:marTop w:val="0"/>
      <w:marBottom w:val="0"/>
      <w:divBdr>
        <w:top w:val="none" w:sz="0" w:space="0" w:color="auto"/>
        <w:left w:val="none" w:sz="0" w:space="0" w:color="auto"/>
        <w:bottom w:val="none" w:sz="0" w:space="0" w:color="auto"/>
        <w:right w:val="none" w:sz="0" w:space="0" w:color="auto"/>
      </w:divBdr>
    </w:div>
    <w:div w:id="743648433">
      <w:bodyDiv w:val="1"/>
      <w:marLeft w:val="0"/>
      <w:marRight w:val="0"/>
      <w:marTop w:val="0"/>
      <w:marBottom w:val="0"/>
      <w:divBdr>
        <w:top w:val="none" w:sz="0" w:space="0" w:color="auto"/>
        <w:left w:val="none" w:sz="0" w:space="0" w:color="auto"/>
        <w:bottom w:val="none" w:sz="0" w:space="0" w:color="auto"/>
        <w:right w:val="none" w:sz="0" w:space="0" w:color="auto"/>
      </w:divBdr>
    </w:div>
    <w:div w:id="769854397">
      <w:bodyDiv w:val="1"/>
      <w:marLeft w:val="0"/>
      <w:marRight w:val="0"/>
      <w:marTop w:val="0"/>
      <w:marBottom w:val="0"/>
      <w:divBdr>
        <w:top w:val="none" w:sz="0" w:space="0" w:color="auto"/>
        <w:left w:val="none" w:sz="0" w:space="0" w:color="auto"/>
        <w:bottom w:val="none" w:sz="0" w:space="0" w:color="auto"/>
        <w:right w:val="none" w:sz="0" w:space="0" w:color="auto"/>
      </w:divBdr>
    </w:div>
    <w:div w:id="1603101807">
      <w:bodyDiv w:val="1"/>
      <w:marLeft w:val="0"/>
      <w:marRight w:val="0"/>
      <w:marTop w:val="0"/>
      <w:marBottom w:val="0"/>
      <w:divBdr>
        <w:top w:val="none" w:sz="0" w:space="0" w:color="auto"/>
        <w:left w:val="none" w:sz="0" w:space="0" w:color="auto"/>
        <w:bottom w:val="none" w:sz="0" w:space="0" w:color="auto"/>
        <w:right w:val="none" w:sz="0" w:space="0" w:color="auto"/>
      </w:divBdr>
    </w:div>
    <w:div w:id="1858038918">
      <w:bodyDiv w:val="1"/>
      <w:marLeft w:val="0"/>
      <w:marRight w:val="0"/>
      <w:marTop w:val="0"/>
      <w:marBottom w:val="0"/>
      <w:divBdr>
        <w:top w:val="none" w:sz="0" w:space="0" w:color="auto"/>
        <w:left w:val="none" w:sz="0" w:space="0" w:color="auto"/>
        <w:bottom w:val="none" w:sz="0" w:space="0" w:color="auto"/>
        <w:right w:val="none" w:sz="0" w:space="0" w:color="auto"/>
      </w:divBdr>
    </w:div>
    <w:div w:id="1993176549">
      <w:bodyDiv w:val="1"/>
      <w:marLeft w:val="0"/>
      <w:marRight w:val="0"/>
      <w:marTop w:val="0"/>
      <w:marBottom w:val="0"/>
      <w:divBdr>
        <w:top w:val="none" w:sz="0" w:space="0" w:color="auto"/>
        <w:left w:val="none" w:sz="0" w:space="0" w:color="auto"/>
        <w:bottom w:val="none" w:sz="0" w:space="0" w:color="auto"/>
        <w:right w:val="none" w:sz="0" w:space="0" w:color="auto"/>
      </w:divBdr>
    </w:div>
    <w:div w:id="21433811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占位符1</b:Tag>
    <b:SourceType>ArticleInAPeriodical</b:SourceType>
    <b:Guid>{BDEC395E-8CED-44BD-85AB-E5BFD57D7F81}</b:Guid>
    <b:RefOrder>2</b:RefOrder>
  </b:Source>
  <b:Source>
    <b:Tag>Bra13</b:Tag>
    <b:SourceType>ArticleInAPeriodical</b:SourceType>
    <b:Guid>{EA818908-1416-4C7D-A854-2ACE586741D5}</b:Guid>
    <b:Author>
      <b:Author>
        <b:NameList>
          <b:Person>
            <b:Last>Brandt L</b:Last>
            <b:First>Tombe</b:First>
            <b:Middle>T, Zhu X, et al.</b:Middle>
          </b:Person>
        </b:NameList>
      </b:Author>
    </b:Author>
    <b:Title>Factor Market Distortions Across Time, Space and Sectors in China[J]. </b:Title>
    <b:PeriodicalTitle>Review of Economic Dynamics, </b:PeriodicalTitle>
    <b:Year>2013, </b:Year>
    <b:Month>16</b:Month>
    <b:Pages>(1): 39-58</b:Pages>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898DD6-F8D3-4277-BF69-14D9AF90D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31</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#我的电脑没有桌面#</dc:creator>
  <cp:lastModifiedBy>chen yuanzhe</cp:lastModifiedBy>
  <cp:revision>3</cp:revision>
  <cp:lastPrinted>2021-06-30T12:32:00Z</cp:lastPrinted>
  <dcterms:created xsi:type="dcterms:W3CDTF">2022-05-16T12:31:00Z</dcterms:created>
  <dcterms:modified xsi:type="dcterms:W3CDTF">2022-05-16T17:46:00Z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8E426DF6DA064874B1EA0125CBAA004F</vt:lpwstr>
  </property>
  <property fmtid="{D5CDD505-2E9C-101B-9397-08002B2CF9AE}" pid="4" name="MTEquationNumber2">
    <vt:lpwstr>(#S1.#E1)</vt:lpwstr>
  </property>
</Properties>
</file>