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drawings/drawing1.xml" ContentType="application/vnd.openxmlformats-officedocument.drawingml.chartshap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 xml:space="preserve">       长安汽车财务分析报告</w:t>
      </w:r>
    </w:p>
    <w:p>
      <w:pPr>
        <w:rPr>
          <w:rFonts w:hint="eastAsia"/>
          <w:lang w:val="en-US" w:eastAsia="zh-CN"/>
        </w:rPr>
      </w:pPr>
      <w:r>
        <w:rPr>
          <w:rFonts w:hint="eastAsia"/>
          <w:lang w:val="en-US" w:eastAsia="zh-CN"/>
        </w:rPr>
        <w:t xml:space="preserve">                                   19121230财务管理 张恒乐</w:t>
      </w:r>
    </w:p>
    <w:p>
      <w:pPr>
        <w:rPr>
          <w:rFonts w:hint="eastAsia"/>
          <w:lang w:val="en-US" w:eastAsia="zh-CN"/>
        </w:rPr>
      </w:pPr>
    </w:p>
    <w:p>
      <w:pPr>
        <w:rPr>
          <w:rFonts w:hint="eastAsia" w:asciiTheme="minorHAnsi" w:hAnsiTheme="minorHAnsi" w:eastAsiaTheme="minorEastAsia" w:cstheme="minorBidi"/>
          <w:b/>
          <w:kern w:val="2"/>
          <w:sz w:val="32"/>
          <w:szCs w:val="24"/>
          <w:lang w:val="en-US" w:eastAsia="zh-CN" w:bidi="ar-SA"/>
        </w:rPr>
      </w:pPr>
      <w:r>
        <w:rPr>
          <w:rFonts w:hint="eastAsia" w:asciiTheme="minorHAnsi" w:hAnsiTheme="minorHAnsi" w:eastAsiaTheme="minorEastAsia" w:cstheme="minorBidi"/>
          <w:b/>
          <w:kern w:val="2"/>
          <w:sz w:val="32"/>
          <w:szCs w:val="24"/>
          <w:lang w:val="en-US" w:eastAsia="zh-CN" w:bidi="ar-SA"/>
        </w:rPr>
        <w:t>目录：</w:t>
      </w:r>
    </w:p>
    <w:p>
      <w:pPr>
        <w:pStyle w:val="3"/>
        <w:numPr>
          <w:ilvl w:val="0"/>
          <w:numId w:val="0"/>
        </w:numPr>
        <w:bidi w:val="0"/>
        <w:rPr>
          <w:rFonts w:hint="eastAsia"/>
          <w:lang w:val="en-US" w:eastAsia="zh-CN"/>
        </w:rPr>
      </w:pPr>
      <w:r>
        <w:rPr>
          <w:rFonts w:hint="eastAsia"/>
          <w:lang w:val="en-US" w:eastAsia="zh-CN"/>
        </w:rPr>
        <w:t>1、公司创业历程、文化和团队的价值</w:t>
      </w:r>
    </w:p>
    <w:p>
      <w:pPr>
        <w:bidi w:val="0"/>
        <w:rPr>
          <w:rFonts w:hint="eastAsia" w:ascii="宋体" w:hAnsi="宋体" w:eastAsia="宋体" w:cs="宋体"/>
          <w:sz w:val="28"/>
          <w:szCs w:val="36"/>
          <w:lang w:val="en-US" w:eastAsia="zh-CN"/>
        </w:rPr>
      </w:pPr>
      <w:r>
        <w:rPr>
          <w:rFonts w:hint="eastAsia" w:ascii="宋体" w:hAnsi="宋体" w:eastAsia="宋体" w:cs="宋体"/>
          <w:b/>
          <w:bCs/>
          <w:sz w:val="28"/>
          <w:szCs w:val="36"/>
          <w:lang w:val="en-US" w:eastAsia="zh-CN"/>
        </w:rPr>
        <w:t>1.1公司的历史沿革</w:t>
      </w:r>
    </w:p>
    <w:p>
      <w:pPr>
        <w:bidi w:val="0"/>
        <w:rPr>
          <w:rFonts w:hint="eastAsia" w:ascii="宋体" w:hAnsi="宋体" w:eastAsia="宋体" w:cs="宋体"/>
          <w:b/>
          <w:bCs/>
          <w:sz w:val="28"/>
          <w:szCs w:val="36"/>
          <w:lang w:val="en-US" w:eastAsia="zh-CN"/>
        </w:rPr>
      </w:pPr>
      <w:r>
        <w:rPr>
          <w:rFonts w:hint="eastAsia" w:ascii="宋体" w:hAnsi="宋体" w:eastAsia="宋体" w:cs="宋体"/>
          <w:b/>
          <w:bCs/>
          <w:sz w:val="28"/>
          <w:szCs w:val="36"/>
          <w:lang w:val="en-US" w:eastAsia="zh-CN"/>
        </w:rPr>
        <w:t>1.2公司的文化</w:t>
      </w:r>
    </w:p>
    <w:p>
      <w:pPr>
        <w:bidi w:val="0"/>
        <w:rPr>
          <w:rFonts w:hint="eastAsia" w:ascii="宋体" w:hAnsi="宋体" w:eastAsia="宋体" w:cs="宋体"/>
          <w:b/>
          <w:bCs/>
          <w:sz w:val="28"/>
          <w:szCs w:val="36"/>
          <w:lang w:val="en-US" w:eastAsia="zh-CN"/>
        </w:rPr>
      </w:pPr>
      <w:r>
        <w:rPr>
          <w:rFonts w:hint="eastAsia" w:ascii="宋体" w:hAnsi="宋体" w:eastAsia="宋体" w:cs="宋体"/>
          <w:b/>
          <w:bCs/>
          <w:sz w:val="28"/>
          <w:szCs w:val="36"/>
          <w:lang w:val="en-US" w:eastAsia="zh-CN"/>
        </w:rPr>
        <w:t>1.3公司的团队</w:t>
      </w:r>
    </w:p>
    <w:p>
      <w:pPr>
        <w:pStyle w:val="3"/>
        <w:numPr>
          <w:ilvl w:val="0"/>
          <w:numId w:val="1"/>
        </w:numPr>
        <w:bidi w:val="0"/>
        <w:rPr>
          <w:rFonts w:hint="eastAsia"/>
          <w:lang w:val="en-US" w:eastAsia="zh-CN"/>
        </w:rPr>
      </w:pPr>
      <w:r>
        <w:rPr>
          <w:rFonts w:hint="eastAsia"/>
          <w:lang w:val="en-US" w:eastAsia="zh-CN"/>
        </w:rPr>
        <w:t>产品的市场竞争特征及创造价值的能力</w:t>
      </w:r>
    </w:p>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bCs/>
          <w:sz w:val="28"/>
          <w:szCs w:val="36"/>
          <w:lang w:val="en-US" w:eastAsia="zh-CN"/>
        </w:rPr>
      </w:pPr>
      <w:r>
        <w:rPr>
          <w:rFonts w:hint="eastAsia" w:ascii="宋体" w:hAnsi="宋体" w:eastAsia="宋体" w:cs="宋体"/>
          <w:b/>
          <w:bCs/>
          <w:sz w:val="28"/>
          <w:szCs w:val="36"/>
          <w:lang w:val="en-US" w:eastAsia="zh-CN"/>
        </w:rPr>
        <w:t>2.1产品的市场竞争能力和业务概述</w:t>
      </w:r>
    </w:p>
    <w:p>
      <w:pPr>
        <w:rPr>
          <w:rFonts w:hint="default" w:ascii="宋体" w:hAnsi="宋体" w:eastAsia="宋体" w:cs="宋体"/>
          <w:b/>
          <w:bCs/>
          <w:sz w:val="24"/>
          <w:szCs w:val="32"/>
          <w:lang w:val="en-US" w:eastAsia="zh-CN"/>
        </w:rPr>
      </w:pPr>
      <w:r>
        <w:rPr>
          <w:rFonts w:hint="eastAsia" w:ascii="宋体" w:hAnsi="宋体" w:eastAsia="宋体" w:cs="宋体"/>
          <w:b/>
          <w:bCs/>
          <w:sz w:val="24"/>
          <w:szCs w:val="32"/>
          <w:lang w:val="en-US" w:eastAsia="zh-CN"/>
        </w:rPr>
        <w:t>2.1.1公司的业务概述</w:t>
      </w:r>
    </w:p>
    <w:p>
      <w:pPr>
        <w:rPr>
          <w:rFonts w:hint="default" w:ascii="宋体" w:hAnsi="宋体" w:eastAsia="宋体" w:cs="宋体"/>
          <w:b/>
          <w:bCs/>
          <w:sz w:val="24"/>
          <w:szCs w:val="32"/>
          <w:lang w:val="en-US" w:eastAsia="zh-CN"/>
        </w:rPr>
      </w:pPr>
      <w:r>
        <w:rPr>
          <w:rFonts w:hint="eastAsia" w:ascii="宋体" w:hAnsi="宋体" w:eastAsia="宋体" w:cs="宋体"/>
          <w:b/>
          <w:bCs/>
          <w:sz w:val="24"/>
          <w:szCs w:val="32"/>
          <w:lang w:val="en-US" w:eastAsia="zh-CN"/>
        </w:rPr>
        <w:t>2.1.2产品的市场竞争力</w:t>
      </w:r>
    </w:p>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bCs/>
          <w:sz w:val="28"/>
          <w:szCs w:val="36"/>
          <w:lang w:val="en-US" w:eastAsia="zh-CN"/>
        </w:rPr>
      </w:pPr>
      <w:r>
        <w:rPr>
          <w:rFonts w:hint="eastAsia" w:ascii="宋体" w:hAnsi="宋体" w:eastAsia="宋体" w:cs="宋体"/>
          <w:b/>
          <w:bCs/>
          <w:sz w:val="28"/>
          <w:szCs w:val="36"/>
          <w:lang w:val="en-US" w:eastAsia="zh-CN"/>
        </w:rPr>
        <w:t>2.2行业总体环境分析</w:t>
      </w:r>
    </w:p>
    <w:p>
      <w:pPr>
        <w:pStyle w:val="3"/>
        <w:numPr>
          <w:ilvl w:val="0"/>
          <w:numId w:val="0"/>
        </w:numPr>
        <w:bidi w:val="0"/>
        <w:ind w:leftChars="0"/>
        <w:rPr>
          <w:rFonts w:hint="eastAsia"/>
          <w:lang w:val="en-US" w:eastAsia="zh-CN"/>
        </w:rPr>
      </w:pPr>
      <w:r>
        <w:rPr>
          <w:rFonts w:hint="eastAsia"/>
          <w:lang w:val="en-US" w:eastAsia="zh-CN"/>
        </w:rPr>
        <w:t>3、公司未来规划、内部资源</w:t>
      </w:r>
    </w:p>
    <w:p>
      <w:pPr>
        <w:bidi w:val="0"/>
        <w:rPr>
          <w:rFonts w:hint="eastAsia" w:ascii="宋体" w:hAnsi="宋体" w:eastAsia="宋体" w:cs="宋体"/>
          <w:b/>
          <w:bCs/>
          <w:sz w:val="28"/>
          <w:szCs w:val="36"/>
          <w:lang w:val="en-US" w:eastAsia="zh-CN"/>
        </w:rPr>
      </w:pPr>
      <w:r>
        <w:rPr>
          <w:rFonts w:hint="eastAsia" w:ascii="宋体" w:hAnsi="宋体" w:eastAsia="宋体" w:cs="宋体"/>
          <w:b/>
          <w:bCs/>
          <w:sz w:val="28"/>
          <w:szCs w:val="36"/>
          <w:lang w:val="en-US" w:eastAsia="zh-CN"/>
        </w:rPr>
        <w:t>3.1未来规划</w:t>
      </w:r>
    </w:p>
    <w:p>
      <w:pPr>
        <w:rPr>
          <w:rFonts w:hint="eastAsia" w:ascii="宋体" w:hAnsi="宋体" w:eastAsia="宋体" w:cs="宋体"/>
          <w:b/>
          <w:bCs/>
          <w:sz w:val="24"/>
          <w:szCs w:val="32"/>
          <w:lang w:val="en-US" w:eastAsia="zh-CN"/>
        </w:rPr>
      </w:pPr>
      <w:r>
        <w:rPr>
          <w:rFonts w:hint="eastAsia" w:ascii="宋体" w:hAnsi="宋体" w:eastAsia="宋体" w:cs="宋体"/>
          <w:b/>
          <w:bCs/>
          <w:sz w:val="24"/>
          <w:szCs w:val="32"/>
          <w:lang w:val="en-US" w:eastAsia="zh-CN"/>
        </w:rPr>
        <w:t xml:space="preserve">3.1.1以前规划的执行状况    </w:t>
      </w:r>
    </w:p>
    <w:p>
      <w:pPr>
        <w:rPr>
          <w:rFonts w:hint="eastAsia" w:ascii="宋体" w:hAnsi="宋体" w:eastAsia="宋体" w:cs="宋体"/>
          <w:b/>
          <w:bCs/>
          <w:sz w:val="24"/>
          <w:szCs w:val="32"/>
          <w:lang w:val="en-US" w:eastAsia="zh-CN"/>
        </w:rPr>
      </w:pPr>
      <w:r>
        <w:rPr>
          <w:rFonts w:hint="eastAsia" w:ascii="宋体" w:hAnsi="宋体" w:eastAsia="宋体" w:cs="宋体"/>
          <w:b/>
          <w:bCs/>
          <w:sz w:val="24"/>
          <w:szCs w:val="32"/>
          <w:lang w:val="en-US" w:eastAsia="zh-CN"/>
        </w:rPr>
        <w:t>3.1.2未来规划</w:t>
      </w:r>
    </w:p>
    <w:p>
      <w:pPr>
        <w:bidi w:val="0"/>
        <w:rPr>
          <w:rFonts w:hint="eastAsia" w:ascii="宋体" w:hAnsi="宋体" w:eastAsia="宋体" w:cs="宋体"/>
          <w:b/>
          <w:bCs/>
          <w:sz w:val="28"/>
          <w:szCs w:val="36"/>
          <w:lang w:val="en-US" w:eastAsia="zh-CN"/>
        </w:rPr>
      </w:pPr>
      <w:r>
        <w:rPr>
          <w:rFonts w:hint="eastAsia" w:ascii="宋体" w:hAnsi="宋体" w:eastAsia="宋体" w:cs="宋体"/>
          <w:b/>
          <w:bCs/>
          <w:sz w:val="28"/>
          <w:szCs w:val="36"/>
          <w:lang w:val="en-US" w:eastAsia="zh-CN"/>
        </w:rPr>
        <w:t>3.2内部资源配置</w:t>
      </w:r>
    </w:p>
    <w:p>
      <w:pPr>
        <w:pStyle w:val="3"/>
        <w:numPr>
          <w:numId w:val="0"/>
        </w:numPr>
        <w:bidi w:val="0"/>
        <w:ind w:leftChars="0"/>
        <w:rPr>
          <w:rFonts w:hint="eastAsia"/>
          <w:lang w:val="en-US" w:eastAsia="zh-CN"/>
        </w:rPr>
      </w:pPr>
      <w:r>
        <w:rPr>
          <w:rFonts w:hint="eastAsia"/>
          <w:lang w:val="en-US" w:eastAsia="zh-CN"/>
        </w:rPr>
        <w:t>4、公司重大风险及应对能力</w:t>
      </w:r>
    </w:p>
    <w:p>
      <w:pPr>
        <w:bidi w:val="0"/>
        <w:rPr>
          <w:rFonts w:hint="eastAsia" w:ascii="宋体" w:hAnsi="宋体" w:eastAsia="宋体" w:cs="宋体"/>
          <w:b/>
          <w:bCs/>
          <w:sz w:val="28"/>
          <w:szCs w:val="36"/>
          <w:lang w:val="en-US" w:eastAsia="zh-CN"/>
        </w:rPr>
      </w:pPr>
      <w:r>
        <w:rPr>
          <w:rFonts w:hint="eastAsia" w:ascii="宋体" w:hAnsi="宋体" w:eastAsia="宋体" w:cs="宋体"/>
          <w:b/>
          <w:bCs/>
          <w:sz w:val="28"/>
          <w:szCs w:val="36"/>
          <w:lang w:val="en-US" w:eastAsia="zh-CN"/>
        </w:rPr>
        <w:t>4.1重大风险分析</w:t>
      </w:r>
    </w:p>
    <w:p>
      <w:pPr>
        <w:rPr>
          <w:rFonts w:hint="eastAsia" w:ascii="宋体" w:hAnsi="宋体" w:eastAsia="宋体" w:cs="宋体"/>
          <w:b/>
          <w:bCs/>
          <w:sz w:val="24"/>
          <w:szCs w:val="32"/>
          <w:lang w:val="en-US" w:eastAsia="zh-CN"/>
        </w:rPr>
      </w:pPr>
      <w:r>
        <w:rPr>
          <w:rFonts w:hint="eastAsia" w:ascii="宋体" w:hAnsi="宋体" w:eastAsia="宋体" w:cs="宋体"/>
          <w:b/>
          <w:bCs/>
          <w:sz w:val="24"/>
          <w:szCs w:val="32"/>
          <w:lang w:val="en-US" w:eastAsia="zh-CN"/>
        </w:rPr>
        <w:t>4.1.1历史风险</w:t>
      </w:r>
    </w:p>
    <w:p>
      <w:pPr>
        <w:rPr>
          <w:rFonts w:hint="eastAsia" w:ascii="宋体" w:hAnsi="宋体" w:eastAsia="宋体" w:cs="宋体"/>
          <w:b/>
          <w:bCs/>
          <w:sz w:val="24"/>
          <w:szCs w:val="32"/>
          <w:lang w:val="en-US" w:eastAsia="zh-CN"/>
        </w:rPr>
      </w:pPr>
      <w:r>
        <w:rPr>
          <w:rFonts w:hint="eastAsia" w:ascii="宋体" w:hAnsi="宋体" w:eastAsia="宋体" w:cs="宋体"/>
          <w:b/>
          <w:bCs/>
          <w:sz w:val="24"/>
          <w:szCs w:val="32"/>
          <w:lang w:val="en-US" w:eastAsia="zh-CN"/>
        </w:rPr>
        <w:t>4.1.2预计风险</w:t>
      </w:r>
    </w:p>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bCs/>
          <w:sz w:val="28"/>
          <w:szCs w:val="36"/>
          <w:lang w:val="en-US" w:eastAsia="zh-CN"/>
        </w:rPr>
      </w:pPr>
      <w:r>
        <w:rPr>
          <w:rFonts w:hint="eastAsia" w:ascii="宋体" w:hAnsi="宋体" w:eastAsia="宋体" w:cs="宋体"/>
          <w:b/>
          <w:bCs/>
          <w:sz w:val="28"/>
          <w:szCs w:val="36"/>
          <w:lang w:val="en-US" w:eastAsia="zh-CN"/>
        </w:rPr>
        <w:t>4.2对策分析</w:t>
      </w:r>
    </w:p>
    <w:p>
      <w:pPr>
        <w:pStyle w:val="3"/>
        <w:numPr>
          <w:ilvl w:val="0"/>
          <w:numId w:val="0"/>
        </w:numPr>
        <w:bidi w:val="0"/>
        <w:rPr>
          <w:rFonts w:hint="eastAsia"/>
          <w:lang w:val="en-US" w:eastAsia="zh-CN"/>
        </w:rPr>
      </w:pPr>
      <w:r>
        <w:rPr>
          <w:rFonts w:hint="eastAsia"/>
          <w:lang w:val="en-US" w:eastAsia="zh-CN"/>
        </w:rPr>
        <w:t>5、公司未来利润及股价评估</w:t>
      </w:r>
    </w:p>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default" w:ascii="宋体" w:hAnsi="宋体" w:eastAsia="宋体" w:cs="宋体"/>
          <w:b/>
          <w:bCs/>
          <w:i w:val="0"/>
          <w:iCs w:val="0"/>
          <w:sz w:val="28"/>
          <w:szCs w:val="36"/>
          <w:lang w:val="en-US" w:eastAsia="zh-CN"/>
        </w:rPr>
      </w:pPr>
      <w:r>
        <w:rPr>
          <w:rFonts w:hint="eastAsia" w:ascii="宋体" w:hAnsi="宋体" w:eastAsia="宋体" w:cs="宋体"/>
          <w:b/>
          <w:bCs/>
          <w:sz w:val="28"/>
          <w:szCs w:val="36"/>
          <w:lang w:val="en-US" w:eastAsia="zh-CN"/>
        </w:rPr>
        <w:t>5.1公司产品的利润</w:t>
      </w:r>
    </w:p>
    <w:p>
      <w:pPr>
        <w:rPr>
          <w:rFonts w:hint="default" w:ascii="宋体" w:hAnsi="宋体" w:eastAsia="宋体" w:cs="宋体"/>
          <w:b/>
          <w:bCs/>
          <w:sz w:val="24"/>
          <w:szCs w:val="32"/>
          <w:lang w:val="en-US" w:eastAsia="zh-CN"/>
        </w:rPr>
      </w:pPr>
      <w:r>
        <w:rPr>
          <w:rFonts w:hint="eastAsia" w:ascii="宋体" w:hAnsi="宋体" w:eastAsia="宋体" w:cs="宋体"/>
          <w:b/>
          <w:bCs/>
          <w:sz w:val="24"/>
          <w:szCs w:val="32"/>
          <w:lang w:val="en-US" w:eastAsia="zh-CN"/>
        </w:rPr>
        <w:t>5.1.1乐观情况估计</w:t>
      </w:r>
    </w:p>
    <w:p>
      <w:pPr>
        <w:rPr>
          <w:rFonts w:hint="default" w:ascii="宋体" w:hAnsi="宋体" w:eastAsia="宋体" w:cs="宋体"/>
          <w:b/>
          <w:bCs/>
          <w:sz w:val="24"/>
          <w:szCs w:val="32"/>
          <w:lang w:val="en-US" w:eastAsia="zh-CN"/>
        </w:rPr>
      </w:pPr>
      <w:r>
        <w:rPr>
          <w:rFonts w:hint="eastAsia" w:ascii="宋体" w:hAnsi="宋体" w:eastAsia="宋体" w:cs="宋体"/>
          <w:b/>
          <w:bCs/>
          <w:sz w:val="24"/>
          <w:szCs w:val="32"/>
          <w:lang w:val="en-US" w:eastAsia="zh-CN"/>
        </w:rPr>
        <w:t>5.1.2悲观情况估计</w:t>
      </w:r>
    </w:p>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bCs/>
          <w:sz w:val="28"/>
          <w:szCs w:val="36"/>
          <w:lang w:val="en-US" w:eastAsia="zh-CN"/>
        </w:rPr>
      </w:pPr>
      <w:r>
        <w:rPr>
          <w:rFonts w:hint="eastAsia" w:ascii="宋体" w:hAnsi="宋体" w:eastAsia="宋体" w:cs="宋体"/>
          <w:b/>
          <w:bCs/>
          <w:sz w:val="28"/>
          <w:szCs w:val="36"/>
          <w:lang w:val="en-US" w:eastAsia="zh-CN"/>
        </w:rPr>
        <w:t>5.2长安汽车的股价评估</w:t>
      </w:r>
    </w:p>
    <w:p>
      <w:pPr>
        <w:rPr>
          <w:rFonts w:hint="eastAsia" w:ascii="宋体" w:hAnsi="宋体" w:eastAsia="宋体" w:cs="宋体"/>
          <w:b/>
          <w:bCs/>
          <w:sz w:val="24"/>
          <w:szCs w:val="32"/>
          <w:lang w:val="en-US" w:eastAsia="zh-CN"/>
        </w:rPr>
      </w:pPr>
      <w:r>
        <w:rPr>
          <w:rFonts w:hint="eastAsia" w:ascii="宋体" w:hAnsi="宋体" w:eastAsia="宋体" w:cs="宋体"/>
          <w:b/>
          <w:bCs/>
          <w:sz w:val="24"/>
          <w:szCs w:val="32"/>
          <w:lang w:val="en-US" w:eastAsia="zh-CN"/>
        </w:rPr>
        <w:t>5.2.1乐观情况的估计</w:t>
      </w:r>
    </w:p>
    <w:p>
      <w:pPr>
        <w:rPr>
          <w:rFonts w:hint="eastAsia" w:ascii="宋体" w:hAnsi="宋体" w:eastAsia="宋体" w:cs="宋体"/>
          <w:b/>
          <w:bCs/>
          <w:sz w:val="28"/>
          <w:szCs w:val="36"/>
          <w:lang w:val="en-US" w:eastAsia="zh-CN"/>
        </w:rPr>
      </w:pPr>
      <w:r>
        <w:rPr>
          <w:rFonts w:hint="eastAsia" w:ascii="宋体" w:hAnsi="宋体" w:eastAsia="宋体" w:cs="宋体"/>
          <w:b/>
          <w:bCs/>
          <w:sz w:val="24"/>
          <w:szCs w:val="32"/>
          <w:lang w:val="en-US" w:eastAsia="zh-CN"/>
        </w:rPr>
        <w:t>5.2.2悲观情况的估计</w:t>
      </w:r>
    </w:p>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bCs/>
          <w:sz w:val="28"/>
          <w:szCs w:val="36"/>
          <w:lang w:val="en-US" w:eastAsia="zh-CN"/>
        </w:rPr>
      </w:pPr>
      <w:r>
        <w:rPr>
          <w:rFonts w:hint="eastAsia" w:ascii="宋体" w:hAnsi="宋体" w:eastAsia="宋体" w:cs="宋体"/>
          <w:b/>
          <w:bCs/>
          <w:sz w:val="28"/>
          <w:szCs w:val="36"/>
          <w:lang w:val="en-US" w:eastAsia="zh-CN"/>
        </w:rPr>
        <w:t>5.3总结</w:t>
      </w:r>
    </w:p>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bCs/>
          <w:sz w:val="28"/>
          <w:szCs w:val="36"/>
          <w:lang w:val="en-US" w:eastAsia="zh-CN"/>
        </w:rPr>
      </w:pPr>
    </w:p>
    <w:p>
      <w:pPr>
        <w:rPr>
          <w:rFonts w:hint="default" w:ascii="宋体" w:hAnsi="宋体" w:eastAsia="宋体" w:cs="宋体"/>
          <w:b/>
          <w:bCs/>
          <w:sz w:val="28"/>
          <w:szCs w:val="36"/>
          <w:lang w:val="en-US" w:eastAsia="zh-CN"/>
        </w:rPr>
      </w:pPr>
    </w:p>
    <w:p>
      <w:pPr>
        <w:pStyle w:val="3"/>
        <w:numPr>
          <w:ilvl w:val="0"/>
          <w:numId w:val="0"/>
        </w:numPr>
        <w:bidi w:val="0"/>
        <w:rPr>
          <w:rFonts w:hint="default"/>
          <w:lang w:val="en-US" w:eastAsia="zh-CN"/>
        </w:rPr>
      </w:pPr>
      <w:r>
        <w:rPr>
          <w:rFonts w:hint="eastAsia"/>
          <w:lang w:val="en-US" w:eastAsia="zh-CN"/>
        </w:rPr>
        <w:t>正文：</w:t>
      </w:r>
      <w:bookmarkStart w:id="0" w:name="_GoBack"/>
      <w:bookmarkEnd w:id="0"/>
    </w:p>
    <w:p>
      <w:pPr>
        <w:pStyle w:val="3"/>
        <w:numPr>
          <w:ilvl w:val="0"/>
          <w:numId w:val="0"/>
        </w:numPr>
        <w:bidi w:val="0"/>
        <w:rPr>
          <w:rFonts w:hint="eastAsia"/>
          <w:lang w:val="en-US" w:eastAsia="zh-CN"/>
        </w:rPr>
      </w:pPr>
      <w:r>
        <w:rPr>
          <w:rFonts w:hint="eastAsia"/>
          <w:lang w:val="en-US" w:eastAsia="zh-CN"/>
        </w:rPr>
        <w:t>1、公司创业历程、文化和团队的价值</w:t>
      </w:r>
    </w:p>
    <w:p>
      <w:pPr>
        <w:bidi w:val="0"/>
        <w:rPr>
          <w:rFonts w:hint="eastAsia" w:ascii="宋体" w:hAnsi="宋体" w:eastAsia="宋体" w:cs="宋体"/>
          <w:sz w:val="28"/>
          <w:szCs w:val="36"/>
          <w:lang w:val="en-US" w:eastAsia="zh-CN"/>
        </w:rPr>
      </w:pPr>
      <w:r>
        <w:rPr>
          <w:rFonts w:hint="eastAsia"/>
          <w:lang w:val="en-US" w:eastAsia="zh-CN"/>
        </w:rPr>
        <w:t xml:space="preserve"> </w:t>
      </w:r>
      <w:r>
        <w:rPr>
          <w:rFonts w:hint="eastAsia" w:ascii="宋体" w:hAnsi="宋体" w:eastAsia="宋体" w:cs="宋体"/>
          <w:b/>
          <w:bCs/>
          <w:sz w:val="28"/>
          <w:szCs w:val="36"/>
          <w:lang w:val="en-US" w:eastAsia="zh-CN"/>
        </w:rPr>
        <w:t>1.1公司的历史沿革</w:t>
      </w:r>
    </w:p>
    <w:p>
      <w:pPr>
        <w:bidi w:val="0"/>
        <w:ind w:firstLine="560"/>
        <w:rPr>
          <w:rFonts w:hint="eastAsia" w:ascii="宋体" w:hAnsi="宋体" w:eastAsia="宋体" w:cs="宋体"/>
          <w:sz w:val="28"/>
          <w:szCs w:val="36"/>
          <w:lang w:val="en-US" w:eastAsia="zh-CN"/>
        </w:rPr>
      </w:pPr>
      <w:r>
        <w:rPr>
          <w:rFonts w:hint="eastAsia" w:ascii="宋体" w:hAnsi="宋体" w:eastAsia="宋体" w:cs="宋体"/>
          <w:sz w:val="28"/>
          <w:szCs w:val="36"/>
          <w:lang w:val="en-US" w:eastAsia="zh-CN"/>
        </w:rPr>
        <w:t>长安汽车前身是1862年李鸿章下令创办的上海洋炮局，1863年更名苏州洋炮局，1865年迁往南京，成为中国当时最大的兵工厂——金陵制造局。从这一段历史可以看出长安汽车曾在洋务运动中发挥重要作用，为中国在新技术上的摸索做出了巨大贡献。</w:t>
      </w:r>
    </w:p>
    <w:p>
      <w:pPr>
        <w:bidi w:val="0"/>
        <w:ind w:firstLine="560"/>
        <w:rPr>
          <w:rFonts w:hint="eastAsia" w:ascii="宋体" w:hAnsi="宋体" w:eastAsia="宋体" w:cs="宋体"/>
          <w:sz w:val="28"/>
          <w:szCs w:val="36"/>
          <w:lang w:val="en-US" w:eastAsia="zh-CN"/>
        </w:rPr>
      </w:pPr>
      <w:r>
        <w:rPr>
          <w:rFonts w:hint="eastAsia" w:ascii="宋体" w:hAnsi="宋体" w:eastAsia="宋体" w:cs="宋体"/>
          <w:sz w:val="28"/>
          <w:szCs w:val="36"/>
          <w:lang w:val="en-US" w:eastAsia="zh-CN"/>
        </w:rPr>
        <w:t>从清末到民国这段时间，长安汽车的前身一直是作为中国重要的兵工厂存在的。建国以后，反帝反封建的斗争告一段落，国家的重心转向生产力的发展之上，1957年，长安汽车的前身四五六厂试制出了中国第一辆越野车，并更名为长安机器制造厂。</w:t>
      </w:r>
    </w:p>
    <w:p>
      <w:pPr>
        <w:bidi w:val="0"/>
        <w:ind w:firstLine="560"/>
        <w:rPr>
          <w:rFonts w:hint="eastAsia" w:ascii="宋体" w:hAnsi="宋体" w:eastAsia="宋体" w:cs="宋体"/>
          <w:sz w:val="28"/>
          <w:szCs w:val="36"/>
          <w:lang w:val="en-US" w:eastAsia="zh-CN"/>
        </w:rPr>
      </w:pPr>
      <w:r>
        <w:rPr>
          <w:rFonts w:hint="eastAsia" w:ascii="宋体" w:hAnsi="宋体" w:eastAsia="宋体" w:cs="宋体"/>
          <w:sz w:val="28"/>
          <w:szCs w:val="36"/>
          <w:lang w:val="en-US" w:eastAsia="zh-CN"/>
        </w:rPr>
        <w:t>在改革开放初期的80年代初长安汽车引进日本铃木deep产品和技术，1984年，长安牌货车正式下线投入市场，标志着长安汽车正式从军工企业转变为民用企业。</w:t>
      </w:r>
    </w:p>
    <w:p>
      <w:pPr>
        <w:bidi w:val="0"/>
        <w:ind w:firstLine="560"/>
        <w:rPr>
          <w:rFonts w:hint="eastAsia" w:ascii="宋体" w:hAnsi="宋体" w:eastAsia="宋体" w:cs="宋体"/>
          <w:sz w:val="28"/>
          <w:szCs w:val="36"/>
          <w:lang w:val="en-US" w:eastAsia="zh-CN"/>
        </w:rPr>
      </w:pPr>
      <w:r>
        <w:rPr>
          <w:rFonts w:hint="eastAsia" w:ascii="宋体" w:hAnsi="宋体" w:eastAsia="宋体" w:cs="宋体"/>
          <w:sz w:val="28"/>
          <w:szCs w:val="36"/>
          <w:lang w:val="en-US" w:eastAsia="zh-CN"/>
        </w:rPr>
        <w:t>为了配合国家战略的发展，长安汽车大举通过合资形式引入包括铃木、福特、马自达、沃尔沃等世界知名车企的技术，实现了资源市场换技术的目标，实现了较快的发展。</w:t>
      </w:r>
    </w:p>
    <w:p>
      <w:pPr>
        <w:bidi w:val="0"/>
        <w:ind w:firstLine="560"/>
        <w:rPr>
          <w:rFonts w:hint="eastAsia" w:ascii="宋体" w:hAnsi="宋体" w:eastAsia="宋体" w:cs="宋体"/>
          <w:sz w:val="28"/>
          <w:szCs w:val="36"/>
          <w:lang w:val="en-US" w:eastAsia="zh-CN"/>
        </w:rPr>
      </w:pPr>
      <w:r>
        <w:rPr>
          <w:rFonts w:hint="eastAsia" w:ascii="宋体" w:hAnsi="宋体" w:eastAsia="宋体" w:cs="宋体"/>
          <w:sz w:val="28"/>
          <w:szCs w:val="36"/>
          <w:lang w:val="en-US" w:eastAsia="zh-CN"/>
        </w:rPr>
        <w:t>时间进入千禧年代后，长安汽车开始通过几十年来积累的技术探索自主品牌的建立，为此在全球多个国家设有研发中心和生产制造中心，以实现中国品牌强起来到走出去的实践道路。</w:t>
      </w:r>
    </w:p>
    <w:p>
      <w:pPr>
        <w:bidi w:val="0"/>
        <w:ind w:firstLine="560"/>
        <w:rPr>
          <w:rFonts w:hint="eastAsia" w:ascii="宋体" w:hAnsi="宋体" w:eastAsia="宋体" w:cs="宋体"/>
          <w:sz w:val="28"/>
          <w:szCs w:val="36"/>
          <w:lang w:val="en-US" w:eastAsia="zh-CN"/>
        </w:rPr>
      </w:pPr>
      <w:r>
        <w:rPr>
          <w:rFonts w:hint="eastAsia" w:ascii="宋体" w:hAnsi="宋体" w:eastAsia="宋体" w:cs="宋体"/>
          <w:sz w:val="28"/>
          <w:szCs w:val="36"/>
          <w:lang w:val="en-US" w:eastAsia="zh-CN"/>
        </w:rPr>
        <w:t>总结上述长安汽车发展的历程可以发现，长安汽车的发展始终同国家民族的命运紧紧相连。无论是早期的洋务运动、民国的历次战争、建国后初步工业化还是改革开放后引进来和走出去的国家战略，长安汽车一直是其中排头兵般的存在。这主要说明了长安汽车并非一家纯粹以盈利为目的的公司，它的许多战略目标都是在国家总体发展战略的框架下形成的，而国家的利益并不总能和股东的利益一致。</w:t>
      </w:r>
    </w:p>
    <w:p>
      <w:pPr>
        <w:bidi w:val="0"/>
        <w:ind w:firstLine="560"/>
        <w:rPr>
          <w:rFonts w:hint="eastAsia" w:ascii="宋体" w:hAnsi="宋体" w:eastAsia="宋体" w:cs="宋体"/>
          <w:sz w:val="28"/>
          <w:szCs w:val="36"/>
          <w:lang w:val="en-US" w:eastAsia="zh-CN"/>
        </w:rPr>
      </w:pPr>
      <w:r>
        <w:rPr>
          <w:rFonts w:hint="eastAsia" w:ascii="宋体" w:hAnsi="宋体" w:eastAsia="宋体" w:cs="宋体"/>
          <w:sz w:val="28"/>
          <w:szCs w:val="36"/>
          <w:lang w:val="en-US" w:eastAsia="zh-CN"/>
        </w:rPr>
        <w:t>一方面，长安汽车由于其在各项政策上的重要作用，会因此获得国家的大力支持；但另一方面，由于长安汽车始终作为开路先锋存在，因此不免会在尝试的道路上犯许多前人所无法预见的错误。从而给公司的价值带来损失。但目前这种影响的好坏还未可知。</w:t>
      </w:r>
    </w:p>
    <w:p>
      <w:pPr>
        <w:bidi w:val="0"/>
        <w:rPr>
          <w:rFonts w:hint="eastAsia" w:ascii="宋体" w:hAnsi="宋体" w:eastAsia="宋体" w:cs="宋体"/>
          <w:b/>
          <w:bCs/>
          <w:sz w:val="28"/>
          <w:szCs w:val="36"/>
          <w:lang w:val="en-US" w:eastAsia="zh-CN"/>
        </w:rPr>
      </w:pPr>
      <w:r>
        <w:rPr>
          <w:rFonts w:hint="eastAsia" w:ascii="宋体" w:hAnsi="宋体" w:eastAsia="宋体" w:cs="宋体"/>
          <w:b/>
          <w:bCs/>
          <w:sz w:val="28"/>
          <w:szCs w:val="36"/>
          <w:lang w:val="en-US" w:eastAsia="zh-CN"/>
        </w:rPr>
        <w:t>1.2公司的文化</w:t>
      </w:r>
    </w:p>
    <w:p>
      <w:pPr>
        <w:bidi w:val="0"/>
        <w:ind w:firstLine="560"/>
        <w:rPr>
          <w:rFonts w:hint="eastAsia" w:ascii="宋体" w:hAnsi="宋体" w:eastAsia="宋体" w:cs="宋体"/>
          <w:sz w:val="28"/>
          <w:szCs w:val="36"/>
          <w:lang w:val="en-US" w:eastAsia="zh-CN"/>
        </w:rPr>
      </w:pPr>
      <w:r>
        <w:rPr>
          <w:rFonts w:hint="eastAsia" w:ascii="宋体" w:hAnsi="宋体" w:eastAsia="宋体" w:cs="宋体"/>
          <w:sz w:val="28"/>
          <w:szCs w:val="36"/>
          <w:lang w:val="en-US" w:eastAsia="zh-CN"/>
        </w:rPr>
        <w:t>长安汽车官网的简介认为它的企业使命是“引领汽车文明，造福人类生活”，企业愿景是打造世界一流汽车企业。企业的价值观是以客户为中心，提供极致体验和服务，以价值为导向，凭数据、业绩及行业标杆说话，以产品为主线，持续技术领先，打造经典产品，以效率为优先，激发活力、追求卓越；道德自律是“诚信、廉洁、勤勉、负责”；精神是“自我批判、主动担当、科学理性、创新创业”；行为准则是“目标坚定、团结协作、高效行动”；形象用语是“科技长安•智慧伙伴”。</w:t>
      </w:r>
    </w:p>
    <w:p>
      <w:pPr>
        <w:bidi w:val="0"/>
        <w:ind w:firstLine="560"/>
        <w:rPr>
          <w:rFonts w:hint="eastAsia" w:ascii="宋体" w:hAnsi="宋体" w:eastAsia="宋体" w:cs="宋体"/>
          <w:sz w:val="28"/>
          <w:szCs w:val="36"/>
          <w:lang w:val="en-US" w:eastAsia="zh-CN"/>
        </w:rPr>
      </w:pPr>
      <w:r>
        <w:rPr>
          <w:rFonts w:hint="eastAsia" w:ascii="宋体" w:hAnsi="宋体" w:eastAsia="宋体" w:cs="宋体"/>
          <w:sz w:val="28"/>
          <w:szCs w:val="36"/>
          <w:lang w:val="en-US" w:eastAsia="zh-CN"/>
        </w:rPr>
        <w:t>从公司文化理念的介绍来看，长安汽车希望成为世界一流车企，而这一目标是其使命——引领汽车文明所赋予的。长安汽车认为让客户获得极致体验，并且创造业绩出众的产品是成为世界一流车企的衡量标准。长安汽车的文化要求它不断根据客户的需求改进它的产品，而不是通过创造文化来吸引客户（如特斯拉、蔚来汽车等），它更倾向于随着时代的要求前进，那么是否拥有一个能够精准定位市场需求的信息收集和分析系统，以及是否拥有能够即时响应市场需求的研发部门将是决定长安汽车成败的关键。</w:t>
      </w:r>
    </w:p>
    <w:p>
      <w:pPr>
        <w:bidi w:val="0"/>
        <w:rPr>
          <w:rFonts w:hint="eastAsia" w:ascii="宋体" w:hAnsi="宋体" w:eastAsia="宋体" w:cs="宋体"/>
          <w:b/>
          <w:bCs/>
          <w:sz w:val="28"/>
          <w:szCs w:val="36"/>
          <w:lang w:val="en-US" w:eastAsia="zh-CN"/>
        </w:rPr>
      </w:pPr>
      <w:r>
        <w:rPr>
          <w:rFonts w:hint="eastAsia" w:ascii="宋体" w:hAnsi="宋体" w:eastAsia="宋体" w:cs="宋体"/>
          <w:b/>
          <w:bCs/>
          <w:sz w:val="28"/>
          <w:szCs w:val="36"/>
          <w:lang w:val="en-US" w:eastAsia="zh-CN"/>
        </w:rPr>
        <w:t>1.3公司的团队</w:t>
      </w:r>
    </w:p>
    <w:p>
      <w:pPr>
        <w:bidi w:val="0"/>
        <w:ind w:firstLine="560"/>
        <w:rPr>
          <w:rFonts w:hint="eastAsia" w:ascii="宋体" w:hAnsi="宋体" w:eastAsia="宋体" w:cs="宋体"/>
          <w:sz w:val="28"/>
          <w:szCs w:val="36"/>
          <w:lang w:val="en-US" w:eastAsia="zh-CN"/>
        </w:rPr>
      </w:pPr>
      <w:r>
        <w:rPr>
          <w:rFonts w:hint="eastAsia" w:ascii="宋体" w:hAnsi="宋体" w:eastAsia="宋体" w:cs="宋体"/>
          <w:sz w:val="28"/>
          <w:szCs w:val="36"/>
          <w:lang w:val="en-US" w:eastAsia="zh-CN"/>
        </w:rPr>
        <w:t>在领导团队方面，长安汽车一方面实现了市场化改革，由股权比例决定控制权的归属，董事会设立董事长职务和总裁职务负责公司的运营管理；另一方面，作为国企，长安汽车坚持了党的领导，董事长同时兼任党委书记，总裁兼任党委副书记，公司同时设置了纪委主管纪律工作。</w:t>
      </w:r>
    </w:p>
    <w:tbl>
      <w:tblPr>
        <w:tblStyle w:val="4"/>
        <w:tblW w:w="9049"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80"/>
        <w:gridCol w:w="1316"/>
        <w:gridCol w:w="1488"/>
        <w:gridCol w:w="1080"/>
        <w:gridCol w:w="1080"/>
        <w:gridCol w:w="1080"/>
        <w:gridCol w:w="1080"/>
        <w:gridCol w:w="1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080"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姓名</w:t>
            </w:r>
          </w:p>
        </w:tc>
        <w:tc>
          <w:tcPr>
            <w:tcW w:w="1080"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职务</w:t>
            </w:r>
          </w:p>
        </w:tc>
        <w:tc>
          <w:tcPr>
            <w:tcW w:w="1488"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任职起始日</w:t>
            </w:r>
          </w:p>
        </w:tc>
        <w:tc>
          <w:tcPr>
            <w:tcW w:w="1080"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任职终止日</w:t>
            </w:r>
          </w:p>
        </w:tc>
        <w:tc>
          <w:tcPr>
            <w:tcW w:w="1080"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性别</w:t>
            </w:r>
          </w:p>
        </w:tc>
        <w:tc>
          <w:tcPr>
            <w:tcW w:w="1080"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国籍</w:t>
            </w:r>
          </w:p>
        </w:tc>
        <w:tc>
          <w:tcPr>
            <w:tcW w:w="1080"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学历</w:t>
            </w:r>
          </w:p>
        </w:tc>
        <w:tc>
          <w:tcPr>
            <w:tcW w:w="1080"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出生年份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王俊</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总裁</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2020/10/15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男</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中国</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硕士</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1972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彭陶</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副总裁</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2021/7/15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男</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中国</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本科</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1978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张晓宇</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副总裁</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2022/1/12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男</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博士</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1979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杨大勇</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副总裁</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2021/7/15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男</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中国</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本科</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1974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王孝飞</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副总裁</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2022/1/12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男</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本科</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1982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赵非</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执行副总裁</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2021/3/30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男</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中国</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硕士</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1974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陈伟</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执行副总裁</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2021/7/23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男</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中国</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本科</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1972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叶沛</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执行副总裁</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2021/3/30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男</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中国</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硕士</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1975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何朝兵</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执行副总裁</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2020/7/13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男</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宋体" w:hAnsi="宋体" w:eastAsia="宋体" w:cs="宋体"/>
                <w:i w:val="0"/>
                <w:iCs w:val="0"/>
                <w:color w:val="000000"/>
                <w:sz w:val="22"/>
                <w:szCs w:val="22"/>
                <w:u w:val="none"/>
                <w:lang w:val="en-US"/>
              </w:rPr>
            </w:pPr>
            <w:r>
              <w:rPr>
                <w:rFonts w:hint="eastAsia" w:ascii="宋体" w:hAnsi="宋体" w:eastAsia="宋体" w:cs="宋体"/>
                <w:i w:val="0"/>
                <w:iCs w:val="0"/>
                <w:color w:val="000000"/>
                <w:kern w:val="0"/>
                <w:sz w:val="22"/>
                <w:szCs w:val="22"/>
                <w:u w:val="none"/>
                <w:lang w:val="en-US" w:eastAsia="zh-CN" w:bidi="ar"/>
              </w:rPr>
              <w:t>中国</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硕士</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1967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谭本宏</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执行副总裁</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2020/7/13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男</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中国</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硕士</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1975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李名才</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执行副总裁</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2022/1/28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男</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中国</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硕士</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1981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张德勇</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董事会秘书</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2022/1/28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男</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中国</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硕士</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1975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张德勇</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总会计师</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2019/10/30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男</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中国</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硕士</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1975</w:t>
            </w:r>
          </w:p>
        </w:tc>
      </w:tr>
    </w:tbl>
    <w:p>
      <w:pPr>
        <w:bidi w:val="0"/>
        <w:ind w:firstLine="560"/>
        <w:rPr>
          <w:rFonts w:hint="eastAsia" w:ascii="宋体" w:hAnsi="宋体" w:eastAsia="宋体" w:cs="宋体"/>
          <w:sz w:val="28"/>
          <w:szCs w:val="36"/>
          <w:lang w:val="en-US" w:eastAsia="zh-CN"/>
        </w:rPr>
      </w:pPr>
      <w:r>
        <w:rPr>
          <w:rFonts w:hint="eastAsia" w:ascii="宋体" w:hAnsi="宋体" w:eastAsia="宋体" w:cs="宋体"/>
          <w:sz w:val="28"/>
          <w:szCs w:val="36"/>
          <w:lang w:val="en-US" w:eastAsia="zh-CN"/>
        </w:rPr>
        <w:t>以上是公司高级管理层的名单，调查他们的身份背景可以发现，12名高管中7人持有工程师或正高级工程师证书，剩下5名中，3名为销售，一名为党政干部，一名为会计，都是出于公司必要的管理需求设立的。值得注意的是，作为总会计师和董事会秘书的张德勇，升迁过程主要在中国兵器装备集团，可以肯定他基本上是中国兵器集团派出的替母公司监督长安汽车运营的负责人。</w:t>
      </w:r>
    </w:p>
    <w:p>
      <w:pPr>
        <w:bidi w:val="0"/>
        <w:ind w:firstLine="560"/>
        <w:rPr>
          <w:rFonts w:hint="eastAsia" w:ascii="宋体" w:hAnsi="宋体" w:eastAsia="宋体" w:cs="宋体"/>
          <w:sz w:val="28"/>
          <w:szCs w:val="36"/>
          <w:lang w:val="en-US" w:eastAsia="zh-CN"/>
        </w:rPr>
      </w:pPr>
      <w:r>
        <w:rPr>
          <w:rFonts w:hint="eastAsia" w:ascii="宋体" w:hAnsi="宋体" w:eastAsia="宋体" w:cs="宋体"/>
          <w:sz w:val="28"/>
          <w:szCs w:val="36"/>
          <w:lang w:val="en-US" w:eastAsia="zh-CN"/>
        </w:rPr>
        <w:t>长安汽车高管中技术人员比例很高，包括总裁也是正高级工程师，一定程度上反映了长安汽车对技术的重视，这一点同前述1.2中“长安汽车需要一个即时响应的研发部门来达成目标”相互印证。长安汽车对党务工作的重视也说明了它与国家发展战略勾连很深。初步判断长安汽车的管理层能比较好地执行战略。</w:t>
      </w:r>
    </w:p>
    <w:p>
      <w:pPr>
        <w:pStyle w:val="3"/>
        <w:numPr>
          <w:ilvl w:val="0"/>
          <w:numId w:val="1"/>
        </w:numPr>
        <w:bidi w:val="0"/>
        <w:rPr>
          <w:rFonts w:hint="eastAsia"/>
          <w:lang w:val="en-US" w:eastAsia="zh-CN"/>
        </w:rPr>
      </w:pPr>
      <w:r>
        <w:rPr>
          <w:rFonts w:hint="eastAsia"/>
          <w:lang w:val="en-US" w:eastAsia="zh-CN"/>
        </w:rPr>
        <w:t>产品的市场竞争特征及创造价值的能力</w:t>
      </w:r>
    </w:p>
    <w:p>
      <w:pPr>
        <w:bidi w:val="0"/>
        <w:rPr>
          <w:rFonts w:hint="eastAsia" w:ascii="宋体" w:hAnsi="宋体" w:eastAsia="宋体" w:cs="宋体"/>
          <w:b/>
          <w:bCs/>
          <w:sz w:val="28"/>
          <w:szCs w:val="36"/>
          <w:lang w:val="en-US" w:eastAsia="zh-CN"/>
        </w:rPr>
      </w:pPr>
      <w:r>
        <w:rPr>
          <w:rFonts w:hint="eastAsia" w:ascii="宋体" w:hAnsi="宋体" w:eastAsia="宋体" w:cs="宋体"/>
          <w:b/>
          <w:bCs/>
          <w:sz w:val="28"/>
          <w:szCs w:val="36"/>
          <w:lang w:val="en-US" w:eastAsia="zh-CN"/>
        </w:rPr>
        <w:t>2.1产品的市场竞争能力和业务概述</w:t>
      </w:r>
    </w:p>
    <w:p>
      <w:pPr>
        <w:bidi w:val="0"/>
        <w:rPr>
          <w:rFonts w:hint="default" w:ascii="宋体" w:hAnsi="宋体" w:eastAsia="宋体" w:cs="宋体"/>
          <w:b/>
          <w:bCs/>
          <w:sz w:val="28"/>
          <w:szCs w:val="36"/>
          <w:lang w:val="en-US" w:eastAsia="zh-CN"/>
        </w:rPr>
      </w:pPr>
      <w:r>
        <w:rPr>
          <w:rFonts w:hint="eastAsia" w:ascii="宋体" w:hAnsi="宋体" w:eastAsia="宋体" w:cs="宋体"/>
          <w:b/>
          <w:bCs/>
          <w:sz w:val="28"/>
          <w:szCs w:val="36"/>
          <w:lang w:val="en-US" w:eastAsia="zh-CN"/>
        </w:rPr>
        <w:t>2.1.1公司的业务概述</w:t>
      </w:r>
    </w:p>
    <w:p>
      <w:pPr>
        <w:bidi w:val="0"/>
        <w:rPr>
          <w:rFonts w:hint="eastAsia" w:ascii="宋体" w:hAnsi="宋体" w:eastAsia="宋体" w:cs="宋体"/>
          <w:b/>
          <w:bCs/>
          <w:sz w:val="28"/>
          <w:szCs w:val="36"/>
          <w:lang w:val="en-US" w:eastAsia="zh-CN"/>
        </w:rPr>
      </w:pPr>
      <w:r>
        <w:rPr>
          <w:rFonts w:hint="eastAsia" w:ascii="宋体" w:hAnsi="宋体" w:eastAsia="宋体" w:cs="宋体"/>
          <w:b/>
          <w:bCs/>
          <w:sz w:val="28"/>
          <w:szCs w:val="36"/>
          <w:lang w:val="en-US" w:eastAsia="zh-CN"/>
        </w:rPr>
        <w:t xml:space="preserve">   </w:t>
      </w:r>
    </w:p>
    <w:tbl>
      <w:tblPr>
        <w:tblStyle w:val="4"/>
        <w:tblW w:w="9538"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555"/>
        <w:gridCol w:w="2810"/>
        <w:gridCol w:w="1121"/>
        <w:gridCol w:w="2669"/>
        <w:gridCol w:w="1122"/>
        <w:gridCol w:w="1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32" w:hRule="atLeast"/>
        </w:trPr>
        <w:tc>
          <w:tcPr>
            <w:tcW w:w="55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bCs/>
                <w:i w:val="0"/>
                <w:iCs w:val="0"/>
                <w:color w:val="000000"/>
                <w:sz w:val="22"/>
                <w:szCs w:val="22"/>
                <w:u w:val="none"/>
              </w:rPr>
            </w:pPr>
          </w:p>
        </w:tc>
        <w:tc>
          <w:tcPr>
            <w:tcW w:w="3931"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2021年</w:t>
            </w:r>
          </w:p>
        </w:tc>
        <w:tc>
          <w:tcPr>
            <w:tcW w:w="3791"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2020年</w:t>
            </w:r>
          </w:p>
        </w:tc>
        <w:tc>
          <w:tcPr>
            <w:tcW w:w="126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同比增减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82" w:hRule="atLeast"/>
        </w:trPr>
        <w:tc>
          <w:tcPr>
            <w:tcW w:w="55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bCs/>
                <w:i w:val="0"/>
                <w:iCs w:val="0"/>
                <w:color w:val="000000"/>
                <w:sz w:val="22"/>
                <w:szCs w:val="22"/>
                <w:u w:val="none"/>
              </w:rPr>
            </w:pPr>
          </w:p>
        </w:tc>
        <w:tc>
          <w:tcPr>
            <w:tcW w:w="28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金额</w:t>
            </w:r>
          </w:p>
        </w:tc>
        <w:tc>
          <w:tcPr>
            <w:tcW w:w="11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占营业收入比重</w:t>
            </w:r>
          </w:p>
        </w:tc>
        <w:tc>
          <w:tcPr>
            <w:tcW w:w="266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金额</w:t>
            </w:r>
          </w:p>
        </w:tc>
        <w:tc>
          <w:tcPr>
            <w:tcW w:w="112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占营业收入比重</w:t>
            </w:r>
          </w:p>
        </w:tc>
        <w:tc>
          <w:tcPr>
            <w:tcW w:w="126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bCs/>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356" w:hRule="atLeast"/>
        </w:trPr>
        <w:tc>
          <w:tcPr>
            <w:tcW w:w="5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营业收入合计</w:t>
            </w:r>
          </w:p>
        </w:tc>
        <w:tc>
          <w:tcPr>
            <w:tcW w:w="28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105,141,877,237.05</w:t>
            </w:r>
          </w:p>
        </w:tc>
        <w:tc>
          <w:tcPr>
            <w:tcW w:w="11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100%</w:t>
            </w:r>
          </w:p>
        </w:tc>
        <w:tc>
          <w:tcPr>
            <w:tcW w:w="266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84,565,544,146.58</w:t>
            </w:r>
          </w:p>
        </w:tc>
        <w:tc>
          <w:tcPr>
            <w:tcW w:w="112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100%</w:t>
            </w:r>
          </w:p>
        </w:tc>
        <w:tc>
          <w:tcPr>
            <w:tcW w:w="12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24.33%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32" w:hRule="atLeast"/>
        </w:trPr>
        <w:tc>
          <w:tcPr>
            <w:tcW w:w="9538"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分行业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7" w:hRule="atLeast"/>
        </w:trPr>
        <w:tc>
          <w:tcPr>
            <w:tcW w:w="5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汽车</w:t>
            </w:r>
          </w:p>
        </w:tc>
        <w:tc>
          <w:tcPr>
            <w:tcW w:w="28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105Jj41,877,237.05</w:t>
            </w:r>
          </w:p>
        </w:tc>
        <w:tc>
          <w:tcPr>
            <w:tcW w:w="11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100%</w:t>
            </w:r>
          </w:p>
        </w:tc>
        <w:tc>
          <w:tcPr>
            <w:tcW w:w="266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84,565,544,146.58</w:t>
            </w:r>
          </w:p>
        </w:tc>
        <w:tc>
          <w:tcPr>
            <w:tcW w:w="112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100%</w:t>
            </w:r>
          </w:p>
        </w:tc>
        <w:tc>
          <w:tcPr>
            <w:tcW w:w="12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24.33%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32" w:hRule="atLeast"/>
        </w:trPr>
        <w:tc>
          <w:tcPr>
            <w:tcW w:w="9538"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分产品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7" w:hRule="atLeast"/>
        </w:trPr>
        <w:tc>
          <w:tcPr>
            <w:tcW w:w="5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销售商品</w:t>
            </w:r>
          </w:p>
        </w:tc>
        <w:tc>
          <w:tcPr>
            <w:tcW w:w="28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99,238,618,010.70</w:t>
            </w:r>
          </w:p>
        </w:tc>
        <w:tc>
          <w:tcPr>
            <w:tcW w:w="11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94.39%</w:t>
            </w:r>
          </w:p>
        </w:tc>
        <w:tc>
          <w:tcPr>
            <w:tcW w:w="266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80,899,429,445.67</w:t>
            </w:r>
          </w:p>
        </w:tc>
        <w:tc>
          <w:tcPr>
            <w:tcW w:w="112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95.66%</w:t>
            </w:r>
          </w:p>
        </w:tc>
        <w:tc>
          <w:tcPr>
            <w:tcW w:w="12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22.67%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7" w:hRule="atLeast"/>
        </w:trPr>
        <w:tc>
          <w:tcPr>
            <w:tcW w:w="5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提供劳务及其他</w:t>
            </w:r>
          </w:p>
        </w:tc>
        <w:tc>
          <w:tcPr>
            <w:tcW w:w="28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5,903,259,226.35</w:t>
            </w:r>
          </w:p>
        </w:tc>
        <w:tc>
          <w:tcPr>
            <w:tcW w:w="11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5.61%</w:t>
            </w:r>
          </w:p>
        </w:tc>
        <w:tc>
          <w:tcPr>
            <w:tcW w:w="266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3,666,114,700.91</w:t>
            </w:r>
          </w:p>
        </w:tc>
        <w:tc>
          <w:tcPr>
            <w:tcW w:w="112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4.34%</w:t>
            </w:r>
          </w:p>
        </w:tc>
        <w:tc>
          <w:tcPr>
            <w:tcW w:w="12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61.02%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2" w:hRule="atLeast"/>
        </w:trPr>
        <w:tc>
          <w:tcPr>
            <w:tcW w:w="9538"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分地区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7" w:hRule="atLeast"/>
        </w:trPr>
        <w:tc>
          <w:tcPr>
            <w:tcW w:w="5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中国</w:t>
            </w:r>
          </w:p>
        </w:tc>
        <w:tc>
          <w:tcPr>
            <w:tcW w:w="28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97,338,405,886.42</w:t>
            </w:r>
          </w:p>
        </w:tc>
        <w:tc>
          <w:tcPr>
            <w:tcW w:w="11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92.58%</w:t>
            </w:r>
          </w:p>
        </w:tc>
        <w:tc>
          <w:tcPr>
            <w:tcW w:w="266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80,532,222,529.71</w:t>
            </w:r>
          </w:p>
        </w:tc>
        <w:tc>
          <w:tcPr>
            <w:tcW w:w="112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95.23%</w:t>
            </w:r>
          </w:p>
        </w:tc>
        <w:tc>
          <w:tcPr>
            <w:tcW w:w="12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20.87%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7" w:hRule="atLeast"/>
        </w:trPr>
        <w:tc>
          <w:tcPr>
            <w:tcW w:w="5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境外</w:t>
            </w:r>
          </w:p>
        </w:tc>
        <w:tc>
          <w:tcPr>
            <w:tcW w:w="28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7,803,471,350.63</w:t>
            </w:r>
          </w:p>
        </w:tc>
        <w:tc>
          <w:tcPr>
            <w:tcW w:w="11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7.42%</w:t>
            </w:r>
          </w:p>
        </w:tc>
        <w:tc>
          <w:tcPr>
            <w:tcW w:w="266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4,033,321,616.87</w:t>
            </w:r>
          </w:p>
        </w:tc>
        <w:tc>
          <w:tcPr>
            <w:tcW w:w="112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4.77%</w:t>
            </w:r>
          </w:p>
        </w:tc>
        <w:tc>
          <w:tcPr>
            <w:tcW w:w="12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93.48%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2" w:hRule="atLeast"/>
        </w:trPr>
        <w:tc>
          <w:tcPr>
            <w:tcW w:w="336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分销售模式</w:t>
            </w:r>
          </w:p>
        </w:tc>
        <w:tc>
          <w:tcPr>
            <w:tcW w:w="6173" w:type="dxa"/>
            <w:gridSpan w:val="4"/>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bCs/>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31" w:hRule="atLeast"/>
        </w:trPr>
        <w:tc>
          <w:tcPr>
            <w:tcW w:w="5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经销商模式</w:t>
            </w:r>
          </w:p>
        </w:tc>
        <w:tc>
          <w:tcPr>
            <w:tcW w:w="28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96,492,889,603.69</w:t>
            </w:r>
          </w:p>
        </w:tc>
        <w:tc>
          <w:tcPr>
            <w:tcW w:w="11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91.78%</w:t>
            </w:r>
          </w:p>
        </w:tc>
        <w:tc>
          <w:tcPr>
            <w:tcW w:w="266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80,108,603,983.72</w:t>
            </w:r>
          </w:p>
        </w:tc>
        <w:tc>
          <w:tcPr>
            <w:tcW w:w="112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94.72%</w:t>
            </w:r>
          </w:p>
        </w:tc>
        <w:tc>
          <w:tcPr>
            <w:tcW w:w="12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20.45%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56" w:hRule="atLeast"/>
        </w:trPr>
        <w:tc>
          <w:tcPr>
            <w:tcW w:w="5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直营直销模式</w:t>
            </w:r>
          </w:p>
        </w:tc>
        <w:tc>
          <w:tcPr>
            <w:tcW w:w="28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2,745,728,407.01</w:t>
            </w:r>
          </w:p>
        </w:tc>
        <w:tc>
          <w:tcPr>
            <w:tcW w:w="11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2.61%</w:t>
            </w:r>
          </w:p>
        </w:tc>
        <w:tc>
          <w:tcPr>
            <w:tcW w:w="266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790,825,461.95</w:t>
            </w:r>
          </w:p>
        </w:tc>
        <w:tc>
          <w:tcPr>
            <w:tcW w:w="112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0.94%</w:t>
            </w:r>
          </w:p>
        </w:tc>
        <w:tc>
          <w:tcPr>
            <w:tcW w:w="12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247.20%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14" w:hRule="atLeast"/>
        </w:trPr>
        <w:tc>
          <w:tcPr>
            <w:tcW w:w="5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其他模式</w:t>
            </w:r>
          </w:p>
        </w:tc>
        <w:tc>
          <w:tcPr>
            <w:tcW w:w="28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5,903,259,226.35</w:t>
            </w:r>
          </w:p>
        </w:tc>
        <w:tc>
          <w:tcPr>
            <w:tcW w:w="11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5.61%</w:t>
            </w:r>
          </w:p>
        </w:tc>
        <w:tc>
          <w:tcPr>
            <w:tcW w:w="266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3,666,114,700.91</w:t>
            </w:r>
          </w:p>
        </w:tc>
        <w:tc>
          <w:tcPr>
            <w:tcW w:w="112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4.34%</w:t>
            </w:r>
          </w:p>
        </w:tc>
        <w:tc>
          <w:tcPr>
            <w:tcW w:w="12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61.02%</w:t>
            </w:r>
          </w:p>
        </w:tc>
      </w:tr>
    </w:tbl>
    <w:p>
      <w:pPr>
        <w:bidi w:val="0"/>
        <w:ind w:firstLine="56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上表是摘自长安汽车2021年年报，年报显示，长安汽车2021年的营业收入较2020年大幅上升24.33%，实现了较好的效益。长安汽车没有采用非相关多元化战略，长安汽车的全部业务都在汽车行业内展开，从财务管理的角度来说，这会给长安汽车带来了比多元化经营的公司更大的风险，事实也是如此，来自东方财富的数据显示，从2020年1月到2022年6月这段时间，长安汽车的贝塔系数最低1.42，最高达到1.9，远高于市场整体风险。</w:t>
      </w:r>
    </w:p>
    <w:p>
      <w:pPr>
        <w:bidi w:val="0"/>
        <w:ind w:firstLine="56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不过，可以看出长安汽车也在积极谋求通过相关联系型多元化或者相关约束型多元化来分散经营风险：相比2020年，2021年长安汽车提供的汽车相关的劳务数量大幅提高61%，在全部业务中的比重也提高了1个百分点；长安汽车的销售模式中，直营和其他模式均实现了一定的增长。长安汽车选择相关型多元化模式分散风险是可以理解的，因为像它这样的工业企业转型非常困难，相关型多元化也能充分共享长安汽车的核心竞争力和资源，降低公司的成本，可以从长安汽车的报表中发现，长安汽车各项业务的毛利都实现了一个百分点的增长。因此，长安汽车如果能继续扩大多元化成果，那么就能够在降低风险的同时获得价值。</w:t>
      </w:r>
    </w:p>
    <w:p>
      <w:pPr>
        <w:bidi w:val="0"/>
        <w:ind w:firstLine="56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长安汽车也积极部署全球化生产战略来分散经营风险和降低成本，公司不仅在全球部署研发中心和生产基地，它的海外业务也实现了较大的增长，从2018年的24.05亿元销售额逐年增长到2021年的78.03亿元，在全部销售额中的份额从4%来到7%，开始对长安汽车的利润产生较大影响。这在创造了新的利润增长点的同时分散风险、降低成本，因此继续保持的话会对长安汽车的价值产生正面影响。</w:t>
      </w:r>
    </w:p>
    <w:p>
      <w:pPr>
        <w:bidi w:val="0"/>
        <w:ind w:firstLine="56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长安汽车增加直营销售模式，这同1.2公司的文化中要求公司追随时代的要求相符合。因为根据供应链管理的理论，必须处在供应链的最下游才能保证获得的市场信息不会出现大量失真的情况，长安汽车染指分销能够帮助其实现企业愿景。</w:t>
      </w:r>
    </w:p>
    <w:p>
      <w:pPr>
        <w:bidi w:val="0"/>
        <w:rPr>
          <w:rFonts w:hint="default" w:ascii="宋体" w:hAnsi="宋体" w:eastAsia="宋体" w:cs="宋体"/>
          <w:b w:val="0"/>
          <w:bCs w:val="0"/>
          <w:sz w:val="28"/>
          <w:szCs w:val="36"/>
          <w:lang w:val="en-US" w:eastAsia="zh-CN"/>
        </w:rPr>
      </w:pPr>
      <w:r>
        <w:rPr>
          <w:rFonts w:hint="eastAsia" w:ascii="宋体" w:hAnsi="宋体" w:eastAsia="宋体" w:cs="宋体"/>
          <w:b/>
          <w:bCs/>
          <w:sz w:val="28"/>
          <w:szCs w:val="36"/>
          <w:lang w:val="en-US" w:eastAsia="zh-CN"/>
        </w:rPr>
        <w:t>2.1.2产品的市场竞争力</w:t>
      </w:r>
    </w:p>
    <w:p>
      <w:pPr>
        <w:keepNext w:val="0"/>
        <w:keepLines w:val="0"/>
        <w:widowControl/>
        <w:numPr>
          <w:ilvl w:val="0"/>
          <w:numId w:val="2"/>
        </w:numPr>
        <w:suppressLineNumbers w:val="0"/>
        <w:pBdr>
          <w:left w:val="none" w:color="auto" w:sz="0" w:space="0"/>
        </w:pBdr>
        <w:spacing w:before="0" w:beforeAutospacing="1" w:after="0" w:afterAutospacing="1" w:line="360" w:lineRule="atLeast"/>
        <w:ind w:left="0" w:hanging="36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长安汽车主营业务是整车制造，这里通过波士顿矩阵来分析长安汽车各种产品的市场竞争力。由于数据不足，这里只分析长安汽车自己品牌的产品，长安福特等合资品牌不包含在内；另外，由于长安汽车同时在售的产品比较多，这里只截取2022年5月占长安汽车销量10%以上的几款车型进行分析。占长安汽车销量10%以上的车型有：长安 CS75PLUS，13680辆占比20.43%；长安逸动10418辆占比15.56%；长安奔奔8485辆占比12.67%；长安 CS55 PLUS，8030辆占比11.99%；长安 UNI-V，7818辆占比11.67%，剩下的车型总共占比18541辆，占比27.68%。</w:t>
      </w:r>
    </w:p>
    <w:p>
      <w:pPr>
        <w:keepNext w:val="0"/>
        <w:keepLines w:val="0"/>
        <w:widowControl/>
        <w:numPr>
          <w:ilvl w:val="0"/>
          <w:numId w:val="2"/>
        </w:numPr>
        <w:suppressLineNumbers w:val="0"/>
        <w:pBdr>
          <w:left w:val="none" w:color="auto" w:sz="0" w:space="0"/>
        </w:pBdr>
        <w:spacing w:before="0" w:beforeAutospacing="1" w:after="0" w:afterAutospacing="1" w:line="360" w:lineRule="atLeast"/>
        <w:ind w:left="0" w:hanging="360"/>
        <w:rPr>
          <w:rFonts w:hint="eastAsia" w:ascii="宋体" w:hAnsi="宋体" w:eastAsia="宋体" w:cs="宋体"/>
          <w:b w:val="0"/>
          <w:bCs w:val="0"/>
          <w:sz w:val="28"/>
          <w:szCs w:val="36"/>
          <w:lang w:val="en-US" w:eastAsia="zh-CN"/>
        </w:rPr>
      </w:pPr>
      <w:r>
        <w:rPr>
          <w:sz w:val="21"/>
        </w:rPr>
        <mc:AlternateContent>
          <mc:Choice Requires="wps">
            <w:drawing>
              <wp:anchor distT="0" distB="0" distL="114300" distR="114300" simplePos="0" relativeHeight="251663360" behindDoc="0" locked="0" layoutInCell="1" allowOverlap="1">
                <wp:simplePos x="0" y="0"/>
                <wp:positionH relativeFrom="column">
                  <wp:posOffset>2582545</wp:posOffset>
                </wp:positionH>
                <wp:positionV relativeFrom="paragraph">
                  <wp:posOffset>2384425</wp:posOffset>
                </wp:positionV>
                <wp:extent cx="786130" cy="370205"/>
                <wp:effectExtent l="4445" t="4445" r="17145" b="6350"/>
                <wp:wrapNone/>
                <wp:docPr id="6" name="文本框 6"/>
                <wp:cNvGraphicFramePr/>
                <a:graphic xmlns:a="http://schemas.openxmlformats.org/drawingml/2006/main">
                  <a:graphicData uri="http://schemas.microsoft.com/office/word/2010/wordprocessingShape">
                    <wps:wsp>
                      <wps:cNvSpPr txBox="1"/>
                      <wps:spPr>
                        <a:xfrm>
                          <a:off x="2573655" y="5650865"/>
                          <a:ext cx="786130" cy="3702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CS55PLUS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3.35pt;margin-top:187.75pt;height:29.15pt;width:61.9pt;z-index:251663360;mso-width-relative:page;mso-height-relative:page;" fillcolor="#FFFFFF [3201]" filled="t" stroked="t" coordsize="21600,21600" o:gfxdata="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MGwT/2AAAAAsBAAAPAAAAAAAAAAEAIAAAACIAAABkcnMvZG93bnJldi54bWxQSwEC&#10;FAAUAAAACACHTuJAD7YwCGYCAADCBAAADgAAAAAAAAABACAAAAAnAQAAZHJzL2Uyb0RvYy54bWxQ&#10;SwUGAAAAAAYABgBZAQAA/wU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CS55PLUS</w:t>
                      </w:r>
                    </w:p>
                  </w:txbxContent>
                </v:textbox>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1524000</wp:posOffset>
                </wp:positionH>
                <wp:positionV relativeFrom="paragraph">
                  <wp:posOffset>1402715</wp:posOffset>
                </wp:positionV>
                <wp:extent cx="617855" cy="271780"/>
                <wp:effectExtent l="4445" t="4445" r="17780" b="13335"/>
                <wp:wrapNone/>
                <wp:docPr id="5" name="文本框 5"/>
                <wp:cNvGraphicFramePr/>
                <a:graphic xmlns:a="http://schemas.openxmlformats.org/drawingml/2006/main">
                  <a:graphicData uri="http://schemas.microsoft.com/office/word/2010/wordprocessingShape">
                    <wps:wsp>
                      <wps:cNvSpPr txBox="1"/>
                      <wps:spPr>
                        <a:xfrm>
                          <a:off x="2776855" y="4736465"/>
                          <a:ext cx="617855" cy="2717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UNI-V</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0pt;margin-top:110.45pt;height:21.4pt;width:48.65pt;z-index:251662336;mso-width-relative:page;mso-height-relative:page;" fillcolor="#FFFFFF [3201]" filled="t" stroked="t" coordsize="21600,21600" o:gfxdata="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C7LCZ3XAAAACwEAAA8AAAAAAAAAAQAgAAAAIgAAAGRycy9kb3ducmV2LnhtbFBLAQIUABQA&#10;AAAIAIdO4kBUblegYwIAAMIEAAAOAAAAAAAAAAEAIAAAACYBAABkcnMvZTJvRG9jLnhtbFBLBQYA&#10;AAAABgAGAFkBAAD7BQ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UNI-V</w:t>
                      </w:r>
                    </w:p>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2455545</wp:posOffset>
                </wp:positionH>
                <wp:positionV relativeFrom="paragraph">
                  <wp:posOffset>1139825</wp:posOffset>
                </wp:positionV>
                <wp:extent cx="778510" cy="327660"/>
                <wp:effectExtent l="4445" t="4445" r="9525" b="18415"/>
                <wp:wrapNone/>
                <wp:docPr id="4" name="文本框 4"/>
                <wp:cNvGraphicFramePr/>
                <a:graphic xmlns:a="http://schemas.openxmlformats.org/drawingml/2006/main">
                  <a:graphicData uri="http://schemas.microsoft.com/office/word/2010/wordprocessingShape">
                    <wps:wsp>
                      <wps:cNvSpPr txBox="1"/>
                      <wps:spPr>
                        <a:xfrm>
                          <a:off x="3759200" y="4525010"/>
                          <a:ext cx="778510" cy="3276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CS75PLUS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3.35pt;margin-top:89.75pt;height:25.8pt;width:61.3pt;z-index:251661312;mso-width-relative:page;mso-height-relative:page;" fillcolor="#FFFFFF [3201]" filled="t" stroked="t" coordsize="21600,21600" o:gfxdata="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EUZA1DYAAAACwEAAA8AAAAAAAAAAQAgAAAAIgAAAGRycy9kb3ducmV2LnhtbFBLAQIUABQA&#10;AAAIAIdO4kDQsVn9YgIAAMIEAAAOAAAAAAAAAAEAIAAAACcBAABkcnMvZTJvRG9jLnhtbFBLBQYA&#10;AAAABgAGAFkBAAD7BQ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CS75PLUS</w:t>
                      </w:r>
                    </w:p>
                  </w:txbxContent>
                </v:textbox>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3267710</wp:posOffset>
                </wp:positionH>
                <wp:positionV relativeFrom="paragraph">
                  <wp:posOffset>377825</wp:posOffset>
                </wp:positionV>
                <wp:extent cx="516255" cy="262255"/>
                <wp:effectExtent l="4445" t="4445" r="12700" b="7620"/>
                <wp:wrapNone/>
                <wp:docPr id="3" name="文本框 3"/>
                <wp:cNvGraphicFramePr/>
                <a:graphic xmlns:a="http://schemas.openxmlformats.org/drawingml/2006/main">
                  <a:graphicData uri="http://schemas.microsoft.com/office/word/2010/wordprocessingShape">
                    <wps:wsp>
                      <wps:cNvSpPr txBox="1"/>
                      <wps:spPr>
                        <a:xfrm>
                          <a:off x="4639310" y="3805555"/>
                          <a:ext cx="516255" cy="2622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逸动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7.3pt;margin-top:29.75pt;height:20.65pt;width:40.65pt;z-index:251660288;mso-width-relative:page;mso-height-relative:page;" fillcolor="#FFFFFF [3201]" filled="t" stroked="t" coordsize="21600,21600" o:gfxdata="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FAr&#10;Sb7VAAAACgEAAA8AAAAAAAAAAQAgAAAAIgAAAGRycy9kb3ducmV2LnhtbFBLAQIUABQAAAAIAIdO&#10;4kALNJZvXwIAAMIEAAAOAAAAAAAAAAEAIAAAACQBAABkcnMvZTJvRG9jLnhtbFBLBQYAAAAABgAG&#10;AFkBAAD1BQ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逸动</w:t>
                      </w:r>
                    </w:p>
                  </w:txbxContent>
                </v:textbox>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4826000</wp:posOffset>
                </wp:positionH>
                <wp:positionV relativeFrom="paragraph">
                  <wp:posOffset>1758315</wp:posOffset>
                </wp:positionV>
                <wp:extent cx="592455" cy="260350"/>
                <wp:effectExtent l="4445" t="4445" r="12700" b="9525"/>
                <wp:wrapNone/>
                <wp:docPr id="1" name="文本框 1"/>
                <wp:cNvGraphicFramePr/>
                <a:graphic xmlns:a="http://schemas.openxmlformats.org/drawingml/2006/main">
                  <a:graphicData uri="http://schemas.microsoft.com/office/word/2010/wordprocessingShape">
                    <wps:wsp>
                      <wps:cNvSpPr txBox="1"/>
                      <wps:spPr>
                        <a:xfrm>
                          <a:off x="5918200" y="5210810"/>
                          <a:ext cx="592455" cy="2603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奔奔</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0pt;margin-top:138.45pt;height:20.5pt;width:46.65pt;z-index:251659264;mso-width-relative:page;mso-height-relative:page;" fillcolor="#FFFFFF [3201]" filled="t" stroked="t" coordsize="21600,21600" o:gfxdata="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MXgqRPZAAAACwEAAA8AAAAAAAAAAQAgAAAAIgAAAGRycy9kb3ducmV2LnhtbFBLAQIUABQAAAAI&#10;AIdO4kBh7gYKXgIAAMIEAAAOAAAAAAAAAAEAIAAAACgBAABkcnMvZTJvRG9jLnhtbFBLBQYAAAAA&#10;BgAGAFkBAAD4BQ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奔奔</w:t>
                      </w:r>
                    </w:p>
                  </w:txbxContent>
                </v:textbox>
              </v:shape>
            </w:pict>
          </mc:Fallback>
        </mc:AlternateContent>
      </w:r>
      <w:r>
        <w:drawing>
          <wp:inline distT="0" distB="0" distL="114300" distR="114300">
            <wp:extent cx="5257800" cy="3352165"/>
            <wp:effectExtent l="4445" t="4445" r="10795" b="11430"/>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keepNext w:val="0"/>
        <w:keepLines w:val="0"/>
        <w:widowControl/>
        <w:numPr>
          <w:ilvl w:val="0"/>
          <w:numId w:val="2"/>
        </w:numPr>
        <w:suppressLineNumbers w:val="0"/>
        <w:pBdr>
          <w:left w:val="none" w:color="auto" w:sz="0" w:space="0"/>
        </w:pBdr>
        <w:spacing w:before="0" w:beforeAutospacing="1" w:after="0" w:afterAutospacing="1" w:line="360" w:lineRule="atLeast"/>
        <w:ind w:left="0" w:hanging="36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以上是对五款长安汽车车型建立的波士顿矩阵模型，横轴为各细分市场的份额，纵轴为这些产品的环比增长率。划分四类产品的分界线为环比增长率20%和细分市场市占率。其中长安 UNI-V和长安 CS55 PLUS对应的细分市场是9到13万的汽车市场；长安奔奔对应的是2到6万的汽车市场；长安CS75PLUS对应的主要是13到17万的汽车市场；长安逸动对应的是6到9万的汽车市场。</w:t>
      </w:r>
    </w:p>
    <w:p>
      <w:pPr>
        <w:keepNext w:val="0"/>
        <w:keepLines w:val="0"/>
        <w:widowControl/>
        <w:numPr>
          <w:ilvl w:val="0"/>
          <w:numId w:val="2"/>
        </w:numPr>
        <w:suppressLineNumbers w:val="0"/>
        <w:pBdr>
          <w:left w:val="none" w:color="auto" w:sz="0" w:space="0"/>
        </w:pBdr>
        <w:spacing w:before="0" w:beforeAutospacing="1" w:after="0" w:afterAutospacing="1" w:line="360" w:lineRule="atLeast"/>
        <w:ind w:left="0" w:hanging="36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从矩阵中可以看出，长安汽车有一款车型CS55PLUS被划分为瘦狗产品，三款（逸动、CS75PLUS、UNI-V）被划分为问题产品，一款（奔奔）被划分为明星产品。</w:t>
      </w:r>
    </w:p>
    <w:p>
      <w:pPr>
        <w:keepNext w:val="0"/>
        <w:keepLines w:val="0"/>
        <w:widowControl/>
        <w:numPr>
          <w:ilvl w:val="0"/>
          <w:numId w:val="2"/>
        </w:numPr>
        <w:suppressLineNumbers w:val="0"/>
        <w:pBdr>
          <w:left w:val="none" w:color="auto" w:sz="0" w:space="0"/>
        </w:pBdr>
        <w:spacing w:before="0" w:beforeAutospacing="1" w:after="0" w:afterAutospacing="1" w:line="360" w:lineRule="atLeast"/>
        <w:ind w:left="0" w:hanging="36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根据矩阵的定义，CS55PLUS处于市占率和环比增长率双低的状态下，可能处于导入期，也可能处于衰退期。考虑到该款车型2021年年初才被投放到市场，2021年12月达到销量高峰后陷入衰退，这可能同疫情的影响相关，而其增长率也接近20%，因此我认为它并非处于衰退期的产品，应该同长安其他几款车一起划入导入期产品。</w:t>
      </w:r>
    </w:p>
    <w:p>
      <w:pPr>
        <w:keepNext w:val="0"/>
        <w:keepLines w:val="0"/>
        <w:widowControl/>
        <w:numPr>
          <w:ilvl w:val="0"/>
          <w:numId w:val="2"/>
        </w:numPr>
        <w:suppressLineNumbers w:val="0"/>
        <w:pBdr>
          <w:left w:val="none" w:color="auto" w:sz="0" w:space="0"/>
        </w:pBdr>
        <w:spacing w:before="0" w:beforeAutospacing="1" w:after="0" w:afterAutospacing="1" w:line="360" w:lineRule="atLeast"/>
        <w:ind w:left="0" w:hanging="36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问题产品的三款车正处于导入阶段，市占率仍然不高，但增长非常迅速，如果能够把握好营销手段，这三款产品有机会成长为明星产品。</w:t>
      </w:r>
    </w:p>
    <w:p>
      <w:pPr>
        <w:keepNext w:val="0"/>
        <w:keepLines w:val="0"/>
        <w:widowControl/>
        <w:numPr>
          <w:ilvl w:val="0"/>
          <w:numId w:val="2"/>
        </w:numPr>
        <w:suppressLineNumbers w:val="0"/>
        <w:pBdr>
          <w:left w:val="none" w:color="auto" w:sz="0" w:space="0"/>
        </w:pBdr>
        <w:spacing w:before="0" w:beforeAutospacing="1" w:after="0" w:afterAutospacing="1" w:line="360" w:lineRule="atLeast"/>
        <w:ind w:left="0" w:hanging="36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长安奔奔属于明星产品，它处于市占率和增长率双高的阶段，公司应该在此加大资金的投入，积极扩大经济规模，寻求竞争地位的提高和市占率的快速提升。</w:t>
      </w:r>
    </w:p>
    <w:p>
      <w:pPr>
        <w:keepNext w:val="0"/>
        <w:keepLines w:val="0"/>
        <w:widowControl/>
        <w:numPr>
          <w:ilvl w:val="0"/>
          <w:numId w:val="2"/>
        </w:numPr>
        <w:suppressLineNumbers w:val="0"/>
        <w:pBdr>
          <w:left w:val="none" w:color="auto" w:sz="0" w:space="0"/>
        </w:pBdr>
        <w:spacing w:before="0" w:beforeAutospacing="1" w:after="0" w:afterAutospacing="1" w:line="360" w:lineRule="atLeast"/>
        <w:ind w:left="0" w:hanging="36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从以上几款车的价格以及它们在长安汽车销售量中的地位来看，长安汽车并不寻求高端市场的占有，而是专注于中低端的细分汽车市场，它在文化倾向于造福全人类而不是满足定制化的私人需求。</w:t>
      </w:r>
    </w:p>
    <w:p>
      <w:pPr>
        <w:keepNext w:val="0"/>
        <w:keepLines w:val="0"/>
        <w:widowControl/>
        <w:numPr>
          <w:ilvl w:val="0"/>
          <w:numId w:val="2"/>
        </w:numPr>
        <w:suppressLineNumbers w:val="0"/>
        <w:pBdr>
          <w:left w:val="none" w:color="auto" w:sz="0" w:space="0"/>
        </w:pBdr>
        <w:spacing w:before="0" w:beforeAutospacing="1" w:after="0" w:afterAutospacing="1" w:line="360" w:lineRule="atLeast"/>
        <w:ind w:left="0" w:hanging="360"/>
        <w:rPr>
          <w:rFonts w:hint="eastAsia" w:ascii="宋体" w:hAnsi="宋体" w:eastAsia="宋体" w:cs="宋体"/>
          <w:b/>
          <w:bCs/>
          <w:sz w:val="28"/>
          <w:szCs w:val="36"/>
          <w:lang w:val="en-US" w:eastAsia="zh-CN"/>
        </w:rPr>
      </w:pPr>
      <w:r>
        <w:rPr>
          <w:rFonts w:hint="eastAsia" w:ascii="宋体" w:hAnsi="宋体" w:eastAsia="宋体" w:cs="宋体"/>
          <w:b/>
          <w:bCs/>
          <w:sz w:val="28"/>
          <w:szCs w:val="36"/>
          <w:lang w:val="en-US" w:eastAsia="zh-CN"/>
        </w:rPr>
        <w:t>总结以上观点，可以发现长安汽车的产品正处于一个启动阶段，未来可能有比较高的增长，但这种增长能否持续，能否获得更高的市占率还需要进一步考察。</w:t>
      </w:r>
    </w:p>
    <w:p>
      <w:pPr>
        <w:bidi w:val="0"/>
        <w:rPr>
          <w:rFonts w:hint="eastAsia" w:ascii="宋体" w:hAnsi="宋体" w:eastAsia="宋体" w:cs="宋体"/>
          <w:b/>
          <w:bCs/>
          <w:sz w:val="28"/>
          <w:szCs w:val="36"/>
          <w:lang w:val="en-US" w:eastAsia="zh-CN"/>
        </w:rPr>
      </w:pPr>
      <w:r>
        <w:rPr>
          <w:rFonts w:hint="eastAsia" w:ascii="宋体" w:hAnsi="宋体" w:eastAsia="宋体" w:cs="宋体"/>
          <w:b/>
          <w:bCs/>
          <w:sz w:val="28"/>
          <w:szCs w:val="36"/>
          <w:lang w:val="en-US" w:eastAsia="zh-CN"/>
        </w:rPr>
        <w:t>2.2行业总体环境分析</w:t>
      </w:r>
    </w:p>
    <w:p>
      <w:pPr>
        <w:keepNext w:val="0"/>
        <w:keepLines w:val="0"/>
        <w:widowControl/>
        <w:numPr>
          <w:ilvl w:val="0"/>
          <w:numId w:val="0"/>
        </w:numPr>
        <w:suppressLineNumbers w:val="0"/>
        <w:pBdr>
          <w:left w:val="none" w:color="auto" w:sz="0" w:space="0"/>
        </w:pBdr>
        <w:spacing w:before="0" w:beforeAutospacing="1" w:after="0" w:afterAutospacing="1" w:line="360" w:lineRule="atLeast"/>
        <w:ind w:left="-360" w:leftChars="0" w:firstLine="560" w:firstLineChars="20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 xml:space="preserve"> 2021 年，国内汽车行业累计产销分别实现 2,608.2 万辆和 2,627.5 万辆，同比分别增长 3.4%和 3.8%，其中销量为近四年 来首次正增长，产销规模连续 13 年居全球第一。受芯片短缺等因素影响，汽车市场全年呈现“前高后低”走势，前四个月 销量同比保持正增长，增速从 3 月开始持续下降，5 月起同比增速由正转负，四季度降幅逐渐收窄。 尽管面临芯片短缺、原材料价格上涨等因素制约，乘用车销量依然突破了 2,100 万辆，乘用车产销量分别实现 2,140.8 万辆和 2,148.2 万辆，同比增长 7.1%和 6.5%，产销增幅均好于行业总体，同样结束了自 2018 年以来连续三年下降趋势。其 中轿车销量 993.4 万辆，同比增长 7.1%，增速好于乘用车行业 0.6 个百分点；SUV 销量规模继续超过轿车，达到 1,010.1 万 辆，同比增长 6.8%。商用车受国六排放法规切换、“蓝牌轻卡”新政消费观望、地产和基建行业投资增速明显放缓等因素 影响，全年产销同比有所下滑，产销分别实现 467.4 万辆和 479.3 万辆，同比分别下降 10.7%和 6.6%。 新能源汽车表现突出，销量迅猛增长。得益于新能源政策引导、产品供给提升、消费认知度提高等因素影响，2021 年 新能源汽车产销分别达到 354.5 万辆和 352.1 万辆，同比均增长超 150%，成为汽车行业 2021 年最大亮点。全年新能源乘用 车销售 333.4 万辆，同比增长 167.5%，增幅远超乘用车市场整体，其中纯电动乘用车产销均突破 270 万辆。同时，新能源 乘用车市场份额由 2020 年末的 6.6%，提升至 15.5%，同比提升约 1.5 倍，成为在芯片短缺等供应链危机下，拉动乘用车市 场整体增长乃至支撑汽车市场保持正增长的主要动力。部分传统车企凭借产品精准的市场定位以及对消费者需求的准确把 握，在如新能源微型车市场等细分市场取得不俗表现，并拉动细分市场增长；而新能源头部企业借助丰富的产品组合和各 有所长的技术、科技属性成为行业标杆；新势力企业则通过全新的产品及服务体验吸引消费者，也展现出独特的竞争实力。 中国品牌狭义乘用车份额攀升至历史高位。2021 年全年狭义乘用车市场表现受到芯片持续供应不足的影响，但自主品 牌凭借差异化的产品定位和更灵活的应对机制，所遭遇冲击小于合资品牌，同时中国品牌把握住了新能源乘用车发展契机， 推出了丰富的 EV/PHEV 产品，享受到了此轮新能源大幅增长的红利，拉动自主品牌市场份额的提升。2021 年中国品牌狭义乘用车累计销量 936.6 万辆，同比增长 25.2%，市场份额较 2020 年提升 6.6 个百分点至 44.2%，刷新了 2017 年创造的中 国品牌狭义乘用车市占率历史最好水平，同时还扭转了自 2018 年以来中国品牌乘用车市占率持续下滑的不利态势。</w:t>
      </w:r>
    </w:p>
    <w:p>
      <w:pPr>
        <w:keepNext w:val="0"/>
        <w:keepLines w:val="0"/>
        <w:widowControl/>
        <w:numPr>
          <w:ilvl w:val="0"/>
          <w:numId w:val="0"/>
        </w:numPr>
        <w:suppressLineNumbers w:val="0"/>
        <w:pBdr>
          <w:left w:val="none" w:color="auto" w:sz="0" w:space="0"/>
        </w:pBdr>
        <w:spacing w:before="0" w:beforeAutospacing="1" w:after="0" w:afterAutospacing="1" w:line="360" w:lineRule="atLeast"/>
        <w:ind w:left="-360" w:leftChars="0" w:firstLine="562" w:firstLineChars="200"/>
        <w:rPr>
          <w:rFonts w:hint="eastAsia" w:ascii="宋体" w:hAnsi="宋体" w:eastAsia="宋体" w:cs="宋体"/>
          <w:b/>
          <w:bCs/>
          <w:sz w:val="28"/>
          <w:szCs w:val="36"/>
          <w:lang w:val="en-US" w:eastAsia="zh-CN"/>
        </w:rPr>
      </w:pPr>
      <w:r>
        <w:rPr>
          <w:rFonts w:hint="eastAsia" w:ascii="宋体" w:hAnsi="宋体" w:eastAsia="宋体" w:cs="宋体"/>
          <w:b/>
          <w:bCs/>
          <w:sz w:val="28"/>
          <w:szCs w:val="36"/>
          <w:lang w:val="en-US" w:eastAsia="zh-CN"/>
        </w:rPr>
        <w:t>以上摘自长安汽车2021年年报，总结可得，2021年中国汽车总体销量开始回暖，总体需求环境向好；在供给方面，受各方面因素影响，原材料价格不断上涨，逐渐侵蚀汽车企业的利润，这是比较大的威胁之一；汽车芯片的供给仍然无法得到缓解，这极大制约了汽车行业的发展速度，这是另一威胁；但是在新能源汽车方面国产品牌汽车处于世界领先地位，使中国汽车品牌所受威胁小于传统日产汽车。</w:t>
      </w:r>
    </w:p>
    <w:p>
      <w:pPr>
        <w:pStyle w:val="3"/>
        <w:numPr>
          <w:numId w:val="0"/>
        </w:numPr>
        <w:bidi w:val="0"/>
        <w:ind w:leftChars="0"/>
        <w:rPr>
          <w:rFonts w:hint="eastAsia"/>
          <w:lang w:val="en-US" w:eastAsia="zh-CN"/>
        </w:rPr>
      </w:pPr>
      <w:r>
        <w:rPr>
          <w:rFonts w:hint="eastAsia"/>
          <w:lang w:val="en-US" w:eastAsia="zh-CN"/>
        </w:rPr>
        <w:t>3、公司未来规划、内部资源</w:t>
      </w:r>
    </w:p>
    <w:p>
      <w:pPr>
        <w:keepNext w:val="0"/>
        <w:keepLines w:val="0"/>
        <w:widowControl/>
        <w:numPr>
          <w:ilvl w:val="0"/>
          <w:numId w:val="0"/>
        </w:numPr>
        <w:suppressLineNumbers w:val="0"/>
        <w:pBdr>
          <w:left w:val="none" w:color="auto" w:sz="0" w:space="0"/>
        </w:pBdr>
        <w:spacing w:before="0" w:beforeAutospacing="1" w:after="0" w:afterAutospacing="1" w:line="360" w:lineRule="atLeast"/>
        <w:ind w:left="-360" w:leftChars="0" w:firstLine="643" w:firstLineChars="200"/>
        <w:rPr>
          <w:rFonts w:hint="eastAsia" w:asciiTheme="minorHAnsi" w:hAnsiTheme="minorHAnsi" w:eastAsiaTheme="minorEastAsia" w:cstheme="minorBidi"/>
          <w:b/>
          <w:kern w:val="2"/>
          <w:sz w:val="32"/>
          <w:szCs w:val="24"/>
          <w:lang w:val="en-US" w:eastAsia="zh-CN" w:bidi="ar-SA"/>
        </w:rPr>
      </w:pPr>
      <w:r>
        <w:rPr>
          <w:rFonts w:hint="eastAsia" w:asciiTheme="minorHAnsi" w:hAnsiTheme="minorHAnsi" w:eastAsiaTheme="minorEastAsia" w:cstheme="minorBidi"/>
          <w:b/>
          <w:kern w:val="2"/>
          <w:sz w:val="32"/>
          <w:szCs w:val="24"/>
          <w:lang w:val="en-US" w:eastAsia="zh-CN" w:bidi="ar-SA"/>
        </w:rPr>
        <w:t>3.1未来规划</w:t>
      </w:r>
    </w:p>
    <w:p>
      <w:pPr>
        <w:keepNext w:val="0"/>
        <w:keepLines w:val="0"/>
        <w:widowControl/>
        <w:numPr>
          <w:ilvl w:val="0"/>
          <w:numId w:val="0"/>
        </w:numPr>
        <w:suppressLineNumbers w:val="0"/>
        <w:pBdr>
          <w:left w:val="none" w:color="auto" w:sz="0" w:space="0"/>
        </w:pBdr>
        <w:spacing w:before="0" w:beforeAutospacing="1" w:after="0" w:afterAutospacing="1" w:line="360" w:lineRule="atLeast"/>
        <w:ind w:left="-360" w:leftChars="0" w:firstLine="562" w:firstLineChars="200"/>
        <w:rPr>
          <w:rFonts w:hint="eastAsia" w:ascii="宋体" w:hAnsi="宋体" w:eastAsia="宋体" w:cs="宋体"/>
          <w:b w:val="0"/>
          <w:bCs w:val="0"/>
          <w:sz w:val="28"/>
          <w:szCs w:val="36"/>
          <w:lang w:val="en-US" w:eastAsia="zh-CN"/>
        </w:rPr>
      </w:pPr>
      <w:r>
        <w:rPr>
          <w:rFonts w:hint="eastAsia" w:ascii="宋体" w:hAnsi="宋体" w:eastAsia="宋体" w:cs="宋体"/>
          <w:b/>
          <w:bCs/>
          <w:sz w:val="28"/>
          <w:szCs w:val="36"/>
          <w:lang w:val="en-US" w:eastAsia="zh-CN"/>
        </w:rPr>
        <w:t xml:space="preserve">3.1.1以前规划的执行状况 </w:t>
      </w:r>
      <w:r>
        <w:rPr>
          <w:rFonts w:hint="eastAsia" w:ascii="宋体" w:hAnsi="宋体" w:eastAsia="宋体" w:cs="宋体"/>
          <w:b w:val="0"/>
          <w:bCs w:val="0"/>
          <w:sz w:val="28"/>
          <w:szCs w:val="36"/>
          <w:lang w:val="en-US" w:eastAsia="zh-CN"/>
        </w:rPr>
        <w:t xml:space="preserve">   </w:t>
      </w:r>
    </w:p>
    <w:p>
      <w:pPr>
        <w:keepNext w:val="0"/>
        <w:keepLines w:val="0"/>
        <w:widowControl/>
        <w:numPr>
          <w:ilvl w:val="0"/>
          <w:numId w:val="0"/>
        </w:numPr>
        <w:suppressLineNumbers w:val="0"/>
        <w:pBdr>
          <w:left w:val="none" w:color="auto" w:sz="0" w:space="0"/>
        </w:pBdr>
        <w:spacing w:before="0" w:beforeAutospacing="1" w:after="0" w:afterAutospacing="1" w:line="360" w:lineRule="atLeast"/>
        <w:ind w:left="-360" w:leftChars="0" w:firstLine="560" w:firstLineChars="20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首先考察公司对自己之前规划的执行状况，这里采用的指标是长安汽车在年报中每年披露的经营计划和之后一年年报中报告的汽车销售数量。</w:t>
      </w:r>
    </w:p>
    <w:p>
      <w:pPr>
        <w:keepNext w:val="0"/>
        <w:keepLines w:val="0"/>
        <w:widowControl/>
        <w:numPr>
          <w:ilvl w:val="0"/>
          <w:numId w:val="0"/>
        </w:numPr>
        <w:suppressLineNumbers w:val="0"/>
        <w:pBdr>
          <w:left w:val="none" w:color="auto" w:sz="0" w:space="0"/>
        </w:pBdr>
        <w:spacing w:before="0" w:beforeAutospacing="1" w:after="0" w:afterAutospacing="1" w:line="360" w:lineRule="atLeast"/>
        <w:ind w:left="-360" w:leftChars="0" w:firstLine="560" w:firstLineChars="20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在2020年年报中，长安汽车在经营计划中表示2021年要实现215万辆汽车的产销目标，根据其2021年年报，2021年全年实现汽车销售230.1万辆，超额完成了销量目标。</w:t>
      </w:r>
    </w:p>
    <w:p>
      <w:pPr>
        <w:keepNext w:val="0"/>
        <w:keepLines w:val="0"/>
        <w:widowControl/>
        <w:numPr>
          <w:ilvl w:val="0"/>
          <w:numId w:val="0"/>
        </w:numPr>
        <w:suppressLineNumbers w:val="0"/>
        <w:pBdr>
          <w:left w:val="none" w:color="auto" w:sz="0" w:space="0"/>
        </w:pBdr>
        <w:spacing w:before="0" w:beforeAutospacing="1" w:after="0" w:afterAutospacing="1" w:line="360" w:lineRule="atLeast"/>
        <w:ind w:left="-360" w:leftChars="0" w:firstLine="560" w:firstLineChars="20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在2019年年报中，长安汽车在经营计划中表示2020年要实现191万辆汽车的产销目标，根据其2020年年报，2020年全年实现汽车销售200.4万辆，超额完成了销量目标。</w:t>
      </w:r>
    </w:p>
    <w:p>
      <w:pPr>
        <w:keepNext w:val="0"/>
        <w:keepLines w:val="0"/>
        <w:widowControl/>
        <w:numPr>
          <w:ilvl w:val="0"/>
          <w:numId w:val="0"/>
        </w:numPr>
        <w:suppressLineNumbers w:val="0"/>
        <w:pBdr>
          <w:left w:val="none" w:color="auto" w:sz="0" w:space="0"/>
        </w:pBdr>
        <w:spacing w:before="0" w:beforeAutospacing="1" w:after="0" w:afterAutospacing="1" w:line="360" w:lineRule="atLeast"/>
        <w:ind w:left="-360" w:leftChars="0" w:firstLine="560" w:firstLineChars="20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在2018年年报中，长安汽车在经营计划中表示2019年要实现215万辆汽车的产销目标，根据其2019年年报，2019年全年实现汽车销售176万辆，没能实现预期的目标。</w:t>
      </w:r>
    </w:p>
    <w:p>
      <w:pPr>
        <w:keepNext w:val="0"/>
        <w:keepLines w:val="0"/>
        <w:widowControl/>
        <w:numPr>
          <w:ilvl w:val="0"/>
          <w:numId w:val="0"/>
        </w:numPr>
        <w:suppressLineNumbers w:val="0"/>
        <w:pBdr>
          <w:left w:val="none" w:color="auto" w:sz="0" w:space="0"/>
        </w:pBdr>
        <w:spacing w:before="0" w:beforeAutospacing="1" w:after="0" w:afterAutospacing="1" w:line="360" w:lineRule="atLeast"/>
        <w:ind w:left="-360" w:leftChars="0" w:firstLine="562" w:firstLineChars="200"/>
        <w:rPr>
          <w:rFonts w:hint="eastAsia" w:ascii="宋体" w:hAnsi="宋体" w:eastAsia="宋体" w:cs="宋体"/>
          <w:b/>
          <w:bCs/>
          <w:sz w:val="28"/>
          <w:szCs w:val="36"/>
          <w:lang w:val="en-US" w:eastAsia="zh-CN"/>
        </w:rPr>
      </w:pPr>
      <w:r>
        <w:rPr>
          <w:rFonts w:hint="eastAsia" w:ascii="宋体" w:hAnsi="宋体" w:eastAsia="宋体" w:cs="宋体"/>
          <w:b/>
          <w:bCs/>
          <w:sz w:val="28"/>
          <w:szCs w:val="36"/>
          <w:lang w:val="en-US" w:eastAsia="zh-CN"/>
        </w:rPr>
        <w:t>对最近三年公司经营计划的执行情况考察发现，2019年公司未能完成预计的经营目标，但2020年和2021年公司都超额完成了公司制定的经营计划，但是还是要对长安汽车完成经营计划的能力持谨慎态度。</w:t>
      </w:r>
    </w:p>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bCs/>
          <w:sz w:val="28"/>
          <w:szCs w:val="36"/>
          <w:lang w:val="en-US" w:eastAsia="zh-CN"/>
        </w:rPr>
      </w:pPr>
      <w:r>
        <w:rPr>
          <w:rFonts w:hint="eastAsia" w:ascii="宋体" w:hAnsi="宋体" w:eastAsia="宋体" w:cs="宋体"/>
          <w:b/>
          <w:bCs/>
          <w:sz w:val="28"/>
          <w:szCs w:val="36"/>
          <w:lang w:val="en-US" w:eastAsia="zh-CN"/>
        </w:rPr>
        <w:t>3.1.2未来规划</w:t>
      </w:r>
    </w:p>
    <w:p>
      <w:pPr>
        <w:keepNext w:val="0"/>
        <w:keepLines w:val="0"/>
        <w:widowControl/>
        <w:numPr>
          <w:ilvl w:val="0"/>
          <w:numId w:val="0"/>
        </w:numPr>
        <w:suppressLineNumbers w:val="0"/>
        <w:pBdr>
          <w:left w:val="none" w:color="auto" w:sz="0" w:space="0"/>
        </w:pBdr>
        <w:spacing w:before="0" w:beforeAutospacing="1" w:after="0" w:afterAutospacing="1" w:line="360" w:lineRule="atLeast"/>
        <w:ind w:left="-360" w:leftChars="0" w:firstLine="560" w:firstLineChars="200"/>
        <w:rPr>
          <w:rFonts w:hint="default"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长安汽车的未来规划主要集中在智能低碳、出行及生态转化方面。长安汽车认为，未来的汽车已经不仅仅是一种单纯的交通工具，汽车可能发展成一种平台产品，成为智能移动终端、数据采集载体、多功能空间、 储能单元。汽车产品的演变推动汽车产业重塑，加速与能源、交通、通信、科技等产业跨界融合。同时，正如1.1公司的历史沿革揭示的那样，长安汽车积极配合国家整体战略：要实现双碳战略、全面放开、数据安全将引导产业转型。</w:t>
      </w:r>
    </w:p>
    <w:p>
      <w:pPr>
        <w:keepNext w:val="0"/>
        <w:keepLines w:val="0"/>
        <w:widowControl/>
        <w:numPr>
          <w:ilvl w:val="0"/>
          <w:numId w:val="0"/>
        </w:numPr>
        <w:suppressLineNumbers w:val="0"/>
        <w:pBdr>
          <w:left w:val="none" w:color="auto" w:sz="0" w:space="0"/>
        </w:pBdr>
        <w:spacing w:before="0" w:beforeAutospacing="1" w:after="0" w:afterAutospacing="1" w:line="360" w:lineRule="atLeast"/>
        <w:ind w:left="-360" w:leftChars="0" w:firstLine="560" w:firstLineChars="20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因此长安汽车制定了许多计划：第一，遵循民族主义情绪高涨的情况下民众对自主品牌的青睐，陆续推出长安深蓝、阿维塔等纯电国产品牌；第二，以用户需求为导向， 2025 年前计划推出 30 余款产品，这些产品大部分集中在中低端市场，很大一部分是电动车，显示了长安汽车实现碳达峰和通过占领市场来实现愿景的行动决心；第三，以关键核心技术自主掌控为目标，进一步夯实核心技术能力。第四，构建新生态和推动数字化转型。第五，积极开拓海外市场。</w:t>
      </w:r>
    </w:p>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cstheme="minorBidi"/>
          <w:b/>
          <w:kern w:val="2"/>
          <w:sz w:val="32"/>
          <w:szCs w:val="24"/>
          <w:lang w:val="en-US" w:eastAsia="zh-CN" w:bidi="ar-SA"/>
        </w:rPr>
      </w:pPr>
      <w:r>
        <w:rPr>
          <w:rFonts w:hint="eastAsia" w:cstheme="minorBidi"/>
          <w:b/>
          <w:kern w:val="2"/>
          <w:sz w:val="32"/>
          <w:szCs w:val="24"/>
          <w:lang w:val="en-US" w:eastAsia="zh-CN" w:bidi="ar-SA"/>
        </w:rPr>
        <w:t>3.2内部资源配置</w:t>
      </w:r>
    </w:p>
    <w:p>
      <w:pPr>
        <w:keepNext w:val="0"/>
        <w:keepLines w:val="0"/>
        <w:widowControl/>
        <w:numPr>
          <w:ilvl w:val="0"/>
          <w:numId w:val="0"/>
        </w:numPr>
        <w:suppressLineNumbers w:val="0"/>
        <w:pBdr>
          <w:left w:val="none" w:color="auto" w:sz="0" w:space="0"/>
        </w:pBdr>
        <w:spacing w:before="0" w:beforeAutospacing="1" w:after="0" w:afterAutospacing="1" w:line="360" w:lineRule="atLeast"/>
        <w:ind w:left="-360" w:leftChars="0" w:firstLine="560" w:firstLineChars="20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长安汽车认为自己的核心竞争力有以下几点组成：</w:t>
      </w:r>
    </w:p>
    <w:p>
      <w:pPr>
        <w:keepNext w:val="0"/>
        <w:keepLines w:val="0"/>
        <w:widowControl/>
        <w:numPr>
          <w:ilvl w:val="0"/>
          <w:numId w:val="0"/>
        </w:numPr>
        <w:suppressLineNumbers w:val="0"/>
        <w:pBdr>
          <w:left w:val="none" w:color="auto" w:sz="0" w:space="0"/>
        </w:pBdr>
        <w:spacing w:before="0" w:beforeAutospacing="1" w:after="0" w:afterAutospacing="1" w:line="360" w:lineRule="atLeast"/>
        <w:ind w:left="-360" w:leftChars="0" w:firstLine="560" w:firstLineChars="20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产品定义能力。以用户需求为中心，以公司战略为牵引，在向新生态+新汽车转型期间，公司强化用户洞察、市场 研究和产品策划能力，围绕“新四化”（电动化、网络化、智能化、共享化）拓展软件定义汽车能力，精准洞察用户需求， 精细产品布局。近两年公司投放七款新品，新品年销量达到 56.6 万辆。同时，公司根据供需关系对未来市场趋势作出清晰 的预判，重构细分市场逻辑，明确未来电动化、电气化的转型策略及关键行动路径。</w:t>
      </w:r>
    </w:p>
    <w:p>
      <w:pPr>
        <w:keepNext w:val="0"/>
        <w:keepLines w:val="0"/>
        <w:widowControl/>
        <w:numPr>
          <w:ilvl w:val="0"/>
          <w:numId w:val="0"/>
        </w:numPr>
        <w:suppressLineNumbers w:val="0"/>
        <w:pBdr>
          <w:left w:val="none" w:color="auto" w:sz="0" w:space="0"/>
        </w:pBdr>
        <w:spacing w:before="0" w:beforeAutospacing="1" w:after="0" w:afterAutospacing="1" w:line="360" w:lineRule="atLeast"/>
        <w:ind w:left="-360" w:leftChars="0" w:firstLine="560" w:firstLineChars="200"/>
        <w:rPr>
          <w:rFonts w:hint="default"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 xml:space="preserve"> 科技研发能力。2021 年公司投入技术研发资金数亿元，研发领域全年突破 58 项智能低碳核心技术，包括发布超集 电驱技术、电驱高频脉冲加热、APA6.0、三离合集成、全场景数字孪生开发开放平台等 5 项技术。在发改委公布的国家企 业技术中心 2021 年评价中，长安汽车以 97.1 分名列行业第一、全国第二。截至 2021 年，已拥有国内外专利 6,255 件，其中 发明专利 1,633 件，高价值发明专利 90 件。科研能力提升为公司打造智能低碳出行科技公司筑牢了技术底座。 </w:t>
      </w:r>
    </w:p>
    <w:p>
      <w:pPr>
        <w:keepNext w:val="0"/>
        <w:keepLines w:val="0"/>
        <w:widowControl/>
        <w:numPr>
          <w:ilvl w:val="0"/>
          <w:numId w:val="0"/>
        </w:numPr>
        <w:suppressLineNumbers w:val="0"/>
        <w:pBdr>
          <w:left w:val="none" w:color="auto" w:sz="0" w:space="0"/>
        </w:pBdr>
        <w:spacing w:before="0" w:beforeAutospacing="1" w:after="0" w:afterAutospacing="1" w:line="360" w:lineRule="atLeast"/>
        <w:ind w:left="-360" w:leftChars="0" w:firstLine="560" w:firstLineChars="200"/>
        <w:rPr>
          <w:rFonts w:hint="default"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 xml:space="preserve">品牌运营能力。公司积极构建品牌运营管理体系与框架，品牌向上计划运行体系正常有序推进。第一，围绕创新创 业计划，实施品牌焕新，提升品牌价值。牵手智博会成功举办长安汽车科技生态大会，发布“新汽车·新生态”六大战略举措 及产品规划；联合江苏卫视打造首档国产原创二次元综艺《2060》，塑造智能低碳出行科技公司形象；积极参与上海、重庆、 成都、广州四场国内重点车展，成功发布公司 2030 愿景，集中展示了 UNI 序列、CS 序列及新能源车型，完成长安汽车在 行业大型活动中的品牌占位；开发线上“长安汽车云车展”，全年线上车展参与量达 1,200 万。第二，持续打造核心品牌标 签，提升喜好度，沉淀品牌资产。聚焦蓝鲸动力、伙伴两大标签，通过征战 CTCC 大赛（中国汽车场地职业联赛）等系列 项目形成强效标签，支撑蓝鲸动力车型销售突破百万量；打造跨年 IP“有你真好”等项目，强化用户情感链接，实现长安汽 车品牌无提示知名度、喜好度连续三年提升，居自主品牌榜首。 </w:t>
      </w:r>
    </w:p>
    <w:p>
      <w:pPr>
        <w:keepNext w:val="0"/>
        <w:keepLines w:val="0"/>
        <w:widowControl/>
        <w:numPr>
          <w:ilvl w:val="0"/>
          <w:numId w:val="0"/>
        </w:numPr>
        <w:suppressLineNumbers w:val="0"/>
        <w:pBdr>
          <w:left w:val="none" w:color="auto" w:sz="0" w:space="0"/>
        </w:pBdr>
        <w:spacing w:before="0" w:beforeAutospacing="1" w:after="0" w:afterAutospacing="1" w:line="360" w:lineRule="atLeast"/>
        <w:ind w:left="-360" w:leftChars="0" w:firstLine="560" w:firstLineChars="20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正如长安汽车的公司文化所揭示的那样，长安汽车为了达成长久的愿景最需要两种能力，一种是对市场需求的精确把控，另一种是实现市场需求的科研能力，而长安汽车始终将这两种能力（产品定义能力和科技研发能力）视为自己的核心竞争力。长安汽车的未来发展计划实际上也是同其核心竞争力匹配的，如第一项规划（推出新品牌）对标的是第三种核心竞争力；第二项规划（推出30余款产品）对标的是第一种核心竞争力；第三项规划（掌握核心技术）对标的是第二种核心竞争力等。</w:t>
      </w:r>
    </w:p>
    <w:p>
      <w:pPr>
        <w:keepNext w:val="0"/>
        <w:keepLines w:val="0"/>
        <w:widowControl/>
        <w:numPr>
          <w:ilvl w:val="0"/>
          <w:numId w:val="0"/>
        </w:numPr>
        <w:suppressLineNumbers w:val="0"/>
        <w:pBdr>
          <w:left w:val="none" w:color="auto" w:sz="0" w:space="0"/>
        </w:pBdr>
        <w:spacing w:before="0" w:beforeAutospacing="1" w:after="0" w:afterAutospacing="1" w:line="360" w:lineRule="atLeast"/>
        <w:ind w:left="-360" w:leftChars="0" w:firstLine="562" w:firstLineChars="200"/>
        <w:rPr>
          <w:rFonts w:hint="eastAsia" w:ascii="宋体" w:hAnsi="宋体" w:eastAsia="宋体" w:cs="宋体"/>
          <w:b/>
          <w:bCs/>
          <w:sz w:val="28"/>
          <w:szCs w:val="36"/>
          <w:lang w:val="en-US" w:eastAsia="zh-CN"/>
        </w:rPr>
      </w:pPr>
      <w:r>
        <w:rPr>
          <w:rFonts w:hint="eastAsia" w:ascii="宋体" w:hAnsi="宋体" w:eastAsia="宋体" w:cs="宋体"/>
          <w:b/>
          <w:bCs/>
          <w:sz w:val="28"/>
          <w:szCs w:val="36"/>
          <w:lang w:val="en-US" w:eastAsia="zh-CN"/>
        </w:rPr>
        <w:t>如果长安汽车确实如其年报中所说已经逐步实现了三种核心竞争力，我认为长安汽车有很大概率能够实现其未来规划。</w:t>
      </w:r>
    </w:p>
    <w:p>
      <w:pPr>
        <w:pStyle w:val="3"/>
        <w:numPr>
          <w:ilvl w:val="0"/>
          <w:numId w:val="1"/>
        </w:numPr>
        <w:bidi w:val="0"/>
        <w:ind w:left="0" w:leftChars="0" w:firstLine="0" w:firstLineChars="0"/>
        <w:rPr>
          <w:rFonts w:hint="eastAsia"/>
          <w:lang w:val="en-US" w:eastAsia="zh-CN"/>
        </w:rPr>
      </w:pPr>
      <w:r>
        <w:rPr>
          <w:rFonts w:hint="eastAsia"/>
          <w:lang w:val="en-US" w:eastAsia="zh-CN"/>
        </w:rPr>
        <w:t>公司重大风险及应对能力</w:t>
      </w:r>
    </w:p>
    <w:p>
      <w:pPr>
        <w:keepNext w:val="0"/>
        <w:keepLines w:val="0"/>
        <w:widowControl/>
        <w:numPr>
          <w:ilvl w:val="0"/>
          <w:numId w:val="0"/>
        </w:numPr>
        <w:suppressLineNumbers w:val="0"/>
        <w:pBdr>
          <w:left w:val="none" w:color="auto" w:sz="0" w:space="0"/>
        </w:pBdr>
        <w:spacing w:before="0" w:beforeAutospacing="1" w:after="0" w:afterAutospacing="1" w:line="360" w:lineRule="atLeast"/>
        <w:ind w:left="-360" w:leftChars="0" w:firstLine="562" w:firstLineChars="200"/>
        <w:rPr>
          <w:rFonts w:hint="eastAsia" w:ascii="宋体" w:hAnsi="宋体" w:eastAsia="宋体" w:cs="宋体"/>
          <w:b/>
          <w:bCs/>
          <w:sz w:val="28"/>
          <w:szCs w:val="36"/>
          <w:lang w:val="en-US" w:eastAsia="zh-CN"/>
        </w:rPr>
      </w:pPr>
      <w:r>
        <w:rPr>
          <w:rFonts w:hint="eastAsia" w:ascii="宋体" w:hAnsi="宋体" w:eastAsia="宋体" w:cs="宋体"/>
          <w:b/>
          <w:bCs/>
          <w:sz w:val="28"/>
          <w:szCs w:val="36"/>
          <w:lang w:val="en-US" w:eastAsia="zh-CN"/>
        </w:rPr>
        <w:t>4.1重大风险分析</w:t>
      </w:r>
    </w:p>
    <w:p>
      <w:pPr>
        <w:keepNext w:val="0"/>
        <w:keepLines w:val="0"/>
        <w:widowControl/>
        <w:numPr>
          <w:ilvl w:val="0"/>
          <w:numId w:val="0"/>
        </w:numPr>
        <w:suppressLineNumbers w:val="0"/>
        <w:pBdr>
          <w:left w:val="none" w:color="auto" w:sz="0" w:space="0"/>
        </w:pBdr>
        <w:spacing w:before="0" w:beforeAutospacing="1" w:after="0" w:afterAutospacing="1" w:line="360" w:lineRule="atLeast"/>
        <w:ind w:left="-360" w:leftChars="0" w:firstLine="562" w:firstLineChars="200"/>
        <w:rPr>
          <w:rFonts w:hint="eastAsia" w:ascii="宋体" w:hAnsi="宋体" w:eastAsia="宋体" w:cs="宋体"/>
          <w:b/>
          <w:bCs/>
          <w:sz w:val="28"/>
          <w:szCs w:val="36"/>
          <w:lang w:val="en-US" w:eastAsia="zh-CN"/>
        </w:rPr>
      </w:pPr>
      <w:r>
        <w:rPr>
          <w:rFonts w:hint="eastAsia" w:ascii="宋体" w:hAnsi="宋体" w:eastAsia="宋体" w:cs="宋体"/>
          <w:b/>
          <w:bCs/>
          <w:sz w:val="28"/>
          <w:szCs w:val="36"/>
          <w:lang w:val="en-US" w:eastAsia="zh-CN"/>
        </w:rPr>
        <w:t>4.1.1历史风险</w:t>
      </w:r>
    </w:p>
    <w:p>
      <w:pPr>
        <w:keepNext w:val="0"/>
        <w:keepLines w:val="0"/>
        <w:widowControl/>
        <w:numPr>
          <w:ilvl w:val="0"/>
          <w:numId w:val="0"/>
        </w:numPr>
        <w:suppressLineNumbers w:val="0"/>
        <w:pBdr>
          <w:left w:val="none" w:color="auto" w:sz="0" w:space="0"/>
        </w:pBdr>
        <w:spacing w:before="0" w:beforeAutospacing="1" w:after="0" w:afterAutospacing="1" w:line="360" w:lineRule="atLeast"/>
        <w:ind w:left="-360" w:leftChars="0" w:firstLine="560" w:firstLineChars="20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长安汽车历史上违规次数很少，只有2019年旗下的长安福特汽车有限公司因违反《反垄断法》关于禁止经营者与交易相对人达成限定向第三人转售商品最低价格的垄断协议的规定而被中华人民共和国国家市场监督管理总局1.628亿元的罚款。</w:t>
      </w:r>
    </w:p>
    <w:p>
      <w:pPr>
        <w:keepNext w:val="0"/>
        <w:keepLines w:val="0"/>
        <w:widowControl/>
        <w:numPr>
          <w:ilvl w:val="0"/>
          <w:numId w:val="0"/>
        </w:numPr>
        <w:suppressLineNumbers w:val="0"/>
        <w:pBdr>
          <w:left w:val="none" w:color="auto" w:sz="0" w:space="0"/>
        </w:pBdr>
        <w:spacing w:before="0" w:beforeAutospacing="1" w:after="0" w:afterAutospacing="1" w:line="360" w:lineRule="atLeast"/>
        <w:ind w:left="-360" w:leftChars="0" w:firstLine="560" w:firstLineChars="20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长安汽车历史上曾面临比较大的经营风险，2017年，长安汽车的利润仍然维持在较高的71亿元，但是到了2018年，其利润大幅下降到不足1个亿，2019年，更是出现了亏损的状况，直到2020年其利润才开始逐渐开始恢复，利润的极不稳定是投资者要面临的一个重大风险。</w:t>
      </w:r>
    </w:p>
    <w:p>
      <w:pPr>
        <w:keepNext w:val="0"/>
        <w:keepLines w:val="0"/>
        <w:widowControl/>
        <w:numPr>
          <w:ilvl w:val="0"/>
          <w:numId w:val="0"/>
        </w:numPr>
        <w:suppressLineNumbers w:val="0"/>
        <w:pBdr>
          <w:left w:val="none" w:color="auto" w:sz="0" w:space="0"/>
        </w:pBdr>
        <w:spacing w:before="0" w:beforeAutospacing="1" w:after="0" w:afterAutospacing="1" w:line="360" w:lineRule="atLeast"/>
        <w:ind w:left="-360" w:leftChars="0" w:firstLine="562" w:firstLineChars="200"/>
        <w:rPr>
          <w:rFonts w:hint="eastAsia" w:ascii="宋体" w:hAnsi="宋体" w:eastAsia="宋体" w:cs="宋体"/>
          <w:b/>
          <w:bCs/>
          <w:sz w:val="28"/>
          <w:szCs w:val="36"/>
          <w:lang w:val="en-US" w:eastAsia="zh-CN"/>
        </w:rPr>
      </w:pPr>
      <w:r>
        <w:rPr>
          <w:rFonts w:hint="eastAsia" w:ascii="宋体" w:hAnsi="宋体" w:eastAsia="宋体" w:cs="宋体"/>
          <w:b/>
          <w:bCs/>
          <w:sz w:val="28"/>
          <w:szCs w:val="36"/>
          <w:lang w:val="en-US" w:eastAsia="zh-CN"/>
        </w:rPr>
        <w:t>4.1.2预计风险</w:t>
      </w:r>
    </w:p>
    <w:p>
      <w:pPr>
        <w:keepNext w:val="0"/>
        <w:keepLines w:val="0"/>
        <w:widowControl/>
        <w:numPr>
          <w:ilvl w:val="0"/>
          <w:numId w:val="3"/>
        </w:numPr>
        <w:suppressLineNumbers w:val="0"/>
        <w:pBdr>
          <w:left w:val="none" w:color="auto" w:sz="0" w:space="0"/>
        </w:pBdr>
        <w:spacing w:before="0" w:beforeAutospacing="1" w:after="0" w:afterAutospacing="1" w:line="360" w:lineRule="atLeast"/>
        <w:ind w:left="-360" w:leftChars="0" w:firstLine="560" w:firstLineChars="20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 xml:space="preserve">供应链风险 由于疫情持续、地缘冲突等因素影响，部分上游原材料供给不足，供应链协作能力下降，导致“缺芯少电”（芯片和动力电池）问题仍将阶段性持续，对汽车企业在生产保供方面仍形成一定压力。 </w:t>
      </w:r>
    </w:p>
    <w:p>
      <w:pPr>
        <w:keepNext w:val="0"/>
        <w:keepLines w:val="0"/>
        <w:widowControl/>
        <w:numPr>
          <w:ilvl w:val="0"/>
          <w:numId w:val="3"/>
        </w:numPr>
        <w:suppressLineNumbers w:val="0"/>
        <w:pBdr>
          <w:left w:val="none" w:color="auto" w:sz="0" w:space="0"/>
        </w:pBdr>
        <w:spacing w:before="0" w:beforeAutospacing="1" w:after="0" w:afterAutospacing="1" w:line="360" w:lineRule="atLeast"/>
        <w:ind w:left="-360" w:leftChars="0" w:firstLine="480" w:firstLineChars="200"/>
        <w:rPr>
          <w:rFonts w:hint="default" w:ascii="宋体" w:hAnsi="宋体" w:eastAsia="宋体" w:cs="宋体"/>
          <w:b w:val="0"/>
          <w:bCs w:val="0"/>
          <w:sz w:val="28"/>
          <w:szCs w:val="36"/>
          <w:lang w:val="en-US" w:eastAsia="zh-CN"/>
        </w:rPr>
      </w:pPr>
      <w:r>
        <w:rPr>
          <w:rFonts w:ascii="宋体" w:hAnsi="宋体" w:eastAsia="宋体" w:cs="宋体"/>
          <w:sz w:val="24"/>
          <w:szCs w:val="24"/>
        </w:rPr>
        <w:t xml:space="preserve"> 原</w:t>
      </w:r>
      <w:r>
        <w:rPr>
          <w:rFonts w:hint="eastAsia" w:ascii="宋体" w:hAnsi="宋体" w:eastAsia="宋体" w:cs="宋体"/>
          <w:b w:val="0"/>
          <w:bCs w:val="0"/>
          <w:sz w:val="28"/>
          <w:szCs w:val="36"/>
          <w:lang w:val="en-US" w:eastAsia="zh-CN"/>
        </w:rPr>
        <w:t xml:space="preserve">材料涨价风险 中长期来，随着全球疫情缓解，大宗商品供给有望逐步改善，但近期仍存在较多不确定因素，导致全球大宗商品价格 继续保持坚挺。一方面，全球地缘冲突升温，推动原油、天然气、农产品等价格上涨；另一方面，全球性碳排放约束及绿 色转型引发市场对部分基础金属长期需求增长预期，也推动了铜、铝、锂、钴、镍等部分矿产资源价格上涨。汽车企业生 产经营受能源、金属等大宗商品价格上涨影响，可能导致短期生产成本增加，经营压力加大。 </w:t>
      </w:r>
    </w:p>
    <w:p>
      <w:pPr>
        <w:keepNext w:val="0"/>
        <w:keepLines w:val="0"/>
        <w:widowControl/>
        <w:numPr>
          <w:ilvl w:val="0"/>
          <w:numId w:val="3"/>
        </w:numPr>
        <w:suppressLineNumbers w:val="0"/>
        <w:pBdr>
          <w:left w:val="none" w:color="auto" w:sz="0" w:space="0"/>
        </w:pBdr>
        <w:spacing w:before="0" w:beforeAutospacing="1" w:after="0" w:afterAutospacing="1" w:line="360" w:lineRule="atLeast"/>
        <w:ind w:left="-360" w:leftChars="0" w:firstLine="480" w:firstLineChars="200"/>
        <w:rPr>
          <w:rFonts w:hint="default" w:ascii="宋体" w:hAnsi="宋体" w:eastAsia="宋体" w:cs="宋体"/>
          <w:b w:val="0"/>
          <w:bCs w:val="0"/>
          <w:sz w:val="28"/>
          <w:szCs w:val="36"/>
          <w:lang w:val="en-US" w:eastAsia="zh-CN"/>
        </w:rPr>
      </w:pPr>
      <w:r>
        <w:rPr>
          <w:rFonts w:ascii="宋体" w:hAnsi="宋体" w:eastAsia="宋体" w:cs="宋体"/>
          <w:sz w:val="24"/>
          <w:szCs w:val="24"/>
        </w:rPr>
        <w:t xml:space="preserve"> </w:t>
      </w:r>
      <w:r>
        <w:rPr>
          <w:rFonts w:hint="eastAsia" w:ascii="宋体" w:hAnsi="宋体" w:eastAsia="宋体" w:cs="宋体"/>
          <w:b w:val="0"/>
          <w:bCs w:val="0"/>
          <w:sz w:val="28"/>
          <w:szCs w:val="36"/>
          <w:lang w:val="en-US" w:eastAsia="zh-CN"/>
        </w:rPr>
        <w:t>新冠疫情对汽车市场消费扰动风险 国内新冠疫情零星散发的风险尚未消除，对局部汽车市场销售形成扰动，同时对居民消费信心恢复形成抑制，导致汽 车市场销量和销售节奏的波动性加大。</w:t>
      </w:r>
    </w:p>
    <w:p>
      <w:pPr>
        <w:keepNext w:val="0"/>
        <w:keepLines w:val="0"/>
        <w:widowControl/>
        <w:numPr>
          <w:ilvl w:val="0"/>
          <w:numId w:val="0"/>
        </w:numPr>
        <w:suppressLineNumbers w:val="0"/>
        <w:pBdr>
          <w:left w:val="none" w:color="auto" w:sz="0" w:space="0"/>
        </w:pBdr>
        <w:spacing w:before="0" w:beforeAutospacing="1" w:after="0" w:afterAutospacing="1" w:line="360" w:lineRule="atLeast"/>
        <w:ind w:leftChars="200" w:firstLine="562" w:firstLineChars="200"/>
        <w:rPr>
          <w:rFonts w:hint="eastAsia" w:ascii="宋体" w:hAnsi="宋体" w:eastAsia="宋体" w:cs="宋体"/>
          <w:b/>
          <w:bCs/>
          <w:sz w:val="28"/>
          <w:szCs w:val="36"/>
          <w:lang w:val="en-US" w:eastAsia="zh-CN"/>
        </w:rPr>
      </w:pPr>
      <w:r>
        <w:rPr>
          <w:rFonts w:hint="eastAsia" w:ascii="宋体" w:hAnsi="宋体" w:eastAsia="宋体" w:cs="宋体"/>
          <w:b/>
          <w:bCs/>
          <w:sz w:val="28"/>
          <w:szCs w:val="36"/>
          <w:lang w:val="en-US" w:eastAsia="zh-CN"/>
        </w:rPr>
        <w:t>以上内容摘自公司2021年年报，我认为总结地非常完善，因此不做删改。</w:t>
      </w:r>
    </w:p>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bCs/>
          <w:sz w:val="28"/>
          <w:szCs w:val="36"/>
          <w:lang w:val="en-US" w:eastAsia="zh-CN"/>
        </w:rPr>
      </w:pPr>
      <w:r>
        <w:rPr>
          <w:rFonts w:hint="eastAsia" w:ascii="宋体" w:hAnsi="宋体" w:eastAsia="宋体" w:cs="宋体"/>
          <w:b/>
          <w:bCs/>
          <w:sz w:val="28"/>
          <w:szCs w:val="36"/>
          <w:lang w:val="en-US" w:eastAsia="zh-CN"/>
        </w:rPr>
        <w:t>4.2对策分析</w:t>
      </w:r>
    </w:p>
    <w:p>
      <w:pPr>
        <w:keepNext w:val="0"/>
        <w:keepLines w:val="0"/>
        <w:widowControl/>
        <w:numPr>
          <w:ilvl w:val="0"/>
          <w:numId w:val="0"/>
        </w:numPr>
        <w:suppressLineNumbers w:val="0"/>
        <w:pBdr>
          <w:left w:val="none" w:color="auto" w:sz="0" w:space="0"/>
        </w:pBdr>
        <w:spacing w:before="0" w:beforeAutospacing="1" w:after="0" w:afterAutospacing="1" w:line="360" w:lineRule="atLeast"/>
        <w:ind w:firstLine="56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为了应对供应链方面的风险，长安汽车预计将同供应商展开更加密切地沟通和合作，在优化组织生产方式的基础上在必要的时刻及时储备需要的风险部件，并寻找风险部件的替代方案。</w:t>
      </w:r>
    </w:p>
    <w:p>
      <w:pPr>
        <w:keepNext w:val="0"/>
        <w:keepLines w:val="0"/>
        <w:widowControl/>
        <w:numPr>
          <w:ilvl w:val="0"/>
          <w:numId w:val="0"/>
        </w:numPr>
        <w:suppressLineNumbers w:val="0"/>
        <w:pBdr>
          <w:left w:val="none" w:color="auto" w:sz="0" w:space="0"/>
        </w:pBdr>
        <w:spacing w:before="0" w:beforeAutospacing="1" w:after="0" w:afterAutospacing="1" w:line="360" w:lineRule="atLeast"/>
        <w:ind w:firstLine="560"/>
        <w:rPr>
          <w:rFonts w:hint="eastAsia" w:ascii="宋体" w:hAnsi="宋体" w:eastAsia="宋体" w:cs="宋体"/>
          <w:b/>
          <w:bCs/>
          <w:sz w:val="28"/>
          <w:szCs w:val="36"/>
          <w:lang w:val="en-US" w:eastAsia="zh-CN"/>
        </w:rPr>
      </w:pPr>
      <w:r>
        <w:rPr>
          <w:rFonts w:hint="eastAsia" w:ascii="宋体" w:hAnsi="宋体" w:eastAsia="宋体" w:cs="宋体"/>
          <w:b/>
          <w:bCs/>
          <w:sz w:val="28"/>
          <w:szCs w:val="36"/>
          <w:lang w:val="en-US" w:eastAsia="zh-CN"/>
        </w:rPr>
        <w:t>评价：由于缺失的是芯片等关键部件，在中国实现芯片完全自给以及动力电池扩大产能之前，我不认为存在非常好的替代方案能解决这一风险带来的影响，最多只能缓解一部分。</w:t>
      </w:r>
    </w:p>
    <w:p>
      <w:pPr>
        <w:keepNext w:val="0"/>
        <w:keepLines w:val="0"/>
        <w:widowControl/>
        <w:numPr>
          <w:ilvl w:val="0"/>
          <w:numId w:val="0"/>
        </w:numPr>
        <w:suppressLineNumbers w:val="0"/>
        <w:pBdr>
          <w:left w:val="none" w:color="auto" w:sz="0" w:space="0"/>
        </w:pBdr>
        <w:spacing w:before="0" w:beforeAutospacing="1" w:after="0" w:afterAutospacing="1" w:line="360" w:lineRule="atLeast"/>
        <w:ind w:firstLine="56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为了应对原材料价格上涨的影响，长安汽车的对策积极控制成本，并寻求通过生产技术法改进来减少原材料的使用；同时也加强同供应商的沟通，促使供应链上游的价格也能降低。</w:t>
      </w:r>
    </w:p>
    <w:p>
      <w:pPr>
        <w:keepNext w:val="0"/>
        <w:keepLines w:val="0"/>
        <w:widowControl/>
        <w:numPr>
          <w:ilvl w:val="0"/>
          <w:numId w:val="0"/>
        </w:numPr>
        <w:suppressLineNumbers w:val="0"/>
        <w:pBdr>
          <w:left w:val="none" w:color="auto" w:sz="0" w:space="0"/>
        </w:pBdr>
        <w:spacing w:before="0" w:beforeAutospacing="1" w:after="0" w:afterAutospacing="1" w:line="360" w:lineRule="atLeast"/>
        <w:ind w:firstLine="560"/>
        <w:rPr>
          <w:rFonts w:hint="eastAsia" w:ascii="宋体" w:hAnsi="宋体" w:eastAsia="宋体" w:cs="宋体"/>
          <w:b/>
          <w:bCs/>
          <w:sz w:val="28"/>
          <w:szCs w:val="36"/>
          <w:lang w:val="en-US" w:eastAsia="zh-CN"/>
        </w:rPr>
      </w:pPr>
      <w:r>
        <w:rPr>
          <w:rFonts w:hint="eastAsia" w:ascii="宋体" w:hAnsi="宋体" w:eastAsia="宋体" w:cs="宋体"/>
          <w:b/>
          <w:bCs/>
          <w:sz w:val="28"/>
          <w:szCs w:val="36"/>
          <w:lang w:val="en-US" w:eastAsia="zh-CN"/>
        </w:rPr>
        <w:t>评价：由于地缘政治等影响属于不可抗力因素，这已经是长安汽车能找出的最好应对方法，但除非技术实现突破，不然无法抵消原材料价格上涨对成本带来的影响。另外，由于长安汽车主要经营中低端汽车业务，这部分消费者对价格更加敏感，因此长安汽车受到的影响可能比较大。</w:t>
      </w:r>
    </w:p>
    <w:p>
      <w:pPr>
        <w:pStyle w:val="3"/>
        <w:numPr>
          <w:ilvl w:val="0"/>
          <w:numId w:val="0"/>
        </w:numPr>
        <w:bidi w:val="0"/>
        <w:ind w:leftChars="200"/>
        <w:rPr>
          <w:rFonts w:hint="eastAsia"/>
          <w:lang w:val="en-US" w:eastAsia="zh-CN"/>
        </w:rPr>
      </w:pPr>
      <w:r>
        <w:rPr>
          <w:rFonts w:hint="eastAsia"/>
          <w:lang w:val="en-US" w:eastAsia="zh-CN"/>
        </w:rPr>
        <w:t>5、公司未来利润及股价评估</w:t>
      </w:r>
    </w:p>
    <w:p>
      <w:pPr>
        <w:keepNext w:val="0"/>
        <w:keepLines w:val="0"/>
        <w:widowControl/>
        <w:numPr>
          <w:ilvl w:val="0"/>
          <w:numId w:val="0"/>
        </w:numPr>
        <w:suppressLineNumbers w:val="0"/>
        <w:pBdr>
          <w:left w:val="none" w:color="auto" w:sz="0" w:space="0"/>
        </w:pBdr>
        <w:spacing w:before="0" w:beforeAutospacing="1" w:after="0" w:afterAutospacing="1" w:line="360" w:lineRule="atLeast"/>
        <w:ind w:firstLine="560"/>
        <w:rPr>
          <w:rFonts w:hint="default" w:ascii="宋体" w:hAnsi="宋体" w:eastAsia="宋体" w:cs="宋体"/>
          <w:b/>
          <w:bCs/>
          <w:i w:val="0"/>
          <w:iCs w:val="0"/>
          <w:sz w:val="28"/>
          <w:szCs w:val="36"/>
          <w:lang w:val="en-US" w:eastAsia="zh-CN"/>
        </w:rPr>
      </w:pPr>
      <w:r>
        <w:rPr>
          <w:rFonts w:hint="eastAsia" w:ascii="宋体" w:hAnsi="宋体" w:eastAsia="宋体" w:cs="宋体"/>
          <w:b/>
          <w:bCs/>
          <w:i w:val="0"/>
          <w:iCs w:val="0"/>
          <w:sz w:val="28"/>
          <w:szCs w:val="36"/>
          <w:lang w:val="en-US" w:eastAsia="zh-CN"/>
        </w:rPr>
        <w:t>5.1公司产品的利润</w:t>
      </w:r>
    </w:p>
    <w:p>
      <w:pPr>
        <w:keepNext w:val="0"/>
        <w:keepLines w:val="0"/>
        <w:widowControl/>
        <w:numPr>
          <w:ilvl w:val="0"/>
          <w:numId w:val="0"/>
        </w:numPr>
        <w:suppressLineNumbers w:val="0"/>
        <w:pBdr>
          <w:left w:val="none" w:color="auto" w:sz="0" w:space="0"/>
        </w:pBdr>
        <w:spacing w:before="0" w:beforeAutospacing="1" w:after="0" w:afterAutospacing="1" w:line="360" w:lineRule="atLeast"/>
        <w:ind w:firstLine="560"/>
        <w:rPr>
          <w:rFonts w:hint="eastAsia" w:ascii="宋体" w:hAnsi="宋体" w:eastAsia="宋体" w:cs="宋体"/>
          <w:b w:val="0"/>
          <w:bCs w:val="0"/>
          <w:i w:val="0"/>
          <w:iCs w:val="0"/>
          <w:sz w:val="28"/>
          <w:szCs w:val="36"/>
          <w:lang w:val="en-US" w:eastAsia="zh-CN"/>
        </w:rPr>
      </w:pPr>
      <w:r>
        <w:rPr>
          <w:rFonts w:hint="eastAsia" w:ascii="宋体" w:hAnsi="宋体" w:eastAsia="宋体" w:cs="宋体"/>
          <w:b w:val="0"/>
          <w:bCs w:val="0"/>
          <w:i w:val="0"/>
          <w:iCs w:val="0"/>
          <w:sz w:val="28"/>
          <w:szCs w:val="36"/>
          <w:lang w:val="en-US" w:eastAsia="zh-CN"/>
        </w:rPr>
        <w:t>2021年，扣除非经常性损益后，公司的营业净利率非常低，仅有1.5%左右，但相比2018年到2020年的震荡时期已经开始逐渐恢复一定的盈利能力，预计2022年公司产销汽车的数量能实现一定的增长，接下来分乐观和悲观两个角度讨论公司现有产品的盈利能力。</w:t>
      </w:r>
    </w:p>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default" w:ascii="宋体" w:hAnsi="宋体" w:eastAsia="宋体" w:cs="宋体"/>
          <w:b w:val="0"/>
          <w:bCs w:val="0"/>
          <w:i w:val="0"/>
          <w:iCs w:val="0"/>
          <w:sz w:val="28"/>
          <w:szCs w:val="36"/>
          <w:lang w:val="en-US" w:eastAsia="zh-CN"/>
        </w:rPr>
      </w:pPr>
      <w:r>
        <w:rPr>
          <w:rFonts w:hint="eastAsia" w:ascii="宋体" w:hAnsi="宋体" w:eastAsia="宋体" w:cs="宋体"/>
          <w:b/>
          <w:bCs/>
          <w:i w:val="0"/>
          <w:iCs w:val="0"/>
          <w:sz w:val="28"/>
          <w:szCs w:val="36"/>
          <w:lang w:val="en-US" w:eastAsia="zh-CN"/>
        </w:rPr>
        <w:t>5.1.1乐观情况估计</w:t>
      </w:r>
    </w:p>
    <w:p>
      <w:pPr>
        <w:keepNext w:val="0"/>
        <w:keepLines w:val="0"/>
        <w:widowControl/>
        <w:numPr>
          <w:ilvl w:val="0"/>
          <w:numId w:val="0"/>
        </w:numPr>
        <w:suppressLineNumbers w:val="0"/>
        <w:pBdr>
          <w:left w:val="none" w:color="auto" w:sz="0" w:space="0"/>
        </w:pBdr>
        <w:spacing w:before="0" w:beforeAutospacing="1" w:after="0" w:afterAutospacing="1" w:line="360" w:lineRule="atLeast"/>
        <w:ind w:firstLine="56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这里的乐观情况是指上述提到的所有风险情况都得以规避，而所有计划都被实现的情况。</w:t>
      </w:r>
    </w:p>
    <w:p>
      <w:pPr>
        <w:keepNext w:val="0"/>
        <w:keepLines w:val="0"/>
        <w:widowControl/>
        <w:numPr>
          <w:ilvl w:val="0"/>
          <w:numId w:val="0"/>
        </w:numPr>
        <w:suppressLineNumbers w:val="0"/>
        <w:pBdr>
          <w:left w:val="none" w:color="auto" w:sz="0" w:space="0"/>
        </w:pBdr>
        <w:spacing w:before="0" w:beforeAutospacing="1" w:after="0" w:afterAutospacing="1" w:line="360" w:lineRule="atLeast"/>
        <w:ind w:firstLine="56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有利条件：1.公司获得政府的大力支持，在补贴和税收等方面获得更大优惠力度，根据公司2021年年报，公司2021年获得政府新能源补贴近5个亿，预计2022年不变（政府对新能源的补贴一直在退坡，因此保持不变已经是有利状况）；政府增加产业补贴，2021年政府提供产业补贴2个亿，2020年则未提供，假定政府2022年及之后五年每年提供3亿产业补贴。</w:t>
      </w:r>
    </w:p>
    <w:p>
      <w:pPr>
        <w:keepNext w:val="0"/>
        <w:keepLines w:val="0"/>
        <w:widowControl/>
        <w:numPr>
          <w:ilvl w:val="0"/>
          <w:numId w:val="4"/>
        </w:numPr>
        <w:suppressLineNumbers w:val="0"/>
        <w:pBdr>
          <w:left w:val="none" w:color="auto" w:sz="0" w:space="0"/>
        </w:pBdr>
        <w:spacing w:before="0" w:beforeAutospacing="1" w:after="0" w:afterAutospacing="1" w:line="360" w:lineRule="atLeast"/>
        <w:ind w:firstLine="56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公司的营销能力进一步增强，使得几款处于导入期的产品全面进入高市占率高增长率的明星状态；长安奔奔等明星产品进入成熟期，并继续保持。这些产品将有助于长安汽车重新把握12%（目前长安汽车市占率8%左右，恢复后每年提升约0.8%）左右的国内汽车市场市占率，2022年超额完成245辆汽车的产销目标。的同时我国的汽车市场也开始逐步恢复，逐渐恢复到每年2900万辆的水平，这意味着长安汽车要逐步恢复到350万辆汽车的产能中，而供应链的问题完全得到解决，没有影响长安汽车的产能。长安汽车的海外收入也随之增长。</w:t>
      </w:r>
    </w:p>
    <w:p>
      <w:pPr>
        <w:keepNext w:val="0"/>
        <w:keepLines w:val="0"/>
        <w:widowControl/>
        <w:numPr>
          <w:numId w:val="0"/>
        </w:numPr>
        <w:suppressLineNumbers w:val="0"/>
        <w:pBdr>
          <w:left w:val="none" w:color="auto" w:sz="0" w:space="0"/>
        </w:pBdr>
        <w:spacing w:before="0" w:beforeAutospacing="1" w:after="0" w:afterAutospacing="1" w:line="360" w:lineRule="atLeast"/>
        <w:ind w:firstLine="56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长安汽车2021年产销汽车230.1万辆，营业收入105,141,877,237.05元，若两者成正比关系，则五年后长安汽车的营业收入大概为1</w:t>
      </w:r>
      <w:r>
        <w:rPr>
          <w:rFonts w:hint="eastAsia" w:ascii="宋体" w:hAnsi="宋体" w:eastAsia="宋体" w:cs="宋体"/>
          <w:b w:val="0"/>
          <w:bCs w:val="0"/>
          <w:sz w:val="28"/>
          <w:szCs w:val="36"/>
          <w:lang w:val="en-US" w:eastAsia="zh-CN"/>
        </w:rPr>
        <w:t>59,928,974,502.00</w:t>
      </w:r>
      <w:r>
        <w:rPr>
          <w:rFonts w:hint="eastAsia" w:ascii="宋体" w:hAnsi="宋体" w:eastAsia="宋体" w:cs="宋体"/>
          <w:b w:val="0"/>
          <w:bCs w:val="0"/>
          <w:sz w:val="28"/>
          <w:szCs w:val="36"/>
          <w:lang w:val="en-US" w:eastAsia="zh-CN"/>
        </w:rPr>
        <w:t>元,假设5年内长安汽车以相同的增长率保持增长，则对5年内长安汽车营业收入的预测值为如下：</w:t>
      </w:r>
    </w:p>
    <w:tbl>
      <w:tblPr>
        <w:tblW w:w="4752" w:type="dxa"/>
        <w:tblInd w:w="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0" w:type="dxa"/>
          <w:left w:w="108" w:type="dxa"/>
          <w:bottom w:w="0" w:type="dxa"/>
          <w:right w:w="108" w:type="dxa"/>
        </w:tblCellMar>
      </w:tblPr>
      <w:tblGrid>
        <w:gridCol w:w="2376"/>
        <w:gridCol w:w="3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2376" w:type="dxa"/>
            <w:tcBorders>
              <w:tl2br w:val="nil"/>
              <w:tr2bl w:val="nil"/>
            </w:tcBorders>
            <w:shd w:val="clear"/>
            <w:noWrap/>
            <w:vAlign w:val="center"/>
          </w:tcPr>
          <w:p>
            <w:pPr>
              <w:rPr>
                <w:rFonts w:hint="eastAsia" w:ascii="宋体" w:hAnsi="宋体" w:eastAsia="宋体" w:cs="宋体"/>
                <w:i w:val="0"/>
                <w:iCs w:val="0"/>
                <w:color w:val="000000"/>
                <w:sz w:val="22"/>
                <w:szCs w:val="22"/>
                <w:u w:val="none"/>
              </w:rPr>
            </w:pPr>
          </w:p>
        </w:tc>
        <w:tc>
          <w:tcPr>
            <w:tcW w:w="2376" w:type="dxa"/>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ind w:firstLine="56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营业收入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8" w:hRule="atLeast"/>
        </w:trPr>
        <w:tc>
          <w:tcPr>
            <w:tcW w:w="0" w:type="auto"/>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ind w:firstLine="56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2022</w:t>
            </w:r>
          </w:p>
        </w:tc>
        <w:tc>
          <w:tcPr>
            <w:tcW w:w="0" w:type="auto"/>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ind w:firstLine="56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114,342,059,913.81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8" w:hRule="atLeast"/>
        </w:trPr>
        <w:tc>
          <w:tcPr>
            <w:tcW w:w="0" w:type="auto"/>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ind w:firstLine="56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2023</w:t>
            </w:r>
          </w:p>
        </w:tc>
        <w:tc>
          <w:tcPr>
            <w:tcW w:w="0" w:type="auto"/>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ind w:firstLine="56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124,347,282,062.09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8" w:hRule="atLeast"/>
        </w:trPr>
        <w:tc>
          <w:tcPr>
            <w:tcW w:w="0" w:type="auto"/>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ind w:firstLine="56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2024</w:t>
            </w:r>
          </w:p>
        </w:tc>
        <w:tc>
          <w:tcPr>
            <w:tcW w:w="0" w:type="auto"/>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ind w:firstLine="56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135,227,986,690.85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8" w:hRule="atLeast"/>
        </w:trPr>
        <w:tc>
          <w:tcPr>
            <w:tcW w:w="0" w:type="auto"/>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ind w:firstLine="56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2025</w:t>
            </w:r>
          </w:p>
        </w:tc>
        <w:tc>
          <w:tcPr>
            <w:tcW w:w="0" w:type="auto"/>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ind w:firstLine="56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147,060,780,752.17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8" w:hRule="atLeast"/>
        </w:trPr>
        <w:tc>
          <w:tcPr>
            <w:tcW w:w="0" w:type="auto"/>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ind w:firstLine="56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2026</w:t>
            </w:r>
          </w:p>
        </w:tc>
        <w:tc>
          <w:tcPr>
            <w:tcW w:w="0" w:type="auto"/>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ind w:firstLine="56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159,928,974,502.00</w:t>
            </w:r>
          </w:p>
        </w:tc>
      </w:tr>
    </w:tbl>
    <w:p>
      <w:pPr>
        <w:keepNext w:val="0"/>
        <w:keepLines w:val="0"/>
        <w:widowControl/>
        <w:numPr>
          <w:ilvl w:val="0"/>
          <w:numId w:val="4"/>
        </w:numPr>
        <w:suppressLineNumbers w:val="0"/>
        <w:pBdr>
          <w:left w:val="none" w:color="auto" w:sz="0" w:space="0"/>
        </w:pBdr>
        <w:spacing w:before="0" w:beforeAutospacing="1" w:after="0" w:afterAutospacing="1" w:line="360" w:lineRule="atLeast"/>
        <w:ind w:left="0" w:leftChars="0" w:firstLine="560" w:firstLineChars="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原材料价格得到控制，长安在全球分散风险的做法取得成果，长安汽车的成本控制取得效果，有效降低企业的费用，逐步将营业净利率恢复到2017年的水平7%，根据长安汽车2022年第一季度的报告，扣除非经常性损益后，其营业净利率已经恢复到6.5%的水平，因此，此后五年采用7%作为长安营业净利率的预测值。</w:t>
      </w:r>
    </w:p>
    <w:p>
      <w:pPr>
        <w:keepNext w:val="0"/>
        <w:keepLines w:val="0"/>
        <w:widowControl/>
        <w:numPr>
          <w:ilvl w:val="0"/>
          <w:numId w:val="4"/>
        </w:numPr>
        <w:suppressLineNumbers w:val="0"/>
        <w:pBdr>
          <w:left w:val="none" w:color="auto" w:sz="0" w:space="0"/>
        </w:pBdr>
        <w:spacing w:before="0" w:beforeAutospacing="1" w:after="0" w:afterAutospacing="1" w:line="360" w:lineRule="atLeast"/>
        <w:ind w:left="0" w:leftChars="0" w:firstLine="560" w:firstLineChars="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根据以上预测数据，计算长安汽车以后五年利润的预测值如下：</w:t>
      </w:r>
    </w:p>
    <w:tbl>
      <w:tblPr>
        <w:tblW w:w="6769" w:type="dxa"/>
        <w:tblInd w:w="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0" w:type="dxa"/>
          <w:left w:w="108" w:type="dxa"/>
          <w:bottom w:w="0" w:type="dxa"/>
          <w:right w:w="108" w:type="dxa"/>
        </w:tblCellMar>
      </w:tblPr>
      <w:tblGrid>
        <w:gridCol w:w="2376"/>
        <w:gridCol w:w="2736"/>
        <w:gridCol w:w="25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8" w:hRule="atLeast"/>
        </w:trPr>
        <w:tc>
          <w:tcPr>
            <w:tcW w:w="2376" w:type="dxa"/>
            <w:tcBorders>
              <w:tl2br w:val="nil"/>
              <w:tr2bl w:val="nil"/>
            </w:tcBorders>
            <w:shd w:val="clear"/>
            <w:noWrap/>
            <w:vAlign w:val="center"/>
          </w:tcPr>
          <w:p>
            <w:pPr>
              <w:rPr>
                <w:rFonts w:hint="eastAsia" w:ascii="宋体" w:hAnsi="宋体" w:eastAsia="宋体" w:cs="宋体"/>
                <w:b w:val="0"/>
                <w:bCs w:val="0"/>
                <w:kern w:val="2"/>
                <w:sz w:val="28"/>
                <w:szCs w:val="36"/>
                <w:lang w:val="en-US" w:eastAsia="zh-CN" w:bidi="ar-SA"/>
              </w:rPr>
            </w:pPr>
          </w:p>
        </w:tc>
        <w:tc>
          <w:tcPr>
            <w:tcW w:w="2376" w:type="dxa"/>
            <w:tcBorders>
              <w:tl2br w:val="nil"/>
              <w:tr2bl w:val="nil"/>
            </w:tcBorders>
            <w:shd w:val="clear"/>
            <w:noWrap/>
            <w:vAlign w:val="center"/>
          </w:tcPr>
          <w:p>
            <w:pPr>
              <w:keepNext w:val="0"/>
              <w:keepLines w:val="0"/>
              <w:widowControl/>
              <w:suppressLineNumbers w:val="0"/>
              <w:ind w:firstLine="560" w:firstLineChars="200"/>
              <w:jc w:val="left"/>
              <w:textAlignment w:val="center"/>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营业收入</w:t>
            </w:r>
          </w:p>
        </w:tc>
        <w:tc>
          <w:tcPr>
            <w:tcW w:w="2016" w:type="dxa"/>
            <w:tcBorders>
              <w:tl2br w:val="nil"/>
              <w:tr2bl w:val="nil"/>
            </w:tcBorders>
            <w:shd w:val="clear"/>
            <w:noWrap/>
            <w:vAlign w:val="center"/>
          </w:tcPr>
          <w:p>
            <w:pPr>
              <w:keepNext w:val="0"/>
              <w:keepLines w:val="0"/>
              <w:widowControl/>
              <w:suppressLineNumbers w:val="0"/>
              <w:ind w:firstLine="840" w:firstLineChars="300"/>
              <w:jc w:val="left"/>
              <w:textAlignment w:val="center"/>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利润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0" w:type="auto"/>
            <w:tcBorders>
              <w:tl2br w:val="nil"/>
              <w:tr2bl w:val="nil"/>
            </w:tcBorders>
            <w:shd w:val="clear"/>
            <w:noWrap/>
            <w:vAlign w:val="center"/>
          </w:tcPr>
          <w:p>
            <w:pPr>
              <w:keepNext w:val="0"/>
              <w:keepLines w:val="0"/>
              <w:widowControl/>
              <w:suppressLineNumbers w:val="0"/>
              <w:jc w:val="right"/>
              <w:textAlignment w:val="center"/>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2022</w:t>
            </w:r>
          </w:p>
        </w:tc>
        <w:tc>
          <w:tcPr>
            <w:tcW w:w="0" w:type="auto"/>
            <w:tcBorders>
              <w:tl2br w:val="nil"/>
              <w:tr2bl w:val="nil"/>
            </w:tcBorders>
            <w:shd w:val="clear"/>
            <w:noWrap/>
            <w:vAlign w:val="center"/>
          </w:tcPr>
          <w:p>
            <w:pPr>
              <w:keepNext w:val="0"/>
              <w:keepLines w:val="0"/>
              <w:widowControl/>
              <w:suppressLineNumbers w:val="0"/>
              <w:jc w:val="right"/>
              <w:textAlignment w:val="center"/>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 xml:space="preserve">114,342,059,913.81 </w:t>
            </w:r>
          </w:p>
        </w:tc>
        <w:tc>
          <w:tcPr>
            <w:tcW w:w="0" w:type="auto"/>
            <w:tcBorders>
              <w:tl2br w:val="nil"/>
              <w:tr2bl w:val="nil"/>
            </w:tcBorders>
            <w:shd w:val="clear"/>
            <w:noWrap/>
            <w:vAlign w:val="center"/>
          </w:tcPr>
          <w:p>
            <w:pPr>
              <w:keepNext w:val="0"/>
              <w:keepLines w:val="0"/>
              <w:widowControl/>
              <w:suppressLineNumbers w:val="0"/>
              <w:jc w:val="right"/>
              <w:textAlignment w:val="center"/>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 xml:space="preserve">8,003,944,193.97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0" w:type="auto"/>
            <w:tcBorders>
              <w:tl2br w:val="nil"/>
              <w:tr2bl w:val="nil"/>
            </w:tcBorders>
            <w:shd w:val="clear"/>
            <w:noWrap/>
            <w:vAlign w:val="center"/>
          </w:tcPr>
          <w:p>
            <w:pPr>
              <w:keepNext w:val="0"/>
              <w:keepLines w:val="0"/>
              <w:widowControl/>
              <w:suppressLineNumbers w:val="0"/>
              <w:jc w:val="right"/>
              <w:textAlignment w:val="center"/>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2023</w:t>
            </w:r>
          </w:p>
        </w:tc>
        <w:tc>
          <w:tcPr>
            <w:tcW w:w="0" w:type="auto"/>
            <w:tcBorders>
              <w:tl2br w:val="nil"/>
              <w:tr2bl w:val="nil"/>
            </w:tcBorders>
            <w:shd w:val="clear"/>
            <w:noWrap/>
            <w:vAlign w:val="center"/>
          </w:tcPr>
          <w:p>
            <w:pPr>
              <w:keepNext w:val="0"/>
              <w:keepLines w:val="0"/>
              <w:widowControl/>
              <w:suppressLineNumbers w:val="0"/>
              <w:jc w:val="right"/>
              <w:textAlignment w:val="center"/>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 xml:space="preserve">124,347,282,062.09 </w:t>
            </w:r>
          </w:p>
        </w:tc>
        <w:tc>
          <w:tcPr>
            <w:tcW w:w="0" w:type="auto"/>
            <w:tcBorders>
              <w:tl2br w:val="nil"/>
              <w:tr2bl w:val="nil"/>
            </w:tcBorders>
            <w:shd w:val="clear"/>
            <w:noWrap/>
            <w:vAlign w:val="center"/>
          </w:tcPr>
          <w:p>
            <w:pPr>
              <w:keepNext w:val="0"/>
              <w:keepLines w:val="0"/>
              <w:widowControl/>
              <w:suppressLineNumbers w:val="0"/>
              <w:jc w:val="right"/>
              <w:textAlignment w:val="center"/>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 xml:space="preserve">8,704,309,744.35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8" w:hRule="atLeast"/>
        </w:trPr>
        <w:tc>
          <w:tcPr>
            <w:tcW w:w="0" w:type="auto"/>
            <w:tcBorders>
              <w:tl2br w:val="nil"/>
              <w:tr2bl w:val="nil"/>
            </w:tcBorders>
            <w:shd w:val="clear"/>
            <w:noWrap/>
            <w:vAlign w:val="center"/>
          </w:tcPr>
          <w:p>
            <w:pPr>
              <w:keepNext w:val="0"/>
              <w:keepLines w:val="0"/>
              <w:widowControl/>
              <w:suppressLineNumbers w:val="0"/>
              <w:jc w:val="right"/>
              <w:textAlignment w:val="center"/>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2024</w:t>
            </w:r>
          </w:p>
        </w:tc>
        <w:tc>
          <w:tcPr>
            <w:tcW w:w="0" w:type="auto"/>
            <w:tcBorders>
              <w:tl2br w:val="nil"/>
              <w:tr2bl w:val="nil"/>
            </w:tcBorders>
            <w:shd w:val="clear"/>
            <w:noWrap/>
            <w:vAlign w:val="center"/>
          </w:tcPr>
          <w:p>
            <w:pPr>
              <w:keepNext w:val="0"/>
              <w:keepLines w:val="0"/>
              <w:widowControl/>
              <w:suppressLineNumbers w:val="0"/>
              <w:jc w:val="right"/>
              <w:textAlignment w:val="center"/>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 xml:space="preserve">135,227,986,690.85 </w:t>
            </w:r>
          </w:p>
        </w:tc>
        <w:tc>
          <w:tcPr>
            <w:tcW w:w="0" w:type="auto"/>
            <w:tcBorders>
              <w:tl2br w:val="nil"/>
              <w:tr2bl w:val="nil"/>
            </w:tcBorders>
            <w:shd w:val="clear"/>
            <w:noWrap/>
            <w:vAlign w:val="center"/>
          </w:tcPr>
          <w:p>
            <w:pPr>
              <w:keepNext w:val="0"/>
              <w:keepLines w:val="0"/>
              <w:widowControl/>
              <w:suppressLineNumbers w:val="0"/>
              <w:jc w:val="right"/>
              <w:textAlignment w:val="center"/>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 xml:space="preserve">9,465,959,068.36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8" w:hRule="atLeast"/>
        </w:trPr>
        <w:tc>
          <w:tcPr>
            <w:tcW w:w="0" w:type="auto"/>
            <w:tcBorders>
              <w:tl2br w:val="nil"/>
              <w:tr2bl w:val="nil"/>
            </w:tcBorders>
            <w:shd w:val="clear"/>
            <w:noWrap/>
            <w:vAlign w:val="center"/>
          </w:tcPr>
          <w:p>
            <w:pPr>
              <w:keepNext w:val="0"/>
              <w:keepLines w:val="0"/>
              <w:widowControl/>
              <w:suppressLineNumbers w:val="0"/>
              <w:jc w:val="right"/>
              <w:textAlignment w:val="center"/>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2025</w:t>
            </w:r>
          </w:p>
        </w:tc>
        <w:tc>
          <w:tcPr>
            <w:tcW w:w="0" w:type="auto"/>
            <w:tcBorders>
              <w:tl2br w:val="nil"/>
              <w:tr2bl w:val="nil"/>
            </w:tcBorders>
            <w:shd w:val="clear"/>
            <w:noWrap/>
            <w:vAlign w:val="center"/>
          </w:tcPr>
          <w:p>
            <w:pPr>
              <w:keepNext w:val="0"/>
              <w:keepLines w:val="0"/>
              <w:widowControl/>
              <w:suppressLineNumbers w:val="0"/>
              <w:jc w:val="right"/>
              <w:textAlignment w:val="center"/>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 xml:space="preserve">147,060,780,752.17 </w:t>
            </w:r>
          </w:p>
        </w:tc>
        <w:tc>
          <w:tcPr>
            <w:tcW w:w="0" w:type="auto"/>
            <w:tcBorders>
              <w:tl2br w:val="nil"/>
              <w:tr2bl w:val="nil"/>
            </w:tcBorders>
            <w:shd w:val="clear"/>
            <w:noWrap/>
            <w:vAlign w:val="center"/>
          </w:tcPr>
          <w:p>
            <w:pPr>
              <w:keepNext w:val="0"/>
              <w:keepLines w:val="0"/>
              <w:widowControl/>
              <w:suppressLineNumbers w:val="0"/>
              <w:jc w:val="right"/>
              <w:textAlignment w:val="center"/>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 xml:space="preserve">10,294,254,652.65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8" w:hRule="atLeast"/>
        </w:trPr>
        <w:tc>
          <w:tcPr>
            <w:tcW w:w="0" w:type="auto"/>
            <w:tcBorders>
              <w:tl2br w:val="nil"/>
              <w:tr2bl w:val="nil"/>
            </w:tcBorders>
            <w:shd w:val="clear"/>
            <w:noWrap/>
            <w:vAlign w:val="center"/>
          </w:tcPr>
          <w:p>
            <w:pPr>
              <w:keepNext w:val="0"/>
              <w:keepLines w:val="0"/>
              <w:widowControl/>
              <w:suppressLineNumbers w:val="0"/>
              <w:jc w:val="right"/>
              <w:textAlignment w:val="center"/>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2026</w:t>
            </w:r>
          </w:p>
        </w:tc>
        <w:tc>
          <w:tcPr>
            <w:tcW w:w="0" w:type="auto"/>
            <w:tcBorders>
              <w:tl2br w:val="nil"/>
              <w:tr2bl w:val="nil"/>
            </w:tcBorders>
            <w:shd w:val="clear"/>
            <w:noWrap/>
            <w:vAlign w:val="center"/>
          </w:tcPr>
          <w:p>
            <w:pPr>
              <w:keepNext w:val="0"/>
              <w:keepLines w:val="0"/>
              <w:widowControl/>
              <w:suppressLineNumbers w:val="0"/>
              <w:jc w:val="right"/>
              <w:textAlignment w:val="center"/>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 xml:space="preserve">159,928,974,502.00 </w:t>
            </w:r>
          </w:p>
        </w:tc>
        <w:tc>
          <w:tcPr>
            <w:tcW w:w="0" w:type="auto"/>
            <w:tcBorders>
              <w:tl2br w:val="nil"/>
              <w:tr2bl w:val="nil"/>
            </w:tcBorders>
            <w:shd w:val="clear"/>
            <w:noWrap/>
            <w:vAlign w:val="center"/>
          </w:tcPr>
          <w:p>
            <w:pPr>
              <w:keepNext w:val="0"/>
              <w:keepLines w:val="0"/>
              <w:widowControl/>
              <w:suppressLineNumbers w:val="0"/>
              <w:jc w:val="right"/>
              <w:textAlignment w:val="center"/>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 xml:space="preserve">11,195,028,215.14 </w:t>
            </w:r>
          </w:p>
        </w:tc>
      </w:tr>
    </w:tbl>
    <w:p>
      <w:pPr>
        <w:keepNext w:val="0"/>
        <w:keepLines w:val="0"/>
        <w:widowControl/>
        <w:numPr>
          <w:numId w:val="0"/>
        </w:numPr>
        <w:suppressLineNumbers w:val="0"/>
        <w:pBdr>
          <w:left w:val="none" w:color="auto" w:sz="0" w:space="0"/>
        </w:pBdr>
        <w:spacing w:before="0" w:beforeAutospacing="1" w:after="0" w:afterAutospacing="1" w:line="360" w:lineRule="atLeast"/>
        <w:rPr>
          <w:rFonts w:hint="default" w:ascii="宋体" w:hAnsi="宋体" w:eastAsia="宋体" w:cs="宋体"/>
          <w:b/>
          <w:bCs/>
          <w:kern w:val="2"/>
          <w:sz w:val="28"/>
          <w:szCs w:val="36"/>
          <w:lang w:val="en-US" w:eastAsia="zh-CN" w:bidi="ar-SA"/>
        </w:rPr>
      </w:pPr>
      <w:r>
        <w:rPr>
          <w:rFonts w:hint="eastAsia" w:ascii="宋体" w:hAnsi="宋体" w:eastAsia="宋体" w:cs="宋体"/>
          <w:b/>
          <w:bCs/>
          <w:kern w:val="2"/>
          <w:sz w:val="28"/>
          <w:szCs w:val="36"/>
          <w:lang w:val="en-US" w:eastAsia="zh-CN" w:bidi="ar-SA"/>
        </w:rPr>
        <w:t>5.1.2悲观情况估计</w:t>
      </w:r>
    </w:p>
    <w:p>
      <w:pPr>
        <w:keepNext w:val="0"/>
        <w:keepLines w:val="0"/>
        <w:widowControl/>
        <w:numPr>
          <w:numId w:val="0"/>
        </w:numPr>
        <w:suppressLineNumbers w:val="0"/>
        <w:pBdr>
          <w:left w:val="none" w:color="auto" w:sz="0" w:space="0"/>
        </w:pBdr>
        <w:spacing w:before="0" w:beforeAutospacing="1" w:after="0" w:afterAutospacing="1" w:line="360" w:lineRule="atLeast"/>
        <w:ind w:left="560" w:leftChars="0" w:firstLine="560" w:firstLineChars="20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这里的悲观情况是指所有风险事件均造成负面影响，而长安汽车的计划难以实现的情况。</w:t>
      </w:r>
    </w:p>
    <w:p>
      <w:pPr>
        <w:keepNext w:val="0"/>
        <w:keepLines w:val="0"/>
        <w:widowControl/>
        <w:numPr>
          <w:numId w:val="0"/>
        </w:numPr>
        <w:suppressLineNumbers w:val="0"/>
        <w:pBdr>
          <w:left w:val="none" w:color="auto" w:sz="0" w:space="0"/>
        </w:pBdr>
        <w:spacing w:before="0" w:beforeAutospacing="1" w:after="0" w:afterAutospacing="1" w:line="360" w:lineRule="atLeast"/>
        <w:ind w:left="560" w:leftChars="0" w:firstLine="560" w:firstLineChars="20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不利条件：1.政府继续大规模退坡对新能源汽车的补贴计划，2021年之后不再提供产业补贴，根据5.1.1所述，这部分补贴总数大概在3到4亿左右，这会给公司带来更大的费用压力。</w:t>
      </w:r>
    </w:p>
    <w:p>
      <w:pPr>
        <w:keepNext w:val="0"/>
        <w:keepLines w:val="0"/>
        <w:widowControl/>
        <w:numPr>
          <w:ilvl w:val="0"/>
          <w:numId w:val="5"/>
        </w:numPr>
        <w:suppressLineNumbers w:val="0"/>
        <w:pBdr>
          <w:left w:val="none" w:color="auto" w:sz="0" w:space="0"/>
        </w:pBdr>
        <w:spacing w:before="0" w:beforeAutospacing="1" w:after="0" w:afterAutospacing="1" w:line="360" w:lineRule="atLeast"/>
        <w:ind w:left="560" w:leftChars="0" w:firstLine="560" w:firstLineChars="20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汽车市场在2021年的回暖只是小冰期的偶然现象，之后市场汽车销量将会继续延续之前的趋势降低，预计5年以后，汽车市场总销量会在2500万辆上下浮动。</w:t>
      </w:r>
    </w:p>
    <w:p>
      <w:pPr>
        <w:keepNext w:val="0"/>
        <w:keepLines w:val="0"/>
        <w:widowControl/>
        <w:numPr>
          <w:ilvl w:val="0"/>
          <w:numId w:val="5"/>
        </w:numPr>
        <w:suppressLineNumbers w:val="0"/>
        <w:pBdr>
          <w:left w:val="none" w:color="auto" w:sz="0" w:space="0"/>
        </w:pBdr>
        <w:spacing w:before="0" w:beforeAutospacing="1" w:after="0" w:afterAutospacing="1" w:line="360" w:lineRule="atLeast"/>
        <w:ind w:left="560" w:leftChars="0" w:firstLine="560" w:firstLineChars="200"/>
        <w:rPr>
          <w:rFonts w:hint="default"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长安汽车几款产品在2022年5月的环比销量大增全部都是疫情之后的反弹，实际上与长安汽车的产品联系不大。</w:t>
      </w:r>
    </w:p>
    <w:p>
      <w:pPr>
        <w:keepNext w:val="0"/>
        <w:keepLines w:val="0"/>
        <w:widowControl/>
        <w:numPr>
          <w:ilvl w:val="0"/>
          <w:numId w:val="5"/>
        </w:numPr>
        <w:suppressLineNumbers w:val="0"/>
        <w:pBdr>
          <w:left w:val="none" w:color="auto" w:sz="0" w:space="0"/>
        </w:pBdr>
        <w:spacing w:before="0" w:beforeAutospacing="1" w:after="0" w:afterAutospacing="1" w:line="360" w:lineRule="atLeast"/>
        <w:ind w:left="560" w:leftChars="0" w:firstLine="560" w:firstLineChars="200"/>
        <w:rPr>
          <w:rFonts w:hint="default"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受疫情、地缘政治影响，芯片供给继续收紧，原材料价格持续上涨，使得长安汽车的生产能力受限。综合3、4两个不利条件，长安汽车无法完成2022年产销245辆汽车的目标，只能产销约200万辆汽车（根据汽车市场总销量和长安汽车市占率8%得出）。长安汽车的销量会逐年上升，但是销量增长不如预期，到5年后占据10%的市占率，也就是250万辆汽车。</w:t>
      </w:r>
    </w:p>
    <w:p>
      <w:pPr>
        <w:keepNext w:val="0"/>
        <w:keepLines w:val="0"/>
        <w:widowControl/>
        <w:numPr>
          <w:numId w:val="0"/>
        </w:numPr>
        <w:suppressLineNumbers w:val="0"/>
        <w:pBdr>
          <w:left w:val="none" w:color="auto" w:sz="0" w:space="0"/>
        </w:pBdr>
        <w:spacing w:before="0" w:beforeAutospacing="1" w:after="0" w:afterAutospacing="1" w:line="360" w:lineRule="atLeast"/>
        <w:ind w:leftChars="20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 xml:space="preserve">      如果营业收入和销量成正比例关系，那么5年后长安汽车的营业收入是114234981787元，若五年内长安汽车的销量逐年增长，则营业收入预测为：</w:t>
      </w:r>
    </w:p>
    <w:tbl>
      <w:tblPr>
        <w:tblW w:w="4836" w:type="dxa"/>
        <w:tblInd w:w="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0" w:type="dxa"/>
          <w:left w:w="108" w:type="dxa"/>
          <w:bottom w:w="0" w:type="dxa"/>
          <w:right w:w="108" w:type="dxa"/>
        </w:tblCellMar>
      </w:tblPr>
      <w:tblGrid>
        <w:gridCol w:w="2124"/>
        <w:gridCol w:w="31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8" w:hRule="atLeast"/>
        </w:trPr>
        <w:tc>
          <w:tcPr>
            <w:tcW w:w="2124" w:type="dxa"/>
            <w:tcBorders>
              <w:tl2br w:val="nil"/>
              <w:tr2bl w:val="nil"/>
            </w:tcBorders>
            <w:shd w:val="clear"/>
            <w:noWrap/>
            <w:vAlign w:val="center"/>
          </w:tcPr>
          <w:p>
            <w:pPr>
              <w:rPr>
                <w:rFonts w:hint="eastAsia" w:ascii="宋体" w:hAnsi="宋体" w:eastAsia="宋体" w:cs="宋体"/>
                <w:b w:val="0"/>
                <w:bCs w:val="0"/>
                <w:kern w:val="2"/>
                <w:sz w:val="28"/>
                <w:szCs w:val="36"/>
                <w:lang w:val="en-US" w:eastAsia="zh-CN" w:bidi="ar-SA"/>
              </w:rPr>
            </w:pPr>
          </w:p>
        </w:tc>
        <w:tc>
          <w:tcPr>
            <w:tcW w:w="2712" w:type="dxa"/>
            <w:tcBorders>
              <w:tl2br w:val="nil"/>
              <w:tr2bl w:val="nil"/>
            </w:tcBorders>
            <w:shd w:val="clear"/>
            <w:noWrap/>
            <w:vAlign w:val="center"/>
          </w:tcPr>
          <w:p>
            <w:pPr>
              <w:keepNext w:val="0"/>
              <w:keepLines w:val="0"/>
              <w:widowControl/>
              <w:suppressLineNumbers w:val="0"/>
              <w:jc w:val="center"/>
              <w:textAlignment w:val="center"/>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营业收入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8" w:hRule="atLeast"/>
        </w:trPr>
        <w:tc>
          <w:tcPr>
            <w:tcW w:w="0" w:type="auto"/>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ind w:leftChars="200"/>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2022</w:t>
            </w:r>
          </w:p>
        </w:tc>
        <w:tc>
          <w:tcPr>
            <w:tcW w:w="0" w:type="auto"/>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ind w:leftChars="200"/>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106,900,664,493.15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8" w:hRule="atLeast"/>
        </w:trPr>
        <w:tc>
          <w:tcPr>
            <w:tcW w:w="0" w:type="auto"/>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ind w:leftChars="200"/>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2023</w:t>
            </w:r>
          </w:p>
        </w:tc>
        <w:tc>
          <w:tcPr>
            <w:tcW w:w="0" w:type="auto"/>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ind w:leftChars="200"/>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108,688,872,306.45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8" w:hRule="atLeast"/>
        </w:trPr>
        <w:tc>
          <w:tcPr>
            <w:tcW w:w="0" w:type="auto"/>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ind w:leftChars="200"/>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2024</w:t>
            </w:r>
          </w:p>
        </w:tc>
        <w:tc>
          <w:tcPr>
            <w:tcW w:w="0" w:type="auto"/>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ind w:leftChars="200"/>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110,506,992,816.72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8" w:hRule="atLeast"/>
        </w:trPr>
        <w:tc>
          <w:tcPr>
            <w:tcW w:w="0" w:type="auto"/>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ind w:leftChars="200"/>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2025</w:t>
            </w:r>
          </w:p>
        </w:tc>
        <w:tc>
          <w:tcPr>
            <w:tcW w:w="0" w:type="auto"/>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ind w:leftChars="200"/>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112,355,526,396.14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8" w:hRule="atLeast"/>
        </w:trPr>
        <w:tc>
          <w:tcPr>
            <w:tcW w:w="0" w:type="auto"/>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ind w:leftChars="200"/>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2026</w:t>
            </w:r>
          </w:p>
        </w:tc>
        <w:tc>
          <w:tcPr>
            <w:tcW w:w="0" w:type="auto"/>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ind w:leftChars="200"/>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114,234,981,787.00</w:t>
            </w:r>
          </w:p>
        </w:tc>
      </w:tr>
    </w:tbl>
    <w:p>
      <w:pPr>
        <w:keepNext w:val="0"/>
        <w:keepLines w:val="0"/>
        <w:widowControl/>
        <w:numPr>
          <w:ilvl w:val="0"/>
          <w:numId w:val="5"/>
        </w:numPr>
        <w:suppressLineNumbers w:val="0"/>
        <w:pBdr>
          <w:left w:val="none" w:color="auto" w:sz="0" w:space="0"/>
        </w:pBdr>
        <w:spacing w:before="0" w:beforeAutospacing="1" w:after="0" w:afterAutospacing="1" w:line="360" w:lineRule="atLeast"/>
        <w:ind w:left="560" w:leftChars="0" w:firstLine="560" w:firstLineChars="20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由于原材料价格不断上涨，汽车市场总体萎缩，消费者信心不足等影响，长安汽车的利润将进一步被侵蚀，假定长安汽车的营业净利率只恢复到4%的水平。则对长安汽车净利润的预测如下：</w:t>
      </w:r>
    </w:p>
    <w:tbl>
      <w:tblPr>
        <w:tblW w:w="6945" w:type="dxa"/>
        <w:tblInd w:w="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
      <w:tblGrid>
        <w:gridCol w:w="2124"/>
        <w:gridCol w:w="3048"/>
        <w:gridCol w:w="1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2124" w:type="dxa"/>
            <w:tcBorders>
              <w:tl2br w:val="nil"/>
              <w:tr2bl w:val="nil"/>
            </w:tcBorders>
            <w:shd w:val="clear"/>
            <w:noWrap/>
            <w:vAlign w:val="center"/>
          </w:tcPr>
          <w:p>
            <w:pPr>
              <w:rPr>
                <w:rFonts w:hint="eastAsia" w:ascii="宋体" w:hAnsi="宋体" w:eastAsia="宋体" w:cs="宋体"/>
                <w:b w:val="0"/>
                <w:bCs w:val="0"/>
                <w:kern w:val="2"/>
                <w:sz w:val="28"/>
                <w:szCs w:val="36"/>
                <w:lang w:val="en-US" w:eastAsia="zh-CN" w:bidi="ar-SA"/>
              </w:rPr>
            </w:pPr>
          </w:p>
        </w:tc>
        <w:tc>
          <w:tcPr>
            <w:tcW w:w="3048" w:type="dxa"/>
            <w:tcBorders>
              <w:tl2br w:val="nil"/>
              <w:tr2bl w:val="nil"/>
            </w:tcBorders>
            <w:shd w:val="clear"/>
            <w:noWrap/>
            <w:vAlign w:val="center"/>
          </w:tcPr>
          <w:p>
            <w:pPr>
              <w:keepNext w:val="0"/>
              <w:keepLines w:val="0"/>
              <w:widowControl/>
              <w:suppressLineNumbers w:val="0"/>
              <w:jc w:val="center"/>
              <w:textAlignment w:val="center"/>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营业收入</w:t>
            </w:r>
          </w:p>
        </w:tc>
        <w:tc>
          <w:tcPr>
            <w:tcW w:w="1773" w:type="dxa"/>
            <w:tcBorders>
              <w:tl2br w:val="nil"/>
              <w:tr2bl w:val="nil"/>
            </w:tcBorders>
            <w:shd w:val="clear"/>
            <w:noWrap/>
            <w:vAlign w:val="center"/>
          </w:tcPr>
          <w:p>
            <w:pPr>
              <w:keepNext w:val="0"/>
              <w:keepLines w:val="0"/>
              <w:widowControl/>
              <w:suppressLineNumbers w:val="0"/>
              <w:jc w:val="left"/>
              <w:textAlignment w:val="center"/>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利润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2124" w:type="dxa"/>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ind w:left="-360" w:leftChars="0" w:firstLine="560" w:firstLineChars="200"/>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2022</w:t>
            </w:r>
          </w:p>
        </w:tc>
        <w:tc>
          <w:tcPr>
            <w:tcW w:w="3048" w:type="dxa"/>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ind w:left="-360" w:leftChars="0" w:firstLine="560" w:firstLineChars="200"/>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106,900,664,493.15</w:t>
            </w:r>
          </w:p>
        </w:tc>
        <w:tc>
          <w:tcPr>
            <w:tcW w:w="1773" w:type="dxa"/>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ind w:left="-360" w:leftChars="0" w:firstLine="560" w:firstLineChars="200"/>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4276026580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8" w:hRule="atLeast"/>
        </w:trPr>
        <w:tc>
          <w:tcPr>
            <w:tcW w:w="2124" w:type="dxa"/>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ind w:left="-360" w:leftChars="0" w:firstLine="560" w:firstLineChars="200"/>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2023</w:t>
            </w:r>
          </w:p>
        </w:tc>
        <w:tc>
          <w:tcPr>
            <w:tcW w:w="3048" w:type="dxa"/>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ind w:left="-360" w:leftChars="0" w:firstLine="560" w:firstLineChars="200"/>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108,688,872,306.45</w:t>
            </w:r>
          </w:p>
        </w:tc>
        <w:tc>
          <w:tcPr>
            <w:tcW w:w="1773" w:type="dxa"/>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ind w:left="-360" w:leftChars="0" w:firstLine="560" w:firstLineChars="200"/>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4347554892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8" w:hRule="atLeast"/>
        </w:trPr>
        <w:tc>
          <w:tcPr>
            <w:tcW w:w="2124" w:type="dxa"/>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ind w:left="-360" w:leftChars="0" w:firstLine="560" w:firstLineChars="200"/>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2024</w:t>
            </w:r>
          </w:p>
        </w:tc>
        <w:tc>
          <w:tcPr>
            <w:tcW w:w="3048" w:type="dxa"/>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ind w:left="-360" w:leftChars="0" w:firstLine="560" w:firstLineChars="200"/>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110,506,992,816.72</w:t>
            </w:r>
          </w:p>
        </w:tc>
        <w:tc>
          <w:tcPr>
            <w:tcW w:w="1773" w:type="dxa"/>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ind w:left="-360" w:leftChars="0" w:firstLine="560" w:firstLineChars="200"/>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4420279713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2124" w:type="dxa"/>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ind w:left="-360" w:leftChars="0" w:firstLine="560" w:firstLineChars="200"/>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2025</w:t>
            </w:r>
          </w:p>
        </w:tc>
        <w:tc>
          <w:tcPr>
            <w:tcW w:w="3048" w:type="dxa"/>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ind w:left="-360" w:leftChars="0" w:firstLine="560" w:firstLineChars="200"/>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112,355,526,396.14</w:t>
            </w:r>
          </w:p>
        </w:tc>
        <w:tc>
          <w:tcPr>
            <w:tcW w:w="1773" w:type="dxa"/>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ind w:left="-360" w:leftChars="0" w:firstLine="560" w:firstLineChars="200"/>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4494221056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2124" w:type="dxa"/>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ind w:left="-360" w:leftChars="0" w:firstLine="560" w:firstLineChars="200"/>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2026</w:t>
            </w:r>
          </w:p>
        </w:tc>
        <w:tc>
          <w:tcPr>
            <w:tcW w:w="3048" w:type="dxa"/>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ind w:left="-360" w:leftChars="0" w:firstLine="560" w:firstLineChars="200"/>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114,234,981,787.00</w:t>
            </w:r>
          </w:p>
        </w:tc>
        <w:tc>
          <w:tcPr>
            <w:tcW w:w="1773" w:type="dxa"/>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ind w:left="-360" w:leftChars="0" w:firstLine="560" w:firstLineChars="200"/>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4569399271</w:t>
            </w:r>
          </w:p>
        </w:tc>
      </w:tr>
    </w:tbl>
    <w:p>
      <w:pPr>
        <w:keepNext w:val="0"/>
        <w:keepLines w:val="0"/>
        <w:widowControl/>
        <w:numPr>
          <w:numId w:val="0"/>
        </w:numPr>
        <w:suppressLineNumbers w:val="0"/>
        <w:pBdr>
          <w:left w:val="none" w:color="auto" w:sz="0" w:space="0"/>
        </w:pBdr>
        <w:spacing w:before="0" w:beforeAutospacing="1" w:after="0" w:afterAutospacing="1" w:line="360" w:lineRule="atLeast"/>
        <w:rPr>
          <w:rFonts w:hint="eastAsia" w:ascii="宋体" w:hAnsi="宋体" w:eastAsia="宋体" w:cs="宋体"/>
          <w:b/>
          <w:bCs/>
          <w:sz w:val="28"/>
          <w:szCs w:val="36"/>
          <w:lang w:val="en-US" w:eastAsia="zh-CN"/>
        </w:rPr>
      </w:pPr>
      <w:r>
        <w:rPr>
          <w:rFonts w:hint="eastAsia" w:ascii="宋体" w:hAnsi="宋体" w:eastAsia="宋体" w:cs="宋体"/>
          <w:b/>
          <w:bCs/>
          <w:sz w:val="28"/>
          <w:szCs w:val="36"/>
          <w:lang w:val="en-US" w:eastAsia="zh-CN"/>
        </w:rPr>
        <w:t>5.2长安汽车的股价评估</w:t>
      </w:r>
    </w:p>
    <w:p>
      <w:pPr>
        <w:keepNext w:val="0"/>
        <w:keepLines w:val="0"/>
        <w:widowControl/>
        <w:numPr>
          <w:numId w:val="0"/>
        </w:numPr>
        <w:suppressLineNumbers w:val="0"/>
        <w:pBdr>
          <w:left w:val="none" w:color="auto" w:sz="0" w:space="0"/>
        </w:pBdr>
        <w:spacing w:before="0" w:beforeAutospacing="1" w:after="0" w:afterAutospacing="1" w:line="360" w:lineRule="atLeast"/>
        <w:ind w:firstLine="56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这里采用计算市盈率倍数的方式评估长安汽车股票的价值，市盈率倍数的数据来自东方财富网，预测机构对长安汽车2022年和2023年的预测市盈率为22倍—25倍。</w:t>
      </w:r>
    </w:p>
    <w:p>
      <w:pPr>
        <w:keepNext w:val="0"/>
        <w:keepLines w:val="0"/>
        <w:widowControl/>
        <w:numPr>
          <w:numId w:val="0"/>
        </w:numPr>
        <w:suppressLineNumbers w:val="0"/>
        <w:pBdr>
          <w:left w:val="none" w:color="auto" w:sz="0" w:space="0"/>
        </w:pBdr>
        <w:spacing w:before="0" w:beforeAutospacing="1" w:after="0" w:afterAutospacing="1" w:line="360" w:lineRule="atLeast"/>
        <w:ind w:firstLine="560"/>
        <w:rPr>
          <w:rFonts w:hint="default"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截止2022年6月底，长安汽车的股本总数为99.22亿股。</w:t>
      </w:r>
    </w:p>
    <w:p>
      <w:pPr>
        <w:keepNext w:val="0"/>
        <w:keepLines w:val="0"/>
        <w:widowControl/>
        <w:numPr>
          <w:numId w:val="0"/>
        </w:numPr>
        <w:suppressLineNumbers w:val="0"/>
        <w:pBdr>
          <w:left w:val="none" w:color="auto" w:sz="0" w:space="0"/>
        </w:pBdr>
        <w:spacing w:before="0" w:beforeAutospacing="1" w:after="0" w:afterAutospacing="1" w:line="360" w:lineRule="atLeast"/>
        <w:rPr>
          <w:rFonts w:hint="eastAsia" w:ascii="宋体" w:hAnsi="宋体" w:eastAsia="宋体" w:cs="宋体"/>
          <w:b/>
          <w:bCs/>
          <w:sz w:val="28"/>
          <w:szCs w:val="36"/>
          <w:lang w:val="en-US" w:eastAsia="zh-CN"/>
        </w:rPr>
      </w:pPr>
      <w:r>
        <w:rPr>
          <w:rFonts w:hint="eastAsia" w:ascii="宋体" w:hAnsi="宋体" w:eastAsia="宋体" w:cs="宋体"/>
          <w:b/>
          <w:bCs/>
          <w:sz w:val="28"/>
          <w:szCs w:val="36"/>
          <w:lang w:val="en-US" w:eastAsia="zh-CN"/>
        </w:rPr>
        <w:t>5.2.1乐观情况的估计</w:t>
      </w:r>
    </w:p>
    <w:p>
      <w:pPr>
        <w:keepNext w:val="0"/>
        <w:keepLines w:val="0"/>
        <w:widowControl/>
        <w:numPr>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 xml:space="preserve">   首先将预测的利润转化为每股收益：</w:t>
      </w:r>
    </w:p>
    <w:tbl>
      <w:tblPr>
        <w:tblW w:w="9025" w:type="dxa"/>
        <w:tblInd w:w="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0" w:type="dxa"/>
          <w:left w:w="108" w:type="dxa"/>
          <w:bottom w:w="0" w:type="dxa"/>
          <w:right w:w="108" w:type="dxa"/>
        </w:tblCellMar>
      </w:tblPr>
      <w:tblGrid>
        <w:gridCol w:w="2376"/>
        <w:gridCol w:w="2736"/>
        <w:gridCol w:w="2596"/>
        <w:gridCol w:w="22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8" w:hRule="atLeast"/>
        </w:trPr>
        <w:tc>
          <w:tcPr>
            <w:tcW w:w="2376" w:type="dxa"/>
            <w:tcBorders>
              <w:tl2br w:val="nil"/>
              <w:tr2bl w:val="nil"/>
            </w:tcBorders>
            <w:shd w:val="clear"/>
            <w:noWrap/>
            <w:vAlign w:val="center"/>
          </w:tcPr>
          <w:p>
            <w:pPr>
              <w:rPr>
                <w:rFonts w:hint="eastAsia" w:ascii="宋体" w:hAnsi="宋体" w:eastAsia="宋体" w:cs="宋体"/>
                <w:b w:val="0"/>
                <w:bCs w:val="0"/>
                <w:kern w:val="2"/>
                <w:sz w:val="28"/>
                <w:szCs w:val="36"/>
                <w:lang w:val="en-US" w:eastAsia="zh-CN" w:bidi="ar-SA"/>
              </w:rPr>
            </w:pPr>
          </w:p>
        </w:tc>
        <w:tc>
          <w:tcPr>
            <w:tcW w:w="2376" w:type="dxa"/>
            <w:tcBorders>
              <w:tl2br w:val="nil"/>
              <w:tr2bl w:val="nil"/>
            </w:tcBorders>
            <w:shd w:val="clear"/>
            <w:noWrap/>
            <w:vAlign w:val="center"/>
          </w:tcPr>
          <w:p>
            <w:pPr>
              <w:keepNext w:val="0"/>
              <w:keepLines w:val="0"/>
              <w:widowControl/>
              <w:suppressLineNumbers w:val="0"/>
              <w:jc w:val="left"/>
              <w:textAlignment w:val="center"/>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营业收入</w:t>
            </w:r>
          </w:p>
        </w:tc>
        <w:tc>
          <w:tcPr>
            <w:tcW w:w="2016" w:type="dxa"/>
            <w:tcBorders>
              <w:tl2br w:val="nil"/>
              <w:tr2bl w:val="nil"/>
            </w:tcBorders>
            <w:shd w:val="clear"/>
            <w:noWrap/>
            <w:vAlign w:val="center"/>
          </w:tcPr>
          <w:p>
            <w:pPr>
              <w:keepNext w:val="0"/>
              <w:keepLines w:val="0"/>
              <w:widowControl/>
              <w:suppressLineNumbers w:val="0"/>
              <w:jc w:val="left"/>
              <w:textAlignment w:val="center"/>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利润</w:t>
            </w:r>
          </w:p>
        </w:tc>
        <w:tc>
          <w:tcPr>
            <w:tcW w:w="2256" w:type="dxa"/>
            <w:tcBorders>
              <w:tl2br w:val="nil"/>
              <w:tr2bl w:val="nil"/>
            </w:tcBorders>
            <w:shd w:val="clear"/>
            <w:noWrap/>
            <w:vAlign w:val="center"/>
          </w:tcPr>
          <w:p>
            <w:pPr>
              <w:keepNext w:val="0"/>
              <w:keepLines w:val="0"/>
              <w:widowControl/>
              <w:suppressLineNumbers w:val="0"/>
              <w:jc w:val="left"/>
              <w:textAlignment w:val="center"/>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每股收益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8" w:hRule="atLeast"/>
        </w:trPr>
        <w:tc>
          <w:tcPr>
            <w:tcW w:w="0" w:type="auto"/>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2022</w:t>
            </w:r>
          </w:p>
        </w:tc>
        <w:tc>
          <w:tcPr>
            <w:tcW w:w="0" w:type="auto"/>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 xml:space="preserve">114,342,059,913.81 </w:t>
            </w:r>
          </w:p>
        </w:tc>
        <w:tc>
          <w:tcPr>
            <w:tcW w:w="0" w:type="auto"/>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 xml:space="preserve">8,003,944,193.97 </w:t>
            </w:r>
          </w:p>
        </w:tc>
        <w:tc>
          <w:tcPr>
            <w:tcW w:w="0" w:type="auto"/>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0.806686575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8" w:hRule="atLeast"/>
        </w:trPr>
        <w:tc>
          <w:tcPr>
            <w:tcW w:w="0" w:type="auto"/>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2023</w:t>
            </w:r>
          </w:p>
        </w:tc>
        <w:tc>
          <w:tcPr>
            <w:tcW w:w="0" w:type="auto"/>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 xml:space="preserve">124,347,282,062.09 </w:t>
            </w:r>
          </w:p>
        </w:tc>
        <w:tc>
          <w:tcPr>
            <w:tcW w:w="0" w:type="auto"/>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 xml:space="preserve">8,704,309,744.35 </w:t>
            </w:r>
          </w:p>
        </w:tc>
        <w:tc>
          <w:tcPr>
            <w:tcW w:w="0" w:type="auto"/>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0.877273709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8" w:hRule="atLeast"/>
        </w:trPr>
        <w:tc>
          <w:tcPr>
            <w:tcW w:w="0" w:type="auto"/>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2024</w:t>
            </w:r>
          </w:p>
        </w:tc>
        <w:tc>
          <w:tcPr>
            <w:tcW w:w="0" w:type="auto"/>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 xml:space="preserve">135,227,986,690.85 </w:t>
            </w:r>
          </w:p>
        </w:tc>
        <w:tc>
          <w:tcPr>
            <w:tcW w:w="0" w:type="auto"/>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 xml:space="preserve">9,465,959,068.36 </w:t>
            </w:r>
          </w:p>
        </w:tc>
        <w:tc>
          <w:tcPr>
            <w:tcW w:w="0" w:type="auto"/>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0.954037399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8" w:hRule="atLeast"/>
        </w:trPr>
        <w:tc>
          <w:tcPr>
            <w:tcW w:w="0" w:type="auto"/>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2025</w:t>
            </w:r>
          </w:p>
        </w:tc>
        <w:tc>
          <w:tcPr>
            <w:tcW w:w="0" w:type="auto"/>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 xml:space="preserve">147,060,780,752.17 </w:t>
            </w:r>
          </w:p>
        </w:tc>
        <w:tc>
          <w:tcPr>
            <w:tcW w:w="0" w:type="auto"/>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 xml:space="preserve">10,294,254,652.65 </w:t>
            </w:r>
          </w:p>
        </w:tc>
        <w:tc>
          <w:tcPr>
            <w:tcW w:w="0" w:type="auto"/>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1.037518106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8" w:hRule="atLeast"/>
        </w:trPr>
        <w:tc>
          <w:tcPr>
            <w:tcW w:w="0" w:type="auto"/>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2026</w:t>
            </w:r>
          </w:p>
        </w:tc>
        <w:tc>
          <w:tcPr>
            <w:tcW w:w="0" w:type="auto"/>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 xml:space="preserve">159,928,974,502.00 </w:t>
            </w:r>
          </w:p>
        </w:tc>
        <w:tc>
          <w:tcPr>
            <w:tcW w:w="0" w:type="auto"/>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 xml:space="preserve">11,195,028,215.14 </w:t>
            </w:r>
          </w:p>
        </w:tc>
        <w:tc>
          <w:tcPr>
            <w:tcW w:w="0" w:type="auto"/>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1.12830359</w:t>
            </w:r>
          </w:p>
        </w:tc>
      </w:tr>
    </w:tbl>
    <w:p>
      <w:pPr>
        <w:keepNext w:val="0"/>
        <w:keepLines w:val="0"/>
        <w:widowControl/>
        <w:numPr>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 xml:space="preserve">   然后取预测机构预测的市盈率中位数23倍进行计算：</w:t>
      </w:r>
    </w:p>
    <w:tbl>
      <w:tblPr>
        <w:tblW w:w="3648" w:type="dxa"/>
        <w:tblInd w:w="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0" w:type="dxa"/>
          <w:left w:w="108" w:type="dxa"/>
          <w:bottom w:w="0" w:type="dxa"/>
          <w:right w:w="108" w:type="dxa"/>
        </w:tblCellMar>
      </w:tblPr>
      <w:tblGrid>
        <w:gridCol w:w="2256"/>
        <w:gridCol w:w="17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8" w:hRule="atLeast"/>
        </w:trPr>
        <w:tc>
          <w:tcPr>
            <w:tcW w:w="2256" w:type="dxa"/>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每股收益</w:t>
            </w:r>
          </w:p>
        </w:tc>
        <w:tc>
          <w:tcPr>
            <w:tcW w:w="1392" w:type="dxa"/>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预测股价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8" w:hRule="atLeast"/>
        </w:trPr>
        <w:tc>
          <w:tcPr>
            <w:tcW w:w="0" w:type="auto"/>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0.806686575</w:t>
            </w:r>
          </w:p>
        </w:tc>
        <w:tc>
          <w:tcPr>
            <w:tcW w:w="0" w:type="auto"/>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18.55379122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8" w:hRule="atLeast"/>
        </w:trPr>
        <w:tc>
          <w:tcPr>
            <w:tcW w:w="0" w:type="auto"/>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0.877273709</w:t>
            </w:r>
          </w:p>
        </w:tc>
        <w:tc>
          <w:tcPr>
            <w:tcW w:w="0" w:type="auto"/>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20.17729532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8" w:hRule="atLeast"/>
        </w:trPr>
        <w:tc>
          <w:tcPr>
            <w:tcW w:w="0" w:type="auto"/>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0.954037399</w:t>
            </w:r>
          </w:p>
        </w:tc>
        <w:tc>
          <w:tcPr>
            <w:tcW w:w="0" w:type="auto"/>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21.94286017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0" w:type="auto"/>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1.037518106</w:t>
            </w:r>
          </w:p>
        </w:tc>
        <w:tc>
          <w:tcPr>
            <w:tcW w:w="0" w:type="auto"/>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23.86291645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0" w:type="auto"/>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1.12830359</w:t>
            </w:r>
          </w:p>
        </w:tc>
        <w:tc>
          <w:tcPr>
            <w:tcW w:w="0" w:type="auto"/>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25.95098256</w:t>
            </w:r>
          </w:p>
        </w:tc>
      </w:tr>
    </w:tbl>
    <w:p>
      <w:pPr>
        <w:keepNext w:val="0"/>
        <w:keepLines w:val="0"/>
        <w:widowControl/>
        <w:numPr>
          <w:numId w:val="0"/>
        </w:numPr>
        <w:suppressLineNumbers w:val="0"/>
        <w:pBdr>
          <w:left w:val="none" w:color="auto" w:sz="0" w:space="0"/>
        </w:pBdr>
        <w:spacing w:before="0" w:beforeAutospacing="1" w:after="0" w:afterAutospacing="1" w:line="360" w:lineRule="atLeast"/>
        <w:rPr>
          <w:rFonts w:hint="eastAsia" w:ascii="宋体" w:hAnsi="宋体" w:eastAsia="宋体" w:cs="宋体"/>
          <w:b/>
          <w:bCs/>
          <w:sz w:val="28"/>
          <w:szCs w:val="36"/>
          <w:lang w:val="en-US" w:eastAsia="zh-CN"/>
        </w:rPr>
      </w:pPr>
      <w:r>
        <w:rPr>
          <w:rFonts w:hint="eastAsia" w:ascii="宋体" w:hAnsi="宋体" w:eastAsia="宋体" w:cs="宋体"/>
          <w:b/>
          <w:bCs/>
          <w:sz w:val="28"/>
          <w:szCs w:val="36"/>
          <w:lang w:val="en-US" w:eastAsia="zh-CN"/>
        </w:rPr>
        <w:t>5.2.2悲观情况的估计</w:t>
      </w:r>
    </w:p>
    <w:p>
      <w:pPr>
        <w:keepNext w:val="0"/>
        <w:keepLines w:val="0"/>
        <w:widowControl/>
        <w:numPr>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首先将预测的利润转化为每股收益：</w:t>
      </w:r>
    </w:p>
    <w:tbl>
      <w:tblPr>
        <w:tblW w:w="7500" w:type="dxa"/>
        <w:tblInd w:w="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0" w:type="dxa"/>
          <w:left w:w="108" w:type="dxa"/>
          <w:bottom w:w="0" w:type="dxa"/>
          <w:right w:w="108" w:type="dxa"/>
        </w:tblCellMar>
      </w:tblPr>
      <w:tblGrid>
        <w:gridCol w:w="2124"/>
        <w:gridCol w:w="2736"/>
        <w:gridCol w:w="1616"/>
        <w:gridCol w:w="17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8" w:hRule="atLeast"/>
        </w:trPr>
        <w:tc>
          <w:tcPr>
            <w:tcW w:w="2124" w:type="dxa"/>
            <w:tcBorders>
              <w:tl2br w:val="nil"/>
              <w:tr2bl w:val="nil"/>
            </w:tcBorders>
            <w:shd w:val="clear"/>
            <w:noWrap/>
            <w:vAlign w:val="center"/>
          </w:tcPr>
          <w:p>
            <w:pPr>
              <w:rPr>
                <w:rFonts w:hint="eastAsia" w:ascii="宋体" w:hAnsi="宋体" w:eastAsia="宋体" w:cs="宋体"/>
                <w:b w:val="0"/>
                <w:bCs w:val="0"/>
                <w:kern w:val="2"/>
                <w:sz w:val="28"/>
                <w:szCs w:val="36"/>
                <w:lang w:val="en-US" w:eastAsia="zh-CN" w:bidi="ar-SA"/>
              </w:rPr>
            </w:pPr>
          </w:p>
        </w:tc>
        <w:tc>
          <w:tcPr>
            <w:tcW w:w="2712" w:type="dxa"/>
            <w:tcBorders>
              <w:tl2br w:val="nil"/>
              <w:tr2bl w:val="nil"/>
            </w:tcBorders>
            <w:shd w:val="clear"/>
            <w:noWrap/>
            <w:vAlign w:val="center"/>
          </w:tcPr>
          <w:p>
            <w:pPr>
              <w:keepNext w:val="0"/>
              <w:keepLines w:val="0"/>
              <w:widowControl/>
              <w:suppressLineNumbers w:val="0"/>
              <w:jc w:val="center"/>
              <w:textAlignment w:val="center"/>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营业收入</w:t>
            </w:r>
          </w:p>
        </w:tc>
        <w:tc>
          <w:tcPr>
            <w:tcW w:w="1272" w:type="dxa"/>
            <w:tcBorders>
              <w:tl2br w:val="nil"/>
              <w:tr2bl w:val="nil"/>
            </w:tcBorders>
            <w:shd w:val="clear"/>
            <w:noWrap/>
            <w:vAlign w:val="center"/>
          </w:tcPr>
          <w:p>
            <w:pPr>
              <w:keepNext w:val="0"/>
              <w:keepLines w:val="0"/>
              <w:widowControl/>
              <w:suppressLineNumbers w:val="0"/>
              <w:jc w:val="left"/>
              <w:textAlignment w:val="center"/>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利润</w:t>
            </w:r>
          </w:p>
        </w:tc>
        <w:tc>
          <w:tcPr>
            <w:tcW w:w="1392" w:type="dxa"/>
            <w:tcBorders>
              <w:tl2br w:val="nil"/>
              <w:tr2bl w:val="nil"/>
            </w:tcBorders>
            <w:shd w:val="clear"/>
            <w:noWrap/>
            <w:vAlign w:val="center"/>
          </w:tcPr>
          <w:p>
            <w:pPr>
              <w:keepNext w:val="0"/>
              <w:keepLines w:val="0"/>
              <w:widowControl/>
              <w:suppressLineNumbers w:val="0"/>
              <w:jc w:val="left"/>
              <w:textAlignment w:val="center"/>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每股收益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8" w:hRule="atLeast"/>
        </w:trPr>
        <w:tc>
          <w:tcPr>
            <w:tcW w:w="0" w:type="auto"/>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2022</w:t>
            </w:r>
          </w:p>
        </w:tc>
        <w:tc>
          <w:tcPr>
            <w:tcW w:w="0" w:type="auto"/>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106,900,664,493.15</w:t>
            </w:r>
          </w:p>
        </w:tc>
        <w:tc>
          <w:tcPr>
            <w:tcW w:w="0" w:type="auto"/>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4276026580</w:t>
            </w:r>
          </w:p>
        </w:tc>
        <w:tc>
          <w:tcPr>
            <w:tcW w:w="0" w:type="auto"/>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0.430964179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8" w:hRule="atLeast"/>
        </w:trPr>
        <w:tc>
          <w:tcPr>
            <w:tcW w:w="0" w:type="auto"/>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2023</w:t>
            </w:r>
          </w:p>
        </w:tc>
        <w:tc>
          <w:tcPr>
            <w:tcW w:w="0" w:type="auto"/>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108,688,872,306.45</w:t>
            </w:r>
          </w:p>
        </w:tc>
        <w:tc>
          <w:tcPr>
            <w:tcW w:w="0" w:type="auto"/>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4347554892</w:t>
            </w:r>
          </w:p>
        </w:tc>
        <w:tc>
          <w:tcPr>
            <w:tcW w:w="0" w:type="auto"/>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0.438173241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8" w:hRule="atLeast"/>
        </w:trPr>
        <w:tc>
          <w:tcPr>
            <w:tcW w:w="0" w:type="auto"/>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2024</w:t>
            </w:r>
          </w:p>
        </w:tc>
        <w:tc>
          <w:tcPr>
            <w:tcW w:w="0" w:type="auto"/>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110,506,992,816.72</w:t>
            </w:r>
          </w:p>
        </w:tc>
        <w:tc>
          <w:tcPr>
            <w:tcW w:w="0" w:type="auto"/>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4420279713</w:t>
            </w:r>
          </w:p>
        </w:tc>
        <w:tc>
          <w:tcPr>
            <w:tcW w:w="0" w:type="auto"/>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0.445502894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8" w:hRule="atLeast"/>
        </w:trPr>
        <w:tc>
          <w:tcPr>
            <w:tcW w:w="0" w:type="auto"/>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2025</w:t>
            </w:r>
          </w:p>
        </w:tc>
        <w:tc>
          <w:tcPr>
            <w:tcW w:w="0" w:type="auto"/>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112,355,526,396.14</w:t>
            </w:r>
          </w:p>
        </w:tc>
        <w:tc>
          <w:tcPr>
            <w:tcW w:w="0" w:type="auto"/>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4494221056</w:t>
            </w:r>
          </w:p>
        </w:tc>
        <w:tc>
          <w:tcPr>
            <w:tcW w:w="0" w:type="auto"/>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0.452955156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8" w:hRule="atLeast"/>
        </w:trPr>
        <w:tc>
          <w:tcPr>
            <w:tcW w:w="0" w:type="auto"/>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2026</w:t>
            </w:r>
          </w:p>
        </w:tc>
        <w:tc>
          <w:tcPr>
            <w:tcW w:w="0" w:type="auto"/>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114,234,981,787.00</w:t>
            </w:r>
          </w:p>
        </w:tc>
        <w:tc>
          <w:tcPr>
            <w:tcW w:w="0" w:type="auto"/>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4569399271</w:t>
            </w:r>
          </w:p>
        </w:tc>
        <w:tc>
          <w:tcPr>
            <w:tcW w:w="0" w:type="auto"/>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0.460532077</w:t>
            </w:r>
          </w:p>
        </w:tc>
      </w:tr>
    </w:tbl>
    <w:p>
      <w:pPr>
        <w:keepNext w:val="0"/>
        <w:keepLines w:val="0"/>
        <w:widowControl/>
        <w:numPr>
          <w:numId w:val="0"/>
        </w:numPr>
        <w:suppressLineNumbers w:val="0"/>
        <w:pBdr>
          <w:left w:val="none" w:color="auto" w:sz="0" w:space="0"/>
        </w:pBdr>
        <w:spacing w:before="0" w:beforeAutospacing="1" w:after="0" w:afterAutospacing="1" w:line="360" w:lineRule="atLeast"/>
        <w:rPr>
          <w:rFonts w:hint="default"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然后取预测机构预测的市盈率中位数23倍进行计算：</w:t>
      </w:r>
    </w:p>
    <w:tbl>
      <w:tblPr>
        <w:tblW w:w="2665" w:type="dxa"/>
        <w:tblInd w:w="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0" w:type="dxa"/>
          <w:left w:w="108" w:type="dxa"/>
          <w:bottom w:w="0" w:type="dxa"/>
          <w:right w:w="108" w:type="dxa"/>
        </w:tblCellMar>
      </w:tblPr>
      <w:tblGrid>
        <w:gridCol w:w="1756"/>
        <w:gridCol w:w="17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8" w:hRule="atLeast"/>
        </w:trPr>
        <w:tc>
          <w:tcPr>
            <w:tcW w:w="1392" w:type="dxa"/>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每股收益</w:t>
            </w:r>
          </w:p>
        </w:tc>
        <w:tc>
          <w:tcPr>
            <w:tcW w:w="1272" w:type="dxa"/>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预测股价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8" w:hRule="atLeast"/>
        </w:trPr>
        <w:tc>
          <w:tcPr>
            <w:tcW w:w="0" w:type="auto"/>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0.430964179</w:t>
            </w:r>
          </w:p>
        </w:tc>
        <w:tc>
          <w:tcPr>
            <w:tcW w:w="0" w:type="auto"/>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9.912176107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8" w:hRule="atLeast"/>
        </w:trPr>
        <w:tc>
          <w:tcPr>
            <w:tcW w:w="0" w:type="auto"/>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0.438173241</w:t>
            </w:r>
          </w:p>
        </w:tc>
        <w:tc>
          <w:tcPr>
            <w:tcW w:w="0" w:type="auto"/>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10.07798453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8" w:hRule="atLeast"/>
        </w:trPr>
        <w:tc>
          <w:tcPr>
            <w:tcW w:w="0" w:type="auto"/>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0.445502894</w:t>
            </w:r>
          </w:p>
        </w:tc>
        <w:tc>
          <w:tcPr>
            <w:tcW w:w="0" w:type="auto"/>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10.24656656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8" w:hRule="atLeast"/>
        </w:trPr>
        <w:tc>
          <w:tcPr>
            <w:tcW w:w="0" w:type="auto"/>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0.452955156</w:t>
            </w:r>
          </w:p>
        </w:tc>
        <w:tc>
          <w:tcPr>
            <w:tcW w:w="0" w:type="auto"/>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10.41796858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8" w:hRule="atLeast"/>
        </w:trPr>
        <w:tc>
          <w:tcPr>
            <w:tcW w:w="0" w:type="auto"/>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0.460532077</w:t>
            </w:r>
          </w:p>
        </w:tc>
        <w:tc>
          <w:tcPr>
            <w:tcW w:w="0" w:type="auto"/>
            <w:tcBorders>
              <w:tl2br w:val="nil"/>
              <w:tr2bl w:val="nil"/>
            </w:tcBorders>
            <w:shd w:val="clear"/>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10.59223778</w:t>
            </w:r>
          </w:p>
        </w:tc>
      </w:tr>
    </w:tbl>
    <w:p>
      <w:pPr>
        <w:keepNext w:val="0"/>
        <w:keepLines w:val="0"/>
        <w:widowControl/>
        <w:numPr>
          <w:numId w:val="0"/>
        </w:numPr>
        <w:suppressLineNumbers w:val="0"/>
        <w:pBdr>
          <w:left w:val="none" w:color="auto" w:sz="0" w:space="0"/>
        </w:pBdr>
        <w:spacing w:before="0" w:beforeAutospacing="1" w:after="0" w:afterAutospacing="1" w:line="360" w:lineRule="atLeast"/>
        <w:rPr>
          <w:rFonts w:hint="eastAsia" w:ascii="宋体" w:hAnsi="宋体" w:eastAsia="宋体" w:cs="宋体"/>
          <w:b/>
          <w:bCs/>
          <w:sz w:val="28"/>
          <w:szCs w:val="36"/>
          <w:lang w:val="en-US" w:eastAsia="zh-CN"/>
        </w:rPr>
      </w:pPr>
      <w:r>
        <w:rPr>
          <w:rFonts w:hint="eastAsia" w:ascii="宋体" w:hAnsi="宋体" w:eastAsia="宋体" w:cs="宋体"/>
          <w:b/>
          <w:bCs/>
          <w:sz w:val="28"/>
          <w:szCs w:val="36"/>
          <w:lang w:val="en-US" w:eastAsia="zh-CN"/>
        </w:rPr>
        <w:t>5.3总结</w:t>
      </w:r>
    </w:p>
    <w:p>
      <w:pPr>
        <w:keepNext w:val="0"/>
        <w:keepLines w:val="0"/>
        <w:widowControl/>
        <w:numPr>
          <w:numId w:val="0"/>
        </w:numPr>
        <w:suppressLineNumbers w:val="0"/>
        <w:pBdr>
          <w:left w:val="none" w:color="auto" w:sz="0" w:space="0"/>
        </w:pBdr>
        <w:spacing w:before="0" w:beforeAutospacing="1" w:after="0" w:afterAutospacing="1" w:line="360" w:lineRule="atLeast"/>
        <w:rPr>
          <w:rFonts w:hint="default"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 xml:space="preserve">    综合以上各种情况判断，长安汽车的股价在悲观的情况下价值10元左右，在最乐观的情况下，股价可能达到25元的高点。</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9051C9"/>
    <w:multiLevelType w:val="singleLevel"/>
    <w:tmpl w:val="DE9051C9"/>
    <w:lvl w:ilvl="0" w:tentative="0">
      <w:start w:val="2"/>
      <w:numFmt w:val="decimal"/>
      <w:suff w:val="nothing"/>
      <w:lvlText w:val="%1、"/>
      <w:lvlJc w:val="left"/>
    </w:lvl>
  </w:abstractNum>
  <w:abstractNum w:abstractNumId="1">
    <w:nsid w:val="F59842F3"/>
    <w:multiLevelType w:val="multilevel"/>
    <w:tmpl w:val="F59842F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06CE2C0F"/>
    <w:multiLevelType w:val="singleLevel"/>
    <w:tmpl w:val="06CE2C0F"/>
    <w:lvl w:ilvl="0" w:tentative="0">
      <w:start w:val="2"/>
      <w:numFmt w:val="decimal"/>
      <w:lvlText w:val="%1."/>
      <w:lvlJc w:val="left"/>
      <w:pPr>
        <w:tabs>
          <w:tab w:val="left" w:pos="312"/>
        </w:tabs>
      </w:pPr>
    </w:lvl>
  </w:abstractNum>
  <w:abstractNum w:abstractNumId="3">
    <w:nsid w:val="0D28AE92"/>
    <w:multiLevelType w:val="singleLevel"/>
    <w:tmpl w:val="0D28AE92"/>
    <w:lvl w:ilvl="0" w:tentative="0">
      <w:start w:val="1"/>
      <w:numFmt w:val="decimal"/>
      <w:suff w:val="nothing"/>
      <w:lvlText w:val="%1、"/>
      <w:lvlJc w:val="left"/>
    </w:lvl>
  </w:abstractNum>
  <w:abstractNum w:abstractNumId="4">
    <w:nsid w:val="5A3147F9"/>
    <w:multiLevelType w:val="singleLevel"/>
    <w:tmpl w:val="5A3147F9"/>
    <w:lvl w:ilvl="0" w:tentative="0">
      <w:start w:val="2"/>
      <w:numFmt w:val="decimal"/>
      <w:lvlText w:val="%1."/>
      <w:lvlJc w:val="left"/>
      <w:pPr>
        <w:tabs>
          <w:tab w:val="left" w:pos="312"/>
        </w:tabs>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D36897"/>
    <w:rsid w:val="016968D3"/>
    <w:rsid w:val="022D677E"/>
    <w:rsid w:val="06B03FA4"/>
    <w:rsid w:val="076C3B7D"/>
    <w:rsid w:val="0BD84435"/>
    <w:rsid w:val="106775DA"/>
    <w:rsid w:val="11161792"/>
    <w:rsid w:val="1196761F"/>
    <w:rsid w:val="13D32A7E"/>
    <w:rsid w:val="13F672F7"/>
    <w:rsid w:val="140D682E"/>
    <w:rsid w:val="16744A34"/>
    <w:rsid w:val="17FB2483"/>
    <w:rsid w:val="186606BB"/>
    <w:rsid w:val="18CF01DD"/>
    <w:rsid w:val="1A602EAE"/>
    <w:rsid w:val="1AC825FA"/>
    <w:rsid w:val="1B213096"/>
    <w:rsid w:val="1E4B17DE"/>
    <w:rsid w:val="209E392E"/>
    <w:rsid w:val="20FF3E3C"/>
    <w:rsid w:val="21CD2693"/>
    <w:rsid w:val="21FD23EB"/>
    <w:rsid w:val="28743F56"/>
    <w:rsid w:val="28D36897"/>
    <w:rsid w:val="2B5136F9"/>
    <w:rsid w:val="2F1D67D0"/>
    <w:rsid w:val="324B19B3"/>
    <w:rsid w:val="346374AE"/>
    <w:rsid w:val="35116B13"/>
    <w:rsid w:val="359B03E0"/>
    <w:rsid w:val="36FD79CA"/>
    <w:rsid w:val="38556D0C"/>
    <w:rsid w:val="39120457"/>
    <w:rsid w:val="3A246994"/>
    <w:rsid w:val="3AD575F6"/>
    <w:rsid w:val="3BE80755"/>
    <w:rsid w:val="3F9322F2"/>
    <w:rsid w:val="402406D5"/>
    <w:rsid w:val="4136379D"/>
    <w:rsid w:val="426755F2"/>
    <w:rsid w:val="43B45ADE"/>
    <w:rsid w:val="4787116E"/>
    <w:rsid w:val="48280888"/>
    <w:rsid w:val="4E6256AB"/>
    <w:rsid w:val="4FC20ADC"/>
    <w:rsid w:val="500E635C"/>
    <w:rsid w:val="51BC492B"/>
    <w:rsid w:val="524318FB"/>
    <w:rsid w:val="55934FCF"/>
    <w:rsid w:val="56C32F75"/>
    <w:rsid w:val="5A8C1B23"/>
    <w:rsid w:val="5B1E1873"/>
    <w:rsid w:val="5C352DE2"/>
    <w:rsid w:val="5E070DD5"/>
    <w:rsid w:val="60C15D93"/>
    <w:rsid w:val="61F373AE"/>
    <w:rsid w:val="620439A3"/>
    <w:rsid w:val="62CE4AAC"/>
    <w:rsid w:val="640C3FD0"/>
    <w:rsid w:val="68601624"/>
    <w:rsid w:val="6A2B108D"/>
    <w:rsid w:val="7052606D"/>
    <w:rsid w:val="70761CF1"/>
    <w:rsid w:val="70AA3DBE"/>
    <w:rsid w:val="713559D7"/>
    <w:rsid w:val="735A34D3"/>
    <w:rsid w:val="737C09CA"/>
    <w:rsid w:val="742C4E6F"/>
    <w:rsid w:val="74935C52"/>
    <w:rsid w:val="77CE6A0D"/>
    <w:rsid w:val="78757666"/>
    <w:rsid w:val="7B583286"/>
    <w:rsid w:val="7BAD4F05"/>
    <w:rsid w:val="7DB23218"/>
    <w:rsid w:val="7DBE3224"/>
    <w:rsid w:val="7E9F4486"/>
    <w:rsid w:val="7F8503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4" Type="http://schemas.microsoft.com/office/2011/relationships/chartColorStyle" Target="colors1.xml"/><Relationship Id="rId3" Type="http://schemas.microsoft.com/office/2011/relationships/chartStyle" Target="style1.xml"/><Relationship Id="rId2" Type="http://schemas.openxmlformats.org/officeDocument/2006/relationships/chartUserShapes" Target="../drawings/drawing1.xml"/><Relationship Id="rId1" Type="http://schemas.openxmlformats.org/officeDocument/2006/relationships/oleObject" Target="file:///E:\&#24494;&#20449;&#25991;&#20214;\WeChat%20Files\wxid_uq2t7w5qw9xo22\FileStorage\MsgAttach\9e20f478899dc29eb19741386f9343c8\File\2022-06\&#25195;&#25551;&#20840;&#33021;&#29579;%202022-06-29%2013.26.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长安汽车品牌主要产品波士顿矩阵</a:t>
            </a:r>
          </a:p>
        </c:rich>
      </c:tx>
      <c:layout/>
      <c:overlay val="0"/>
      <c:spPr>
        <a:noFill/>
        <a:ln>
          <a:noFill/>
        </a:ln>
        <a:effectLst/>
      </c:spPr>
    </c:title>
    <c:autoTitleDeleted val="0"/>
    <c:plotArea>
      <c:layout/>
      <c:bubbleChart>
        <c:varyColors val="0"/>
        <c:ser>
          <c:idx val="0"/>
          <c:order val="0"/>
          <c:spPr>
            <a:solidFill>
              <a:schemeClr val="accent1">
                <a:alpha val="75000"/>
              </a:schemeClr>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r"/>
            <c:showLegendKey val="0"/>
            <c:showVal val="0"/>
            <c:showCatName val="0"/>
            <c:showSerName val="0"/>
            <c:showPercent val="0"/>
            <c:showBubbleSize val="1"/>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xVal>
            <c:numRef>
              <c:f>'[扫描全能王 2022-06-29 13.26.xlsx]Sheet3'!$B$2:$B$6</c:f>
              <c:numCache>
                <c:formatCode>0.00%</c:formatCode>
                <c:ptCount val="5"/>
                <c:pt idx="0">
                  <c:v>0.0226</c:v>
                </c:pt>
                <c:pt idx="1">
                  <c:v>0.0232</c:v>
                </c:pt>
                <c:pt idx="2">
                  <c:v>0.1213</c:v>
                </c:pt>
                <c:pt idx="3">
                  <c:v>0.0504</c:v>
                </c:pt>
                <c:pt idx="4">
                  <c:v>0.0796</c:v>
                </c:pt>
              </c:numCache>
            </c:numRef>
          </c:xVal>
          <c:yVal>
            <c:numRef>
              <c:f>'[扫描全能王 2022-06-29 13.26.xlsx]Sheet3'!$C$2:$C$6</c:f>
              <c:numCache>
                <c:formatCode>0.00%</c:formatCode>
                <c:ptCount val="5"/>
                <c:pt idx="0">
                  <c:v>0.4408</c:v>
                </c:pt>
                <c:pt idx="1">
                  <c:v>0.1724</c:v>
                </c:pt>
                <c:pt idx="2">
                  <c:v>0.2679</c:v>
                </c:pt>
                <c:pt idx="3">
                  <c:v>0.5208</c:v>
                </c:pt>
                <c:pt idx="4">
                  <c:v>0.9123</c:v>
                </c:pt>
              </c:numCache>
            </c:numRef>
          </c:yVal>
          <c:bubbleSize>
            <c:numRef>
              <c:f>'[扫描全能王 2022-06-29 13.26.xlsx]Sheet3'!$D$2:$D$6</c:f>
              <c:numCache>
                <c:formatCode>General</c:formatCode>
                <c:ptCount val="5"/>
                <c:pt idx="0">
                  <c:v>7818</c:v>
                </c:pt>
                <c:pt idx="1">
                  <c:v>8030</c:v>
                </c:pt>
                <c:pt idx="2">
                  <c:v>8485</c:v>
                </c:pt>
                <c:pt idx="3">
                  <c:v>13680</c:v>
                </c:pt>
                <c:pt idx="4">
                  <c:v>10418</c:v>
                </c:pt>
              </c:numCache>
            </c:numRef>
          </c:bubbleSize>
          <c:bubble3D val="1"/>
        </c:ser>
        <c:dLbls>
          <c:showLegendKey val="0"/>
          <c:showVal val="0"/>
          <c:showCatName val="0"/>
          <c:showSerName val="0"/>
          <c:showPercent val="0"/>
          <c:showBubbleSize val="1"/>
        </c:dLbls>
        <c:bubbleScale val="100"/>
        <c:showNegBubbles val="0"/>
        <c:sizeRepresents val="area"/>
        <c:axId val="47077760"/>
        <c:axId val="984461694"/>
      </c:bubbleChart>
      <c:valAx>
        <c:axId val="470777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份额</a:t>
                </a:r>
              </a:p>
            </c:rich>
          </c:tx>
          <c:layout/>
          <c:overlay val="0"/>
          <c:spPr>
            <a:noFill/>
            <a:ln>
              <a:noFill/>
            </a:ln>
            <a:effectLst/>
          </c:sp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84461694"/>
        <c:crosses val="autoZero"/>
        <c:crossBetween val="midCat"/>
      </c:valAx>
      <c:valAx>
        <c:axId val="98446169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环比增长率</a:t>
                </a:r>
              </a:p>
            </c:rich>
          </c:tx>
          <c:layout/>
          <c:overlay val="0"/>
          <c:spPr>
            <a:noFill/>
            <a:ln>
              <a:noFill/>
            </a:ln>
            <a:effectLst/>
          </c:sp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70777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userShapes r:id="rId2"/>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9">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alpha val="75000"/>
        </a:schemeClr>
      </a:solidFill>
    </cs:spPr>
  </cs:dataPoint>
  <cs:dataPoint3D>
    <cs:lnRef idx="0"/>
    <cs:fillRef idx="1">
      <cs:styleClr val="auto"/>
    </cs:fillRef>
    <cs:effectRef idx="0"/>
    <cs:fontRef idx="minor">
      <a:schemeClr val="tx1"/>
    </cs:fontRef>
    <cs:spPr>
      <a:solidFill>
        <a:schemeClr val="phClr">
          <a:alpha val="75000"/>
        </a:schemeClr>
      </a:solidFill>
    </cs:spPr>
  </cs:dataPoint3D>
  <cs:dataPointLine>
    <cs:lnRef idx="0">
      <cs:styleClr val="auto"/>
    </cs:lnRef>
    <cs:fillRef idx="1"/>
    <cs:effectRef idx="0"/>
    <cs:fontRef idx="minor">
      <a:schemeClr val="tx1"/>
    </cs:fontRef>
    <cs:spPr>
      <a:ln w="19050" cap="rnd">
        <a:solidFill>
          <a:schemeClr val="phClr">
            <a:alpha val="50000"/>
          </a:scheme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0.731666666666667</cdr:x>
      <cdr:y>0.182407407407407</cdr:y>
    </cdr:from>
    <cdr:to>
      <cdr:x>0.731666666666667</cdr:x>
      <cdr:y>0.80462962962963</cdr:y>
    </cdr:to>
    <cdr:cxnSp>
      <cdr:nvCxnSpPr>
        <cdr:cNvPr id="2" name="直接连接符 1"/>
        <cdr:cNvCxnSpPr/>
      </cdr:nvCxnSpPr>
      <cdr:spPr xmlns:a="http://schemas.openxmlformats.org/drawingml/2006/main">
        <a:xfrm xmlns:a="http://schemas.openxmlformats.org/drawingml/2006/main">
          <a:off x="3345180" y="500380"/>
          <a:ext cx="0" cy="1706880"/>
        </a:xfrm>
        <a:prstGeom xmlns:a="http://schemas.openxmlformats.org/drawingml/2006/main" prst="line">
          <a:avLst/>
        </a:prstGeom>
      </cdr:spPr>
      <cdr:style>
        <a:lnRef xmlns:a="http://schemas.openxmlformats.org/drawingml/2006/main" idx="2">
          <a:schemeClr val="accent2"/>
        </a:lnRef>
        <a:fillRef xmlns:a="http://schemas.openxmlformats.org/drawingml/2006/main" idx="0">
          <a:schemeClr val="accent2"/>
        </a:fillRef>
        <a:effectRef xmlns:a="http://schemas.openxmlformats.org/drawingml/2006/main" idx="1">
          <a:schemeClr val="accent2"/>
        </a:effectRef>
        <a:fontRef xmlns:a="http://schemas.openxmlformats.org/drawingml/2006/main" idx="minor">
          <a:schemeClr val="tx1"/>
        </a:fontRef>
      </cdr:style>
    </cdr:cxnSp>
  </cdr:relSizeAnchor>
  <cdr:relSizeAnchor xmlns:cdr="http://schemas.openxmlformats.org/drawingml/2006/chartDrawing">
    <cdr:from>
      <cdr:x>0.183333333333333</cdr:x>
      <cdr:y>0.67962962962963</cdr:y>
    </cdr:from>
    <cdr:to>
      <cdr:x>0.951666666666667</cdr:x>
      <cdr:y>0.682407407407407</cdr:y>
    </cdr:to>
    <cdr:cxnSp>
      <cdr:nvCxnSpPr>
        <cdr:cNvPr id="3" name="直接连接符 2"/>
        <cdr:cNvCxnSpPr/>
      </cdr:nvCxnSpPr>
      <cdr:spPr xmlns:a="http://schemas.openxmlformats.org/drawingml/2006/main">
        <a:xfrm xmlns:a="http://schemas.openxmlformats.org/drawingml/2006/main">
          <a:off x="838200" y="1864360"/>
          <a:ext cx="3512820" cy="7620"/>
        </a:xfrm>
        <a:prstGeom xmlns:a="http://schemas.openxmlformats.org/drawingml/2006/main" prst="line">
          <a:avLst/>
        </a:prstGeom>
      </cdr:spPr>
      <cdr:style>
        <a:lnRef xmlns:a="http://schemas.openxmlformats.org/drawingml/2006/main" idx="1">
          <a:schemeClr val="accent2"/>
        </a:lnRef>
        <a:fillRef xmlns:a="http://schemas.openxmlformats.org/drawingml/2006/main" idx="0">
          <a:schemeClr val="accent2"/>
        </a:fillRef>
        <a:effectRef xmlns:a="http://schemas.openxmlformats.org/drawingml/2006/main" idx="0">
          <a:schemeClr val="accent2"/>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2022-06-28T01:57:00Z</dcterms:created>
  <dc:creator>willing</dc:creator>
  <cp:lastModifiedBy>willing</cp:lastModifiedBy>
  <dcterms:modified xsi:type="dcterms:W3CDTF">2022-06-30T07:22:54Z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2052-11.1.0.11372</vt:lpwstr>
  </property>
  <property fmtid="{D5CDD505-2E9C-101B-9397-08002B2CF9AE}" pid="3" name="ICV">
    <vt:lpwstr>8497E9D7B2B34E97B7B675F4297CE743</vt:lpwstr>
  </property>
</Properties>
</file>