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DDR TargetBridge</w:t>
      </w:r>
    </w:p>
    <w:p>
      <w:pPr>
        <w:pStyle w:val="Heading1"/>
      </w:pPr>
      <w:r>
        <w:rPr>
          <w:b w:val="0"/>
        </w:rPr>
        <w:t>When a pathway comparison changes because its members change</w:t>
      </w:r>
    </w:p>
    <w:p>
      <w:r>
        <w:rPr>
          <w:b/>
        </w:rPr>
        <w:t>Completed computational functional-genomics case study · Public-data secondary analysis</w:t>
      </w:r>
    </w:p>
    <w:p>
      <w:r>
        <w:rPr>
          <w:b/>
        </w:rPr>
        <w:t>Question.</w:t>
      </w:r>
      <w:r>
        <w:rPr>
          <w:b w:val="0"/>
        </w:rPr>
        <w:t xml:space="preserve"> Does a proposed pathway priority survive changes in the genes and targeting units actually represented in a CRISPR screen?</w:t>
      </w:r>
    </w:p>
    <w:p>
      <w:r>
        <w:rPr>
          <w:b/>
        </w:rPr>
        <w:t>Approach.</w:t>
      </w:r>
      <w:r>
        <w:rPr>
          <w:b w:val="0"/>
        </w:rPr>
        <w:t xml:space="preserve"> Reanalyse one A549 WT/PRDX1-KO × vehicle/AZD7648 experiment. Keep pathway definitions, three support views and two count transforms fixed; separate the mitochondrial-translation arm from the Eukaryotic Translation Elongation comparator; preserve every sample and the low-count limitations.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846320" cy="2942304"/>
            <wp:docPr id="1" name="Picture 1" descr="The comparator changes, not the mitochondrial compon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94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Key result.</w:t>
      </w:r>
      <w:r>
        <w:rPr>
          <w:b w:val="0"/>
        </w:rPr>
        <w:t xml:space="preserve"> The conditional balance changes from </w:t>
      </w:r>
      <w:r>
        <w:rPr>
          <w:b/>
        </w:rPr>
        <w:t>+0.861 to −1.761</w:t>
      </w:r>
      <w:r>
        <w:rPr>
          <w:b w:val="0"/>
        </w:rPr>
        <w:t xml:space="preserve">. The mitochondrial arm remains near </w:t>
      </w:r>
      <w:r>
        <w:rPr>
          <w:b/>
        </w:rPr>
        <w:t>+1.05</w:t>
      </w:r>
      <w:r>
        <w:rPr>
          <w:b w:val="0"/>
        </w:rPr>
        <w:t xml:space="preserve">, while the comparator changes from </w:t>
      </w:r>
      <w:r>
        <w:rPr>
          <w:b/>
        </w:rPr>
        <w:t>+0.183 to +2.814</w:t>
      </w:r>
      <w:r>
        <w:rPr>
          <w:b w:val="0"/>
        </w:rPr>
        <w:t>. Restoring comparator coverage also restores many low-count observations. The analysis does not establish which population represents biological truth.</w:t>
      </w:r>
    </w:p>
    <w:p>
      <w:r>
        <w:rPr>
          <w:b/>
        </w:rPr>
        <w:t>What this project adds.</w:t>
      </w:r>
      <w:r>
        <w:rPr>
          <w:b w:val="0"/>
        </w:rPr>
        <w:t xml:space="preserve"> A specific empirical diagnosis of comparator-population dependence, a transparent decomposition of targeting-unit versus gene membership, and runnable source-table/count-export workflows. Earlier failed transfer predictions remain separate histories, not validation of the main result.</w:t>
      </w:r>
    </w:p>
    <w:p>
      <w:r>
        <w:rPr>
          <w:b/>
        </w:rPr>
        <w:t>Decision and limit.</w:t>
      </w:r>
      <w:r>
        <w:rPr>
          <w:b w:val="0"/>
        </w:rPr>
        <w:t xml:space="preserve"> Do not elevate the original positive balance to a mitochondrial-specific target claim from this archive. This is not a new mechanism, clinical biomarker or universal correction method.</w:t>
      </w:r>
    </w:p>
    <w:p>
      <w:r>
        <w:rPr>
          <w:b/>
        </w:rPr>
        <w:t>Responsibility.</w:t>
      </w:r>
      <w:r>
        <w:rPr>
          <w:b w:val="0"/>
        </w:rPr>
        <w:t xml:space="preserve"> Original investigators generated the experiments. The project used AI-assisted scientific discussion, coding, testing and writing. Project-level contributions and the personal-responsibility boundary are documented separately.</w:t>
      </w:r>
    </w:p>
    <w:p>
      <w:r>
        <w:rPr>
          <w:b/>
        </w:rPr>
        <w:t>Inspect.</w:t>
      </w:r>
      <w:r>
        <w:rPr>
          <w:b w:val="0"/>
        </w:rPr>
        <w:t xml:space="preserve"> Read </w:t>
      </w:r>
      <w:r>
        <w:rPr>
          <w:rFonts w:ascii="Noto Sans" w:hAnsi="Noto Sans"/>
          <w:b w:val="0"/>
          <w:sz w:val="18"/>
        </w:rPr>
        <w:t>reports/CASE_STUDY.pdf</w:t>
      </w:r>
      <w:r>
        <w:rPr>
          <w:b w:val="0"/>
        </w:rPr>
        <w:t xml:space="preserve">; start reproduction with </w:t>
      </w:r>
      <w:r>
        <w:rPr>
          <w:rFonts w:ascii="Noto Sans" w:hAnsi="Noto Sans"/>
          <w:b w:val="0"/>
          <w:sz w:val="18"/>
        </w:rPr>
        <w:t>python tools/run.py verify</w:t>
      </w:r>
      <w:r>
        <w:rPr>
          <w:b w:val="0"/>
        </w:rPr>
        <w:t>. The README links methods, contributions and exact sources. Primary data: O’Loughlin et al., Nature Chemical Biology (2026), doi:10.1038/s41589-026-02312-z.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50" w:right="1123" w:bottom="893" w:left="1123" w:header="346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" w:hAnsi="Noto Sans"/>
        <w:sz w:val="16"/>
      </w:rPr>
      <w:t xml:space="preserve">Portfolio 3.0  ·  Public-data secondary analysis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DDR TARGETBRIDGE  /  RESEARCH CASE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1" w:lineRule="auto" w:after="120"/>
    </w:pPr>
    <w:rPr>
      <w:rFonts w:ascii="Noto Sans" w:hAnsi="Noto Sans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 w:ascii="Noto Sans" w:hAnsi="Noto Sans"/>
      <w:b/>
      <w:bCs/>
      <w:color w:val="1834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 w:ascii="Noto Sans" w:hAnsi="Noto Sans"/>
      <w:b/>
      <w:bCs/>
      <w:color w:val="1834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20"/>
      <w:outlineLvl w:val="2"/>
    </w:pPr>
    <w:rPr>
      <w:rFonts w:asciiTheme="majorHAnsi" w:eastAsiaTheme="majorEastAsia" w:hAnsiTheme="majorHAnsi" w:cstheme="majorBidi" w:ascii="Noto Sans" w:hAnsi="Noto Sans"/>
      <w:b/>
      <w:bCs/>
      <w:color w:val="1834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180"/>
      <w:contextualSpacing/>
    </w:pPr>
    <w:rPr>
      <w:rFonts w:asciiTheme="majorHAnsi" w:eastAsiaTheme="majorEastAsia" w:hAnsiTheme="majorHAnsi" w:cstheme="majorBidi" w:ascii="Noto Sans" w:hAnsi="Noto Sans"/>
      <w:color w:val="18344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1" w:lineRule="auto"/>
    </w:pPr>
    <w:rPr>
      <w:rFonts w:ascii="Noto Sans" w:hAnsi="Noto Sans" w:eastAsia="Noto Sans CJK S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40"/>
    </w:pPr>
    <w:rPr>
      <w:rFonts w:ascii="Noto Sans" w:hAnsi="Noto Sans"/>
      <w:b/>
      <w:bCs/>
      <w:color w:val="536571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DDR TargetBridge</dc:title>
  <dc:subject>Completed public-data functional-genomics case study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