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DDR TargetBridge</w:t>
      </w:r>
    </w:p>
    <w:p>
      <w:pPr/>
      <w:r>
        <w:rPr>
          <w:b/>
          <w:i w:val="0"/>
        </w:rPr>
        <w:t>Comparator membership in a DNA-PK inhibitor screen</w:t>
      </w:r>
    </w:p>
    <w:p>
      <w:pPr>
        <w:pStyle w:val="Heading1"/>
      </w:pPr>
      <w:r>
        <w:rPr>
          <w:b w:val="0"/>
          <w:i w:val="0"/>
        </w:rPr>
        <w:t>Research question</w:t>
      </w:r>
    </w:p>
    <w:p>
      <w:pPr/>
      <w:r>
        <w:rPr>
          <w:b w:val="0"/>
          <w:i w:val="0"/>
        </w:rPr>
        <w:t>Can a pathway-prioritization argument retain its direction when the genes and annotation-defined targeting units included in the comparison change?</w:t>
      </w:r>
    </w:p>
    <w:p>
      <w:pPr>
        <w:pStyle w:val="Heading1"/>
      </w:pPr>
      <w:r>
        <w:rPr>
          <w:b w:val="0"/>
          <w:i w:val="0"/>
        </w:rPr>
        <w:t>Approach</w:t>
      </w:r>
    </w:p>
    <w:p>
      <w:pPr/>
      <w:r>
        <w:rPr>
          <w:b w:val="0"/>
          <w:i w:val="0"/>
        </w:rPr>
        <w:t>This public-data case study examines an A549 WT/PRDX1-KO × vehicle/AZD7648 screen. It compares fixed mitochondrial-translation (M) and translation-elongation (E) sets under three support views and two transformations, separating targeting-unit changes from additional genes.</w:t>
      </w:r>
    </w:p>
    <w:p>
      <w:pPr>
        <w:pStyle w:val="Heading1"/>
      </w:pPr>
      <w:r>
        <w:rPr>
          <w:b w:val="0"/>
          <w:i w:val="0"/>
        </w:rPr>
        <w:t>Main result</w:t>
      </w:r>
    </w:p>
    <w:p>
      <w:pPr/>
      <w:r>
        <w:rPr>
          <w:b w:val="0"/>
          <w:i w:val="0"/>
        </w:rPr>
        <w:t xml:space="preserve">M was nearly stable. E changed as its supported population expanded from 23 to 91 genes; the M−E contrast changed from </w:t>
      </w:r>
      <w:r>
        <w:rPr>
          <w:b/>
          <w:i w:val="0"/>
        </w:rPr>
        <w:t>+0.861 to −1.761</w:t>
      </w:r>
      <w:r>
        <w:rPr>
          <w:b w:val="0"/>
          <w:i w:val="0"/>
        </w:rPr>
        <w:t xml:space="preserve"> under zero-only replacement. Count+1 gave the same sign reversal. The added E population also included many low-count observations.</w:t>
      </w:r>
    </w:p>
    <w:p>
      <w:pPr>
        <w:pStyle w:val="Heading1"/>
      </w:pPr>
      <w:r>
        <w:rPr>
          <w:b w:val="0"/>
          <w:i w:val="0"/>
        </w:rPr>
        <w:t>Interpretation</w:t>
      </w:r>
    </w:p>
    <w:p>
      <w:pPr/>
      <w:r>
        <w:rPr>
          <w:b w:val="0"/>
          <w:i w:val="0"/>
        </w:rPr>
        <w:t>The initial positive contrast is not a membership-insensitive basis for a mitochondrial-specific priority. Expanded coverage is not a corrected biological truth. The result is a local empirical diagnosis, not target validation or a new mechanism.</w:t>
      </w:r>
    </w:p>
    <w:p>
      <w:pPr>
        <w:pStyle w:val="Heading1"/>
      </w:pPr>
      <w:r>
        <w:rPr>
          <w:b w:val="0"/>
          <w:i w:val="0"/>
        </w:rPr>
        <w:t>Contribution and attribution</w:t>
      </w:r>
    </w:p>
    <w:p>
      <w:pPr/>
      <w:r>
        <w:rPr>
          <w:b w:val="0"/>
          <w:i w:val="0"/>
        </w:rPr>
        <w:t>The project adds source-linked analyses, a decomposition of comparator composition, and tested reproduction paths. Original investigators performed the experiments. AI assisted analysis discussion, code, testing, figures and writing; personal contribution claims should reflect actual involvement.</w:t>
      </w:r>
    </w:p>
    <w:p>
      <w:pPr>
        <w:pStyle w:val="Heading1"/>
      </w:pPr>
      <w:r>
        <w:rPr>
          <w:b w:val="0"/>
          <w:i w:val="0"/>
        </w:rPr>
        <w:t>Inspect and reproduce</w:t>
      </w:r>
    </w:p>
    <w:p>
      <w:pPr/>
      <w:r>
        <w:rPr>
          <w:b w:val="0"/>
          <w:i w:val="0"/>
        </w:rPr>
        <w:t xml:space="preserve">Report: </w:t>
      </w:r>
      <w:r>
        <w:rPr>
          <w:rFonts w:ascii="DejaVu Sans Mono" w:hAnsi="DejaVu Sans Mono"/>
          <w:b w:val="0"/>
          <w:i w:val="0"/>
          <w:sz w:val="16"/>
        </w:rPr>
        <w:t>reports/DDR_TargetBridge_Case_Study.pdf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 xml:space="preserve">Public core: </w:t>
      </w:r>
      <w:r>
        <w:rPr>
          <w:rFonts w:ascii="DejaVu Sans Mono" w:hAnsi="DejaVu Sans Mono"/>
          <w:b w:val="0"/>
          <w:i w:val="0"/>
          <w:sz w:val="16"/>
        </w:rPr>
        <w:t>python tools/run.py core --output .build/core-1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The public command begins with released transformed gene/sample records; it does not redo count qualification or normalization. Historical workbook workflows require separately retrieved source files.</w:t>
      </w:r>
    </w:p>
    <w:p>
      <w:pPr/>
      <w:r>
        <w:rPr>
          <w:b w:val="0"/>
          <w:i w:val="0"/>
        </w:rPr>
        <w:t>Repository: https://github.com/jiangboyan0129/DDR-TargetBridge</w:t>
      </w:r>
    </w:p>
    <w:p>
      <w:pPr/>
      <w:r>
        <w:rPr>
          <w:b w:val="0"/>
          <w:i w:val="0"/>
        </w:rPr>
        <w:t xml:space="preserve">Original screen: O'Loughlin et al., </w:t>
      </w:r>
      <w:r>
        <w:rPr>
          <w:b w:val="0"/>
          <w:i/>
        </w:rPr>
        <w:t>Nature Chemical Biology</w:t>
      </w:r>
      <w:r>
        <w:rPr>
          <w:b w:val="0"/>
          <w:i w:val="0"/>
        </w:rPr>
        <w:t xml:space="preserve"> (2026), DOI: 10.1038/s41589-026-02312-z.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51" w:right="1224" w:bottom="979" w:left="1224" w:header="389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DejaVu Sans" w:hAnsi="DejaVu Sans"/>
        <w:sz w:val="16"/>
      </w:rPr>
      <w:t xml:space="preserve">Public edition 1.0.1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DDR TargetBridge · Public-data research case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line="259" w:lineRule="auto" w:after="100"/>
    </w:pPr>
    <w:rPr>
      <w:rFonts w:ascii="Liberation Serif" w:hAnsi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4141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4141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1414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80"/>
      <w:contextualSpacing/>
    </w:pPr>
    <w:rPr>
      <w:rFonts w:asciiTheme="majorHAnsi" w:eastAsiaTheme="majorEastAsia" w:hAnsiTheme="majorHAnsi" w:cstheme="majorBidi" w:ascii="DejaVu Sans" w:hAnsi="DejaVu Sans"/>
      <w:color w:val="14141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Lines/>
      <w:spacing w:after="100" w:line="259" w:lineRule="auto"/>
    </w:pPr>
    <w:rPr>
      <w:rFonts w:ascii="Liberation Serif" w:hAnsi="Liberation Serif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50" w:lineRule="auto" w:after="160"/>
    </w:pPr>
    <w:rPr>
      <w:rFonts w:ascii="DejaVu Sans" w:hAnsi="DejaVu Sans"/>
      <w:b/>
      <w:bCs/>
      <w:color w:val="2D2D2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DDR TargetBridge</dc:title>
  <dc:subject>Computational functional-genomics case study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