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</w:pPr>
      <w:r>
        <w:rPr>
          <w:rFonts w:ascii="Noto Sans CJK SC" w:hAnsi="Noto Sans CJK SC" w:eastAsia="Noto Sans CJK SC" w:cs="Noto Sans CJK SC"/>
          <w:b/>
          <w:color w:val="00707F"/>
          <w:sz w:val="21"/>
        </w:rPr>
        <w:t>RESEARCH HANDOFF  /  D2 → D4</w:t>
      </w:r>
    </w:p>
    <w:p>
      <w:pPr>
        <w:spacing w:before="240"/>
      </w:pPr>
      <w:r>
        <w:rPr>
          <w:rFonts w:ascii="Noto Sans CJK SC" w:hAnsi="Noto Sans CJK SC" w:eastAsia="Noto Sans CJK SC" w:cs="Noto Sans CJK SC"/>
          <w:b/>
          <w:color w:val="1A3755"/>
          <w:sz w:val="46"/>
        </w:rPr>
        <w:t>安全记忆写入研究交接档案</w:t>
      </w:r>
    </w:p>
    <w:p>
      <w:pPr>
        <w:spacing w:after="240"/>
      </w:pPr>
      <w:r>
        <w:rPr>
          <w:rFonts w:ascii="Noto Sans CJK SC" w:hAnsi="Noto Sans CJK SC" w:eastAsia="Noto Sans CJK SC" w:cs="Noto Sans CJK SC"/>
          <w:b w:val="0"/>
          <w:color w:val="42505D"/>
          <w:sz w:val="26"/>
        </w:rPr>
        <w:t>从 CDARG、Spatial Retrieval 到反馈归因的实验、证据与反思</w:t>
      </w:r>
    </w:p>
    <w:p>
      <w:pPr>
        <w:spacing w:after="0"/>
        <w:pBdr>
          <w:bottom w:val="single" w:sz="12" w:color="2C7A88"/>
        </w:pBdr>
      </w:pPr>
    </w:p>
    <w:p>
      <w:pPr>
        <w:spacing w:before="280"/>
      </w:pPr>
      <w:r>
        <w:rPr>
          <w:rFonts w:ascii="Noto Sans CJK SC" w:hAnsi="Noto Sans CJK SC" w:eastAsia="Noto Sans CJK SC" w:cs="Noto Sans CJK SC"/>
          <w:b/>
          <w:color w:val="1A3755"/>
          <w:sz w:val="21"/>
        </w:rPr>
        <w:t>研究主线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Industrial Few-Shot Anomaly Detection · Frozen DINOv2 / VisionAD v22 · External Memory · Safe Admission · Human Feedback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数据截点  </w:t>
      </w:r>
      <w:r>
        <w:rPr>
          <w:rFonts w:ascii="Noto Sans CJK SC" w:hAnsi="Noto Sans CJK SC" w:eastAsia="Noto Sans CJK SC" w:cs="Noto Sans CJK SC"/>
        </w:rPr>
        <w:t>2026-10-28；以 GitHub 最终实验数据提交 cd2c7fb40170789818cbf1fdcc694bb834aad3fc 为准。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研究仓库  </w:t>
      </w:r>
      <w:r>
        <w:rPr>
          <w:rFonts w:ascii="Noto Sans CJK SC" w:hAnsi="Noto Sans CJK SC" w:eastAsia="Noto Sans CJK SC" w:cs="Noto Sans CJK SC"/>
        </w:rPr>
        <w:t>jiangdizhao/Memory-Governed-Online-Few-Shot-Anomaly-Detection；分支 risk-safe-admission-sprint-20261027。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用途  </w:t>
      </w:r>
      <w:r>
        <w:rPr>
          <w:rFonts w:ascii="Noto Sans CJK SC" w:hAnsi="Noto Sans CJK SC" w:eastAsia="Noto Sans CJK SC" w:cs="Noto Sans CJK SC"/>
        </w:rPr>
        <w:t>供新的 ChatGPT 对话继续研究；既保留正负结果，也保留协议限制、代码来源与下一步停止条件。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重要范围说明  </w:t>
      </w:r>
      <w:r>
        <w:rPr>
          <w:rFonts w:ascii="Noto Sans CJK SC" w:hAnsi="Noto Sans CJK SC" w:eastAsia="Noto Sans CJK SC" w:cs="Noto Sans CJK SC"/>
        </w:rPr>
        <w:t>本档案覆盖本次对话实际完成/回顾的 D2-A、D3、D3-C、D4 及相应代码修复；R1–R3 是后续提案，尚未执行。D1-B 查询带和训练校准属于已冻结的前置协议，不在此处伪造新结果。</w:t>
      </w:r>
    </w:p>
    <w:p>
      <w:pPr>
        <w:spacing w:before="540"/>
      </w:pPr>
      <w:r>
        <w:rPr>
          <w:rFonts w:ascii="Noto Sans CJK SC" w:hAnsi="Noto Sans CJK SC" w:eastAsia="Noto Sans CJK SC" w:cs="Noto Sans CJK SC"/>
          <w:b/>
          <w:color w:val="1A3755"/>
          <w:sz w:val="28"/>
        </w:rPr>
        <w:t>结论快照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当前证据不能支持“新的安全写入控制器优于 Novelty/Greedy”的论文核心结论。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D2-A 中 Greedy/Append/Reservoir 均 11/11 写入、104 prototypes、零替换，缺少真正的容量竞争；Causal Novelty 4/11 写入、48 prototypes，已经实现 0% FPR。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D3 的 Spatial 0.125 一度减少缺陷图像分数侵蚀；D3-C 表明其优于随机匹配可用原型数，却未稳定优于近似匹配真实动态命中率的 Random。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D4 首次严格匹配每张图像的动态胜出 patch 数，但真实缺陷反馈未稳定优于 Spatial 和打乱风险归属；部分缺陷图像被进一步降低异常分数。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最主要的战略问题是样本信息量不足、风险指标可辨识性弱，以及研究目标由 Admission 向 Retrieval 漂移；下一步应先验证可利用的安全写入改进空间。</w:t>
      </w:r>
    </w:p>
    <w:p>
      <w:r>
        <w:br w:type="page"/>
      </w:r>
    </w:p>
    <w:p>
      <w:pPr>
        <w:pStyle w:val="Heading1"/>
        <w:keepNext/>
      </w:pPr>
      <w:r>
        <w:t>阅读导航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01   问题与交接范围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02   冻结实验协议与指标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03   D2-A：安全写入与 CDARG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04   D3：相机/空间条件检索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05   D3-C：随机与命中率匹配控制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06   D4：等动态命中预算与缺陷反馈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07   跨实验结论与不能成立的主张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08   实验设计缺陷与对竞争方法的重新理解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09   下一阶段：先诊断再设计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10   复现路径、源码与修复记录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附录 A   D3 12 组完整指标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附录 B   D3-C 20 组逐种子指标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附录 C   D4 18 组逐种子指标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附录 D   16 次反馈时间序列</w:t>
      </w:r>
    </w:p>
    <w:p>
      <w:pPr>
        <w:pStyle w:val="BodyText"/>
        <w:spacing w:after="60"/>
      </w:pPr>
      <w:r>
        <w:rPr>
          <w:rFonts w:ascii="Noto Sans CJK SC" w:hAnsi="Noto Sans CJK SC" w:eastAsia="Noto Sans CJK SC" w:cs="Noto Sans CJK SC"/>
        </w:rPr>
        <w:t>附录 E   新对话启动说明</w:t>
      </w:r>
    </w:p>
    <w:p>
      <w:pPr>
        <w:pStyle w:val="Notice"/>
      </w:pPr>
      <w:r>
        <w:rPr>
          <w:rFonts w:ascii="Noto Sans CJK SC" w:hAnsi="Noto Sans CJK SC" w:eastAsia="Noto Sans CJK SC" w:cs="Noto Sans CJK SC"/>
          <w:b/>
          <w:color w:val="9C6819"/>
        </w:rPr>
        <w:t>研究解释限制｜</w:t>
      </w:r>
      <w:r>
        <w:rPr>
          <w:rFonts w:ascii="Noto Sans CJK SC" w:hAnsi="Noto Sans CJK SC" w:eastAsia="Noto Sans CJK SC" w:cs="Noto Sans CJK SC"/>
        </w:rPr>
        <w:t>表中“正常收益”与“缺陷侵蚀”通常是相对于 Static 图像异常分数的正向下降；均是探针/开发集统计，并非直接的部署风险概率。对于带随机种子的策略，均值与单种子结果严格区分。</w:t>
      </w:r>
    </w:p>
    <w:p>
      <w:r>
        <w:br w:type="page"/>
      </w:r>
    </w:p>
    <w:p>
      <w:pPr>
        <w:pStyle w:val="Heading1"/>
        <w:keepNext/>
      </w:pPr>
      <w:r>
        <w:t>01  问题与交接范围</w:t>
      </w:r>
    </w:p>
    <w:p>
      <w:pPr>
        <w:pStyle w:val="Heading2"/>
        <w:keepNext/>
      </w:pPr>
      <w:r>
        <w:t>1.1 原始研究目标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本阶段原始目标是在冻结视觉表征与正常参考 Memory 的前提下，学习“哪些经过验证的正常候选应写入动态 Memory”，用更高的安全性—适应性 Pareto 表现，超越 Greedy Coreset、Causal Novelty 等强基线，并形成下一篇论文的核心机制论据。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安全性不是只拒绝写入；若所有候选均被拒绝，缺陷分数侵蚀可能很小，但正常适应收益消失。目标应同时约束缺陷风险、保留正常泛化收益，并遵守记忆容量与人工查询预算。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原始动作  </w:t>
      </w:r>
      <w:r>
        <w:rPr>
          <w:rFonts w:ascii="Noto Sans CJK SC" w:hAnsi="Noto Sans CJK SC" w:eastAsia="Noto Sans CJK SC" w:cs="Noto Sans CJK SC"/>
        </w:rPr>
        <w:t>Memory Admission（候选正常原型是否写入/替换）。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后续漂移  </w:t>
      </w:r>
      <w:r>
        <w:rPr>
          <w:rFonts w:ascii="Noto Sans CJK SC" w:hAnsi="Noto Sans CJK SC" w:eastAsia="Noto Sans CJK SC" w:cs="Noto Sans CJK SC"/>
        </w:rPr>
        <w:t>D3–D4 主要研究已写入原型在何时可被检索（Retrieval Rights），属于不同问题；结果不能直接证明写入算法优越性。</w:t>
      </w:r>
    </w:p>
    <w:p>
      <w:pPr>
        <w:pStyle w:val="Heading2"/>
        <w:keepNext/>
      </w:pPr>
      <w:r>
        <w:t>1.2 证据等级约定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168"/>
        <w:gridCol w:w="4968"/>
      </w:tblGrid>
      <w:tr>
        <w:trPr>
          <w:tblHeader w:val="true"/>
          <w:cantSplit/>
        </w:trPr>
        <w:tc>
          <w:tcPr>
            <w:tcW w:type="dxa" w:w="1512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168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4968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在本档案中的用法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 / 已归档定量事实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原始 JSON/CSV 或执行协议明确记录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样本数、容量、AUROC、FPR/FNR、原型数、回放一致性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B / 派生统计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对已归档数据进行算术整理或配对检查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随机重复均值、比例、差值、比例减少率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 / 机制解释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对结果的合理但未被单独因果证明的解释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“Spatial 保留了相关邻居”“风险替代导致缺陷伤害”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 / 待检验假说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下一阶段候选研究问题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安全 Admission 是否存在可学习的 Pareto 改进空间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02  冻结实验协议与指标</w:t>
      </w:r>
    </w:p>
    <w:p>
      <w:pPr>
        <w:pStyle w:val="Heading2"/>
        <w:keepNext/>
      </w:pPr>
      <w:r>
        <w:t>2.1 数据、划分、标签与原生评分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1"/>
        <w:gridCol w:w="7387"/>
      </w:tblGrid>
      <w:tr>
        <w:trPr>
          <w:tblHeader w:val="true"/>
          <w:cantSplit/>
        </w:trPr>
        <w:tc>
          <w:tcPr>
            <w:tcW w:type="dxa" w:w="2261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87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冻结设定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数据/类别</w:t>
            </w:r>
          </w:p>
        </w:tc>
        <w:tc>
          <w:tcPr>
            <w:tcW w:type="dxa" w:w="738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Real-IAD / audiojack；当前结果均为该类别，不代表 30 类跨类别结论。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基础模型</w:t>
            </w:r>
          </w:p>
        </w:tc>
        <w:tc>
          <w:tcPr>
            <w:tcW w:type="dxa" w:w="738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冻结 DINOv2 + 原生 VisionAD/v22 相似性评分；不训练骨干，原生 top-5 余弦距离均值。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四张支持图</w:t>
            </w:r>
          </w:p>
        </w:tc>
        <w:tc>
          <w:tcPr>
            <w:tcW w:type="dxa" w:w="738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Strict 4-shot；support seed=0；Static Bank 永远冻结。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训练正常校准</w:t>
            </w:r>
          </w:p>
        </w:tc>
        <w:tc>
          <w:tcPr>
            <w:tcW w:type="dxa" w:w="738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64 张预留、独立正常训练视角；q90 θ=0.5620282292366028，σ_normal=0.024041402249479617。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流与查询</w:t>
            </w:r>
          </w:p>
        </w:tc>
        <w:tc>
          <w:tcPr>
            <w:tcW w:type="dxa" w:w="738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 × 175 官方样本组构成的 2625 图像流；Query seed=37；外生冻结 B16 Q-A tape。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反馈</w:t>
            </w:r>
          </w:p>
        </w:tc>
        <w:tc>
          <w:tcPr>
            <w:tcW w:type="dxa" w:w="738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16 次独立已验证图像反馈：11 Normal、5 Defect；按分数预测→揭示→更新的顺序。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开发 Probe A</w:t>
            </w:r>
          </w:p>
        </w:tc>
        <w:tc>
          <w:tcPr>
            <w:tcW w:type="dxa" w:w="738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 个纯正常官方样本组 + 4 个含缺陷官方样本组 × 5 相机 = 40 张：25 图像级 Normal、15 Defect。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Probe B</w:t>
            </w:r>
          </w:p>
        </w:tc>
        <w:tc>
          <w:tcPr>
            <w:tcW w:type="dxa" w:w="738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官方预留的另一个不重叠测试区，未参与 D2–D4 方法选择和这些运行。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原生配置要点</w:t>
            </w:r>
          </w:p>
        </w:tc>
        <w:tc>
          <w:tcPr>
            <w:tcW w:type="dxa" w:w="738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fixed_capacity=25000；fixed_per_image=5000；augmentations=4；include_identity=False；feature_fuse=concat；knn=5；image_aggregation=max。</w:t>
            </w:r>
          </w:p>
        </w:tc>
      </w:tr>
    </w:tbl>
    <w:p>
      <w:pPr>
        <w:spacing w:after="0"/>
      </w:pPr>
    </w:p>
    <w:p>
      <w:pPr>
        <w:pStyle w:val="Notice"/>
      </w:pPr>
      <w:r>
        <w:rPr>
          <w:rFonts w:ascii="Noto Sans CJK SC" w:hAnsi="Noto Sans CJK SC" w:eastAsia="Noto Sans CJK SC" w:cs="Noto Sans CJK SC"/>
          <w:b/>
          <w:color w:val="9C6819"/>
        </w:rPr>
        <w:t>研究解释限制｜</w:t>
      </w:r>
      <w:r>
        <w:rPr>
          <w:rFonts w:ascii="Noto Sans CJK SC" w:hAnsi="Noto Sans CJK SC" w:eastAsia="Noto Sans CJK SC" w:cs="Noto Sans CJK SC"/>
        </w:rPr>
        <w:t>Real-IAD 中“含缺陷的官方样本组”内可能有标注为 Normal 的相机视角，因此必须按每张图像自身标签评价；不能把缺陷样本组的所有五张图都当作 Defect。</w:t>
      </w:r>
    </w:p>
    <w:p>
      <w:pPr>
        <w:pStyle w:val="Heading2"/>
        <w:keepNext/>
      </w:pPr>
      <w:r>
        <w:t>2.2 关键指标及其局限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FPR  </w:t>
      </w:r>
      <w:r>
        <w:rPr>
          <w:rFonts w:ascii="Noto Sans CJK SC" w:hAnsi="Noto Sans CJK SC" w:eastAsia="Noto Sans CJK SC" w:cs="Noto Sans CJK SC"/>
        </w:rPr>
        <w:t>FP / (FP + TN)；当前 25 张正常 Probe，单张变化等于 4 个百分点。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FNR  </w:t>
      </w:r>
      <w:r>
        <w:rPr>
          <w:rFonts w:ascii="Noto Sans CJK SC" w:hAnsi="Noto Sans CJK SC" w:eastAsia="Noto Sans CJK SC" w:cs="Noto Sans CJK SC"/>
        </w:rPr>
        <w:t>FN / (FN + TP)；当前 15 张缺陷 Probe，单张变化等于约 6.67 个百分点。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AUROC/AUPRC  </w:t>
      </w:r>
      <w:r>
        <w:rPr>
          <w:rFonts w:ascii="Noto Sans CJK SC" w:hAnsi="Noto Sans CJK SC" w:eastAsia="Noto Sans CJK SC" w:cs="Noto Sans CJK SC"/>
        </w:rPr>
        <w:t>观察图像级排序能力；不是单独的安全写入证据。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Normal score gain（↑）  </w:t>
      </w:r>
      <w:r>
        <w:rPr>
          <w:rFonts w:ascii="Noto Sans CJK SC" w:hAnsi="Noto Sans CJK SC" w:eastAsia="Noto Sans CJK SC" w:cs="Noto Sans CJK SC"/>
        </w:rPr>
        <w:t>均值 max(0, s_static − s_policy)，仅在标注 Normal 的 Probe 图像上取平均；可以反映正常适应，但不等于跨样本纠正误报的概率。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Defect-image score erosion（↓）  </w:t>
      </w:r>
      <w:r>
        <w:rPr>
          <w:rFonts w:ascii="Noto Sans CJK SC" w:hAnsi="Noto Sans CJK SC" w:eastAsia="Noto Sans CJK SC" w:cs="Noto Sans CJK SC"/>
        </w:rPr>
        <w:t>均值 max(0, s_static − s_policy)，仅在标注 Defect 的 Probe 图像上取平均；是潜在缺陷遮蔽风险代理，并非由 Ground Truth mask 证实的缺陷区域损伤。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Native top-5 eligible rate  </w:t>
      </w:r>
      <w:r>
        <w:rPr>
          <w:rFonts w:ascii="Noto Sans CJK SC" w:hAnsi="Noto Sans CJK SC" w:eastAsia="Noto Sans CJK SC" w:cs="Noto Sans CJK SC"/>
        </w:rPr>
        <w:t>条件检索后 patch 至少剩余五个动态原型的比例；与“动态原型真正胜出率”不同。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Effective dynamic-win rate  </w:t>
      </w:r>
      <w:r>
        <w:rPr>
          <w:rFonts w:ascii="Noto Sans CJK SC" w:hAnsi="Noto Sans CJK SC" w:eastAsia="Noto Sans CJK SC" w:cs="Noto Sans CJK SC"/>
        </w:rPr>
        <w:t>最终 d_dynamic &lt; d_static 的 patch 比例；D4 将此数量在同一图像的所有策略之间精确配平。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原生关键约束：对于固定 top-5 规则，如果条件检索可用原型不足 5 个，必须回退 Static；不得以 1–4 个邻居的均值替代原生 5-NN 均值，否则可能产生比 Global 更小的异常分数。</w:t>
      </w:r>
    </w:p>
    <w:p>
      <w:pPr>
        <w:pStyle w:val="Heading1"/>
        <w:keepNext/>
      </w:pPr>
      <w:r>
        <w:t>03  D2-A：安全写入与 CDARG</w:t>
      </w:r>
    </w:p>
    <w:p>
      <w:pPr>
        <w:pStyle w:val="Heading2"/>
        <w:keepNext/>
      </w:pPr>
      <w:r>
        <w:t>3.1 目的与方法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目的：在完全配对的 B16 Q-A 反馈下，比较不更新、直接写入、Greedy、Reservoir、在线 Novelty 与安全写入控制 CDARG 的正常适应、缺陷侵蚀、写入事件及原型数量。所有方法使用相同冻结 Static Support、相同 16 次查询、相同正常候选 patch，缺陷反馈只作为已揭示的风险信息。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Causal Novelty 特别说明：仓库中的该方法以历史已验证正常候选的 Novelty 中位数作为在线门槛，若接受再执行原生 Greedy；它是符合本协议的 HITL 风格改造，并非原始论文整个 pool/oracle 筛选过程的逐步复现。</w:t>
      </w:r>
    </w:p>
    <w:p>
      <w:pPr>
        <w:pStyle w:val="Heading2"/>
        <w:keepNext/>
      </w:pPr>
      <w:r>
        <w:t>3.2 原始定量结果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01"/>
        <w:gridCol w:w="1613"/>
        <w:gridCol w:w="1080"/>
        <w:gridCol w:w="936"/>
        <w:gridCol w:w="965"/>
        <w:gridCol w:w="1224"/>
      </w:tblGrid>
      <w:tr>
        <w:trPr>
          <w:tblHeader w:val="true"/>
          <w:cantSplit/>
        </w:trPr>
        <w:tc>
          <w:tcPr>
            <w:tcW w:type="dxa" w:w="1944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1901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已写入正常事件 / 11</w:t>
            </w:r>
          </w:p>
        </w:tc>
        <w:tc>
          <w:tcPr>
            <w:tcW w:type="dxa" w:w="1613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最终动态原型</w:t>
            </w:r>
          </w:p>
        </w:tc>
        <w:tc>
          <w:tcPr>
            <w:tcW w:type="dxa" w:w="1080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替换数</w:t>
            </w:r>
          </w:p>
        </w:tc>
        <w:tc>
          <w:tcPr>
            <w:tcW w:type="dxa" w:w="936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FPR</w:t>
            </w:r>
          </w:p>
        </w:tc>
        <w:tc>
          <w:tcPr>
            <w:tcW w:type="dxa" w:w="965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FNR</w:t>
            </w:r>
          </w:p>
        </w:tc>
        <w:tc>
          <w:tcPr>
            <w:tcW w:type="dxa" w:w="1224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缺陷侵蚀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Static</w:t>
            </w:r>
          </w:p>
        </w:tc>
        <w:tc>
          <w:tcPr>
            <w:tcW w:type="dxa" w:w="190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12%</w:t>
            </w:r>
          </w:p>
        </w:tc>
        <w:tc>
          <w:tcPr>
            <w:tcW w:type="dxa" w:w="96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53.33%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Append</w:t>
            </w:r>
          </w:p>
        </w:tc>
        <w:tc>
          <w:tcPr>
            <w:tcW w:type="dxa" w:w="190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11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104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0%</w:t>
            </w:r>
          </w:p>
        </w:tc>
        <w:tc>
          <w:tcPr>
            <w:tcW w:type="dxa" w:w="96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53.33%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0.012817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</w:t>
            </w:r>
          </w:p>
        </w:tc>
        <w:tc>
          <w:tcPr>
            <w:tcW w:type="dxa" w:w="190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11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104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0%</w:t>
            </w:r>
          </w:p>
        </w:tc>
        <w:tc>
          <w:tcPr>
            <w:tcW w:type="dxa" w:w="96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53.33%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0.012817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Reservoir</w:t>
            </w:r>
          </w:p>
        </w:tc>
        <w:tc>
          <w:tcPr>
            <w:tcW w:type="dxa" w:w="190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11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104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0%</w:t>
            </w:r>
          </w:p>
        </w:tc>
        <w:tc>
          <w:tcPr>
            <w:tcW w:type="dxa" w:w="96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53.33%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0.012817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Causal Novelty</w:t>
            </w:r>
          </w:p>
        </w:tc>
        <w:tc>
          <w:tcPr>
            <w:tcW w:type="dxa" w:w="190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4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48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0%</w:t>
            </w:r>
          </w:p>
        </w:tc>
        <w:tc>
          <w:tcPr>
            <w:tcW w:type="dxa" w:w="96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53.33%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0.005567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CDARG</w:t>
            </w:r>
          </w:p>
        </w:tc>
        <w:tc>
          <w:tcPr>
            <w:tcW w:type="dxa" w:w="190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3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24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12%</w:t>
            </w:r>
          </w:p>
        </w:tc>
        <w:tc>
          <w:tcPr>
            <w:tcW w:type="dxa" w:w="96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53.33%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0.000758</w:t>
            </w:r>
          </w:p>
        </w:tc>
      </w:tr>
    </w:tbl>
    <w:p>
      <w:pPr>
        <w:spacing w:after="0"/>
      </w:pP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AUROC：Static 0.701333；Greedy 0.701333；Causal Novelty 0.704000；CDARG 0.698667。D2-A 固定基准中 CDARG 风险预测可配对样本只有 7 对，探索性 Spearman ρ≈0.0462、p≈0.9216；结果文件明确标注“不作 IID 显著性解释”。</w:t>
      </w:r>
    </w:p>
    <w:p>
      <w:pPr>
        <w:pStyle w:val="Heading2"/>
        <w:keepNext/>
      </w:pPr>
      <w:r>
        <w:t>3.3 结论与实际失败机制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Greedy/Append/Reservoir 在当前 11 次正常写入中没有发生容量竞争或原型替换，行为与最终性能一致。无法据此证明新方法超越 Greedy 的“覆盖/替换”能力。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Causal Novelty 只接受 4 次正常写入，却把 Probe FPR 从 12% 降至 0%，同时比 Greedy 的缺陷图像侵蚀更小；是更有竞争力的安全性—适应性基线。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CDARG 更保守（24 原型；低侵蚀），但未修复三张静态正常误报；属于偏向保守而损失适应收益，尚未得到有竞争力的 Pareto 提升。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Static 初始 FNR=8/15，后续原型更新未带来新的 FNR 变化；在这一测试里几乎没有可观测的新增缺陷漏检事件。</w:t>
      </w:r>
    </w:p>
    <w:p>
      <w:pPr>
        <w:pStyle w:val="Heading1"/>
        <w:keepNext/>
      </w:pPr>
      <w:r>
        <w:t>04  D3：相机/空间条件检索</w:t>
      </w:r>
    </w:p>
    <w:p>
      <w:pPr>
        <w:pStyle w:val="Heading2"/>
        <w:keepNext/>
      </w:pPr>
      <w:r>
        <w:t>4.1 目的、关键假设和实现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目的：避免把“删除/拒绝有用正常原型”当作唯一安全手段。保留 D2-A Greedy104 和 Novelty48 两个完全相同的动态 Bank，仅在检索时限制正常原型的物理 Camera 与归一化空间位置 (u,v)。比较 Global、Camera、Spatial 半径 0.125/0.25 与 Camera+Spatial 组合。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理论假设：某些缺陷分数侵蚀来自跨相机或跨空间的错误正常近邻。限制不相容的原型应该减少这类侵蚀，同时尽量保留必要的正常误报纠正。该假设不直接涉及 Memory Admission。</w:t>
      </w:r>
    </w:p>
    <w:p>
      <w:pPr>
        <w:pStyle w:val="Heading2"/>
        <w:keepNext/>
      </w:pPr>
      <w:r>
        <w:t>4.2 实现中的重要错误与正式修复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首版条件检索将 k 设置为 min(5, n_eligible)，导致原本 Global mean-top5 可能被条件检索中的 1NN 均值代替，出现“Scoped memory improved more than global memory”的 NativeParityError。正确修复是所有 patch 使用 k_eff=min(5, 全部动态原型数)，可用数量不足则动态距离=+∞，回退 Static；保持 s_global ≤ s_conditional ≤ s_static。正式归档使用 D3 v2 / fixedk；失败首版不能用作实验结论。</w:t>
      </w:r>
    </w:p>
    <w:p>
      <w:pPr>
        <w:pStyle w:val="Heading2"/>
        <w:keepNext/>
      </w:pPr>
      <w:r>
        <w:t>4.3 六策略结果与机制发现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两种 Memory 下的全部 12 个条件检索组合均保持 FPR=0%、FNR=53.33%；连续分数与 AUROC 出现变化。完整表见附录 A。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642"/>
        <w:gridCol w:w="1699"/>
        <w:gridCol w:w="1238"/>
        <w:gridCol w:w="1613"/>
      </w:tblGrid>
      <w:tr>
        <w:trPr>
          <w:tblHeader w:val="true"/>
          <w:cantSplit/>
        </w:trPr>
        <w:tc>
          <w:tcPr>
            <w:tcW w:type="dxa" w:w="3456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1642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正常收益 ↑</w:t>
            </w:r>
          </w:p>
        </w:tc>
        <w:tc>
          <w:tcPr>
            <w:tcW w:type="dxa" w:w="1699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缺陷侵蚀 ↓</w:t>
            </w:r>
          </w:p>
        </w:tc>
        <w:tc>
          <w:tcPr>
            <w:tcW w:type="dxa" w:w="1238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AUROC ↑</w:t>
            </w:r>
          </w:p>
        </w:tc>
        <w:tc>
          <w:tcPr>
            <w:tcW w:type="dxa" w:w="1613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Top-5 可用率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Greedy Global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0.016926</w:t>
            </w:r>
          </w:p>
        </w:tc>
        <w:tc>
          <w:tcPr>
            <w:tcW w:type="dxa" w:w="169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0.012817</w:t>
            </w:r>
          </w:p>
        </w:tc>
        <w:tc>
          <w:tcPr>
            <w:tcW w:type="dxa" w:w="123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0.7013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Greedy Spatial 0.125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0.011788</w:t>
            </w:r>
          </w:p>
        </w:tc>
        <w:tc>
          <w:tcPr>
            <w:tcW w:type="dxa" w:w="169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0.004430</w:t>
            </w:r>
          </w:p>
        </w:tc>
        <w:tc>
          <w:tcPr>
            <w:tcW w:type="dxa" w:w="123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0.7200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36.35%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Greedy Camera+Spatial 0.125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0.008509</w:t>
            </w:r>
          </w:p>
        </w:tc>
        <w:tc>
          <w:tcPr>
            <w:tcW w:type="dxa" w:w="169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0.002891</w:t>
            </w:r>
          </w:p>
        </w:tc>
        <w:tc>
          <w:tcPr>
            <w:tcW w:type="dxa" w:w="123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0.7253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7.40%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Novelty Global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0.011464</w:t>
            </w:r>
          </w:p>
        </w:tc>
        <w:tc>
          <w:tcPr>
            <w:tcW w:type="dxa" w:w="169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0.005567</w:t>
            </w:r>
          </w:p>
        </w:tc>
        <w:tc>
          <w:tcPr>
            <w:tcW w:type="dxa" w:w="123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0.7040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Novelty Spatial 0.125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0.008695</w:t>
            </w:r>
          </w:p>
        </w:tc>
        <w:tc>
          <w:tcPr>
            <w:tcW w:type="dxa" w:w="169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0.002659</w:t>
            </w:r>
          </w:p>
        </w:tc>
        <w:tc>
          <w:tcPr>
            <w:tcW w:type="dxa" w:w="123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0.7307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22.70%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Novelty Camera+Spatial 0.125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0.008205</w:t>
            </w:r>
          </w:p>
        </w:tc>
        <w:tc>
          <w:tcPr>
            <w:tcW w:type="dxa" w:w="169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0.002659</w:t>
            </w:r>
          </w:p>
        </w:tc>
        <w:tc>
          <w:tcPr>
            <w:tcW w:type="dxa" w:w="123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0.7227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3.06%</w:t>
            </w:r>
          </w:p>
        </w:tc>
      </w:tr>
    </w:tbl>
    <w:p>
      <w:pPr>
        <w:spacing w:after="0"/>
      </w:pP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与各自 Global 相比，Spatial 0.125 在 Greedy 上减少约 65.4% 的缺陷侵蚀，在 Novelty 上减少约 52.2%；但 Greedy 正常分数收益相应下降，Camera+Spatial 0.125 的 Top-5 可用率极低，存在实际禁用大量动态记忆的风险。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Collision 诊断：Greedy 存在 400 个缺陷标记图像的动态侵蚀 patch，Top-1 来源跨相机比例 18.75%；Novelty 为 210 个、4.29%。这些 patch 不一定是真实缺陷区域，且诊断只看 Top-1 来源而非完整原生 Top-5 归因。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D3 的正面信号：相同的正常 Memory 内容，检索适用域不同确实可以产生更好的正常—缺陷分数权衡。其局限：未证明空间关系优于强随机检索，也不能支持“安全写入更优”的原始论文主张。</w:t>
      </w:r>
    </w:p>
    <w:p>
      <w:pPr>
        <w:pStyle w:val="Heading1"/>
        <w:keepNext/>
      </w:pPr>
      <w:r>
        <w:t>05  D3-C：匹配随机与打乱空间上下文</w:t>
      </w:r>
    </w:p>
    <w:p>
      <w:pPr>
        <w:pStyle w:val="Heading2"/>
        <w:keepNext/>
      </w:pPr>
      <w:r>
        <w:t>5.1 目的：消除简单稀疏化解释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目的：真实 Spatial 0.125 有改善，究竟是因为空间上下文有信息，还是因为限制了动态 Memory 的使用？以相同原型、相同 Probe、冻结 Q-A 和 q90 为基础，设计三类负对照；三次预注册 SHA256 种子 0/1/2。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946"/>
        <w:gridCol w:w="3312"/>
      </w:tblGrid>
      <w:tr>
        <w:trPr>
          <w:tblHeader w:val="true"/>
          <w:cantSplit/>
        </w:trPr>
        <w:tc>
          <w:tcPr>
            <w:tcW w:type="dxa" w:w="2376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对照</w:t>
            </w:r>
          </w:p>
        </w:tc>
        <w:tc>
          <w:tcPr>
            <w:tcW w:type="dxa" w:w="3946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严格定义</w:t>
            </w:r>
          </w:p>
        </w:tc>
        <w:tc>
          <w:tcPr>
            <w:tcW w:type="dxa" w:w="3312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可证伪问题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Shuffled Spatial</w:t>
            </w:r>
          </w:p>
        </w:tc>
        <w:tc>
          <w:tcPr>
            <w:tcW w:type="dxa" w:w="39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只打乱各原型的 (u,v) 归属；保留全部原型特征和位置边际分布。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正确的“原型—位置关联”是否有价值？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Matched-Count Random</w:t>
            </w:r>
          </w:p>
        </w:tc>
        <w:tc>
          <w:tcPr>
            <w:tcW w:type="dxa" w:w="39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逐查询 patch 精确保留与 True Spatial 相同数量的可用动态原型；打乱原型身份。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改善是否仅来自 Top-5 可用机会数量？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Source-Calibrated Hit Random</w:t>
            </w:r>
          </w:p>
        </w:tc>
        <w:tc>
          <w:tcPr>
            <w:tcW w:type="dxa" w:w="39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仅用 8 张训练正常图像，在预注册 p 网格中拟合随机动态命中率，再固定概率评估 Probe A。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相近实际动态胜出率时，Spatial 是否仍占优？</w:t>
            </w:r>
          </w:p>
        </w:tc>
      </w:tr>
    </w:tbl>
    <w:p>
      <w:pPr>
        <w:spacing w:after="0"/>
      </w:pPr>
    </w:p>
    <w:p>
      <w:pPr>
        <w:pStyle w:val="Notice"/>
      </w:pPr>
      <w:r>
        <w:rPr>
          <w:rFonts w:ascii="Noto Sans CJK SC" w:hAnsi="Noto Sans CJK SC" w:eastAsia="Noto Sans CJK SC" w:cs="Noto Sans CJK SC"/>
          <w:b/>
          <w:color w:val="9C6819"/>
        </w:rPr>
        <w:t>研究解释限制｜</w:t>
      </w:r>
      <w:r>
        <w:rPr>
          <w:rFonts w:ascii="Noto Sans CJK SC" w:hAnsi="Noto Sans CJK SC" w:eastAsia="Noto Sans CJK SC" w:cs="Noto Sans CJK SC"/>
        </w:rPr>
        <w:t>Matched-Count 仅匹配“候选数与 Top-5 可用率”，不匹配实际动态胜出；Source-Calibrated 只在训练正常数据上拟合 p，在 Probe 上无法保证完全匹配，必须报告 achieved hit gap。</w:t>
      </w:r>
    </w:p>
    <w:p>
      <w:pPr>
        <w:pStyle w:val="Heading2"/>
        <w:keepNext/>
      </w:pPr>
      <w:r>
        <w:t>5.2 平均结果与反例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30"/>
        <w:gridCol w:w="1440"/>
        <w:gridCol w:w="1555"/>
        <w:gridCol w:w="1094"/>
        <w:gridCol w:w="850"/>
        <w:gridCol w:w="1109"/>
      </w:tblGrid>
      <w:tr>
        <w:trPr>
          <w:tblHeader w:val="true"/>
          <w:cantSplit/>
        </w:trPr>
        <w:tc>
          <w:tcPr>
            <w:tcW w:type="dxa" w:w="3830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Memory / 策略</w:t>
            </w:r>
          </w:p>
        </w:tc>
        <w:tc>
          <w:tcPr>
            <w:tcW w:type="dxa" w:w="1440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正常收益 ↑</w:t>
            </w:r>
          </w:p>
        </w:tc>
        <w:tc>
          <w:tcPr>
            <w:tcW w:type="dxa" w:w="1555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缺陷侵蚀 ↓</w:t>
            </w:r>
          </w:p>
        </w:tc>
        <w:tc>
          <w:tcPr>
            <w:tcW w:type="dxa" w:w="1094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AUROC</w:t>
            </w:r>
          </w:p>
        </w:tc>
        <w:tc>
          <w:tcPr>
            <w:tcW w:type="dxa" w:w="850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FPR</w:t>
            </w:r>
          </w:p>
        </w:tc>
        <w:tc>
          <w:tcPr>
            <w:tcW w:type="dxa" w:w="1109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实际胜出率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 True Spatial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0.011788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0.004430</w:t>
            </w:r>
          </w:p>
        </w:tc>
        <w:tc>
          <w:tcPr>
            <w:tcW w:type="dxa" w:w="109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0.7200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1.849%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 Shuffled（三种子均值）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0.001747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0.000504</w:t>
            </w:r>
          </w:p>
        </w:tc>
        <w:tc>
          <w:tcPr>
            <w:tcW w:type="dxa" w:w="109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0.7031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12%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0.691%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 Matched-Count（均值）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0.003691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0.001401</w:t>
            </w:r>
          </w:p>
        </w:tc>
        <w:tc>
          <w:tcPr>
            <w:tcW w:type="dxa" w:w="109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0.7084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8%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0.739%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 Calibrated Random（均值）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0.013302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0.005545</w:t>
            </w:r>
          </w:p>
        </w:tc>
        <w:tc>
          <w:tcPr>
            <w:tcW w:type="dxa" w:w="109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0.7378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1.834%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 True Spatial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0.008695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0.002659</w:t>
            </w:r>
          </w:p>
        </w:tc>
        <w:tc>
          <w:tcPr>
            <w:tcW w:type="dxa" w:w="109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0.7307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1.020%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 Shuffled（均值）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0.004304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0.000888</w:t>
            </w:r>
          </w:p>
        </w:tc>
        <w:tc>
          <w:tcPr>
            <w:tcW w:type="dxa" w:w="109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0.7200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4%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0.405%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 Matched-Count（均值）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0.004354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0.001199</w:t>
            </w:r>
          </w:p>
        </w:tc>
        <w:tc>
          <w:tcPr>
            <w:tcW w:type="dxa" w:w="109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0.7200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4%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0.474%</w:t>
            </w:r>
          </w:p>
        </w:tc>
      </w:tr>
      <w:tr>
        <w:trPr>
          <w:cantSplit/>
        </w:trPr>
        <w:tc>
          <w:tcPr>
            <w:tcW w:type="dxa" w:w="383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 Calibrated Random（均值）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0.010537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0.003580</w:t>
            </w:r>
          </w:p>
        </w:tc>
        <w:tc>
          <w:tcPr>
            <w:tcW w:type="dxa" w:w="109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0.7342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1.127%</w:t>
            </w:r>
          </w:p>
        </w:tc>
      </w:tr>
    </w:tbl>
    <w:p>
      <w:pPr>
        <w:spacing w:after="0"/>
      </w:pP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True Spatial 在相同原型可用数量下，Normal Gain 明显优于 Matched-Count Random，但二者实际动态胜出率也不同（Greedy 1.849% 对 0.739%；Novelty 1.020% 对 0.474%）。不能把差异全部归因于安全风险识别。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Source-Calibrated Random 平均 Normal Gain 和 AUROC 与 Spatial 同等竞争，缺陷侵蚀也通常增加。Greedy seed0（0.012135 正常收益，0.003717 缺陷侵蚀，AUROC 0.7413）与 Novelty seed1（0.009521、0.002361、0.7440）分别在当前三个连续指标上同时优于真实 Spatial。这足以否定“Spatial 在所有合理随机控制上均有 Pareto 优势”的强主张，但不构成独立统计显著性证明。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复现：D3 原始 480 条图像评分在 D3-C 中逐条重放，max |diff|=0。D3-C 新输出共 800 条评分、20 行比较；无 Probe B。完整 20 行见附录 B。</w:t>
      </w:r>
    </w:p>
    <w:p>
      <w:pPr>
        <w:pStyle w:val="Heading2"/>
        <w:keepNext/>
      </w:pPr>
      <w:r>
        <w:t>5.3 实验结论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空间几何关联的确可能帮助找到有价值的正常近邻，但“可检索”不等于“值得检索”，且部分随机访问规则已经达到或超过其开发集性能。这表明 Conditional Retrieval 值得研究，但它并未自动形成安全 Memory Admission 的核心创新。</w:t>
      </w:r>
    </w:p>
    <w:p>
      <w:pPr>
        <w:pStyle w:val="Heading1"/>
        <w:keepNext/>
      </w:pPr>
      <w:r>
        <w:t>06  D4：Equal-Win、正常/缺陷反馈与打乱归因</w:t>
      </w:r>
    </w:p>
    <w:p>
      <w:pPr>
        <w:pStyle w:val="Heading2"/>
        <w:keepNext/>
      </w:pPr>
      <w:r>
        <w:t>6.1 目的与实验动作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目的：进一步消除 D3-C 的实际动态胜出率差异。在同一张查询图像上，先用原生 Global top-5 找到全部真正动态胜出 patch W，再为各策略选择精确相同数量 K=min(ceil(0.02 × N_patch), |W|)。选中 patch 放开所有动态原型，未选中 patch 退回 Static。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五种策略：Random（3 种子）、Spatial（1）、Normal Feedback（1）、Normal+Defect Feedback（1）、Shuffled Defect Feedback（3）。每 Memory 共 9 组；Greedy 和 Novelty 共 720 条逐图像评分、18 组比较。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反馈来自全部 16 次已经揭示的 B16 历史 Q-A 图像：正常证据通过 Leave-One-Official-Sample-Out 取得非自身收益；缺陷风险由 Static Top-32 疑似异常 patch 与 Static→Dynamic 的正向分数下降得到。RBF 类核在冻结特征 + (u,v) + camera 上做经验信用分配；风险权重系数固定为 1.0。缺陷 ROI 无真实像素标签，仅为弱监督代理。</w:t>
      </w:r>
    </w:p>
    <w:p>
      <w:pPr>
        <w:pStyle w:val="Heading2"/>
        <w:keepNext/>
      </w:pPr>
      <w:r>
        <w:t>6.2 等预算匹配验证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2563"/>
        <w:gridCol w:w="2549"/>
      </w:tblGrid>
      <w:tr>
        <w:trPr>
          <w:tblHeader w:val="true"/>
          <w:cantSplit/>
        </w:trPr>
        <w:tc>
          <w:tcPr>
            <w:tcW w:type="dxa" w:w="4536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校验</w:t>
            </w:r>
          </w:p>
        </w:tc>
        <w:tc>
          <w:tcPr>
            <w:tcW w:type="dxa" w:w="2563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Greedy</w:t>
            </w:r>
          </w:p>
        </w:tc>
        <w:tc>
          <w:tcPr>
            <w:tcW w:type="dxa" w:w="2549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Causal Novelty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动态原型数</w:t>
            </w:r>
          </w:p>
        </w:tc>
        <w:tc>
          <w:tcPr>
            <w:tcW w:type="dxa" w:w="256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104</w:t>
            </w:r>
          </w:p>
        </w:tc>
        <w:tc>
          <w:tcPr>
            <w:tcW w:type="dxa" w:w="254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48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原生 Global 潜在胜出 patch 总数</w:t>
            </w:r>
          </w:p>
        </w:tc>
        <w:tc>
          <w:tcPr>
            <w:tcW w:type="dxa" w:w="256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854</w:t>
            </w:r>
          </w:p>
        </w:tc>
        <w:tc>
          <w:tcPr>
            <w:tcW w:type="dxa" w:w="254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437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所有策略每个图像配平后总胜出数</w:t>
            </w:r>
          </w:p>
        </w:tc>
        <w:tc>
          <w:tcPr>
            <w:tcW w:type="dxa" w:w="256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585</w:t>
            </w:r>
          </w:p>
        </w:tc>
        <w:tc>
          <w:tcPr>
            <w:tcW w:type="dxa" w:w="254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296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平均允许动态胜出率</w:t>
            </w:r>
          </w:p>
        </w:tc>
        <w:tc>
          <w:tcPr>
            <w:tcW w:type="dxa" w:w="256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1.865%</w:t>
            </w:r>
          </w:p>
        </w:tc>
        <w:tc>
          <w:tcPr>
            <w:tcW w:type="dxa" w:w="254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0.944%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原 D3 480 分数一致性</w:t>
            </w:r>
          </w:p>
        </w:tc>
        <w:tc>
          <w:tcPr>
            <w:tcW w:type="dxa" w:w="256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通过；最大差异 0</w:t>
            </w:r>
          </w:p>
        </w:tc>
        <w:tc>
          <w:tcPr>
            <w:tcW w:type="dxa" w:w="254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通过；最大差异 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结果（随机策略均为三种子均值）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1642"/>
        <w:gridCol w:w="1771"/>
        <w:gridCol w:w="1253"/>
        <w:gridCol w:w="1310"/>
      </w:tblGrid>
      <w:tr>
        <w:trPr>
          <w:tblHeader w:val="true"/>
          <w:cantSplit/>
        </w:trPr>
        <w:tc>
          <w:tcPr>
            <w:tcW w:type="dxa" w:w="3672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Memory / 权限策略</w:t>
            </w:r>
          </w:p>
        </w:tc>
        <w:tc>
          <w:tcPr>
            <w:tcW w:type="dxa" w:w="1642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正常收益 ↑</w:t>
            </w:r>
          </w:p>
        </w:tc>
        <w:tc>
          <w:tcPr>
            <w:tcW w:type="dxa" w:w="1771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缺陷侵蚀 ↓</w:t>
            </w:r>
          </w:p>
        </w:tc>
        <w:tc>
          <w:tcPr>
            <w:tcW w:type="dxa" w:w="1253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AUROC</w:t>
            </w:r>
          </w:p>
        </w:tc>
        <w:tc>
          <w:tcPr>
            <w:tcW w:type="dxa" w:w="1310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FPR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 Random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0.009213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0.003503</w:t>
            </w:r>
          </w:p>
        </w:tc>
        <w:tc>
          <w:tcPr>
            <w:tcW w:type="dxa" w:w="12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0.7333</w:t>
            </w:r>
          </w:p>
        </w:tc>
        <w:tc>
          <w:tcPr>
            <w:tcW w:type="dxa" w:w="131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8%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 Spatial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0.011253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0.003010</w:t>
            </w:r>
          </w:p>
        </w:tc>
        <w:tc>
          <w:tcPr>
            <w:tcW w:type="dxa" w:w="12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0.7387</w:t>
            </w:r>
          </w:p>
        </w:tc>
        <w:tc>
          <w:tcPr>
            <w:tcW w:type="dxa" w:w="131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0%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 Normal-only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0.004305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0.002115</w:t>
            </w:r>
          </w:p>
        </w:tc>
        <w:tc>
          <w:tcPr>
            <w:tcW w:type="dxa" w:w="12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0.7040</w:t>
            </w:r>
          </w:p>
        </w:tc>
        <w:tc>
          <w:tcPr>
            <w:tcW w:type="dxa" w:w="131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12%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 Normal+Defect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0.006848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0.003579</w:t>
            </w:r>
          </w:p>
        </w:tc>
        <w:tc>
          <w:tcPr>
            <w:tcW w:type="dxa" w:w="12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0.7120</w:t>
            </w:r>
          </w:p>
        </w:tc>
        <w:tc>
          <w:tcPr>
            <w:tcW w:type="dxa" w:w="131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8%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 Shuffled Defect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0.007250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0.003448</w:t>
            </w:r>
          </w:p>
        </w:tc>
        <w:tc>
          <w:tcPr>
            <w:tcW w:type="dxa" w:w="12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0.7147</w:t>
            </w:r>
          </w:p>
        </w:tc>
        <w:tc>
          <w:tcPr>
            <w:tcW w:type="dxa" w:w="131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8%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 Random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0.005214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0.000474</w:t>
            </w:r>
          </w:p>
        </w:tc>
        <w:tc>
          <w:tcPr>
            <w:tcW w:type="dxa" w:w="12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0.7280</w:t>
            </w:r>
          </w:p>
        </w:tc>
        <w:tc>
          <w:tcPr>
            <w:tcW w:type="dxa" w:w="131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8%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 Spatial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0.009234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0.001126</w:t>
            </w:r>
          </w:p>
        </w:tc>
        <w:tc>
          <w:tcPr>
            <w:tcW w:type="dxa" w:w="12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0.7440</w:t>
            </w:r>
          </w:p>
        </w:tc>
        <w:tc>
          <w:tcPr>
            <w:tcW w:type="dxa" w:w="131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0%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 Normal-only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0.003659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0.000000</w:t>
            </w:r>
          </w:p>
        </w:tc>
        <w:tc>
          <w:tcPr>
            <w:tcW w:type="dxa" w:w="12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0.7227</w:t>
            </w:r>
          </w:p>
        </w:tc>
        <w:tc>
          <w:tcPr>
            <w:tcW w:type="dxa" w:w="131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12%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 Normal+Defect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0.006637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0.000680</w:t>
            </w:r>
          </w:p>
        </w:tc>
        <w:tc>
          <w:tcPr>
            <w:tcW w:type="dxa" w:w="12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0.7307</w:t>
            </w:r>
          </w:p>
        </w:tc>
        <w:tc>
          <w:tcPr>
            <w:tcW w:type="dxa" w:w="131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4%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 Shuffled Defect</w:t>
            </w:r>
          </w:p>
        </w:tc>
        <w:tc>
          <w:tcPr>
            <w:tcW w:type="dxa" w:w="164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0.005788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0.000940</w:t>
            </w:r>
          </w:p>
        </w:tc>
        <w:tc>
          <w:tcPr>
            <w:tcW w:type="dxa" w:w="12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0.7209</w:t>
            </w:r>
          </w:p>
        </w:tc>
        <w:tc>
          <w:tcPr>
            <w:tcW w:type="dxa" w:w="131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8%</w:t>
            </w:r>
          </w:p>
        </w:tc>
      </w:tr>
    </w:tbl>
    <w:p>
      <w:pPr>
        <w:spacing w:after="0"/>
      </w:pP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所有 D4 方法 FNR 都为 8/15=53.33%。Greedy 的 Spatial 在正常收益、缺陷侵蚀、AUROC、FPR 四项均优于当前 Normal+Defect；Novelty 的 Spatial 正常收益和 AUROC 更优、FPR 更低，但缺陷侵蚀高于 Normal+Defect，仍是权衡。</w:t>
      </w:r>
    </w:p>
    <w:p>
      <w:pPr>
        <w:pStyle w:val="Heading2"/>
        <w:keepNext/>
      </w:pPr>
      <w:r>
        <w:t>6.4 历史风险证据数量与来源可靠性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5"/>
        <w:gridCol w:w="2376"/>
        <w:gridCol w:w="2347"/>
      </w:tblGrid>
      <w:tr>
        <w:trPr>
          <w:tblHeader w:val="true"/>
          <w:cantSplit/>
        </w:trPr>
        <w:tc>
          <w:tcPr>
            <w:tcW w:type="dxa" w:w="4925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历史反馈审计</w:t>
            </w:r>
          </w:p>
        </w:tc>
        <w:tc>
          <w:tcPr>
            <w:tcW w:type="dxa" w:w="2376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Greedy</w:t>
            </w:r>
          </w:p>
        </w:tc>
        <w:tc>
          <w:tcPr>
            <w:tcW w:type="dxa" w:w="2347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Causal Novelty</w:t>
            </w:r>
          </w:p>
        </w:tc>
      </w:tr>
      <w:tr>
        <w:trPr>
          <w:cantSplit/>
        </w:trPr>
        <w:tc>
          <w:tcPr>
            <w:tcW w:type="dxa" w:w="492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已验证 Normal / Defect 图像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11 / 5</w:t>
            </w:r>
          </w:p>
        </w:tc>
        <w:tc>
          <w:tcPr>
            <w:tcW w:type="dxa" w:w="234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11 / 5</w:t>
            </w:r>
          </w:p>
        </w:tc>
      </w:tr>
      <w:tr>
        <w:trPr>
          <w:cantSplit/>
        </w:trPr>
        <w:tc>
          <w:tcPr>
            <w:tcW w:type="dxa" w:w="492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正常 Leave-One-Sample-Out witness patches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197</w:t>
            </w:r>
          </w:p>
        </w:tc>
        <w:tc>
          <w:tcPr>
            <w:tcW w:type="dxa" w:w="234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58</w:t>
            </w:r>
          </w:p>
        </w:tc>
      </w:tr>
      <w:tr>
        <w:trPr>
          <w:cantSplit/>
        </w:trPr>
        <w:tc>
          <w:tcPr>
            <w:tcW w:type="dxa" w:w="492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弱监督缺陷风险 witness patches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92</w:t>
            </w:r>
          </w:p>
        </w:tc>
        <w:tc>
          <w:tcPr>
            <w:tcW w:type="dxa" w:w="234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69</w:t>
            </w:r>
          </w:p>
        </w:tc>
      </w:tr>
      <w:tr>
        <w:trPr>
          <w:cantSplit/>
        </w:trPr>
        <w:tc>
          <w:tcPr>
            <w:tcW w:type="dxa" w:w="492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正常证据权重总和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16.919861</w:t>
            </w:r>
          </w:p>
        </w:tc>
        <w:tc>
          <w:tcPr>
            <w:tcW w:type="dxa" w:w="234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3.994222</w:t>
            </w:r>
          </w:p>
        </w:tc>
      </w:tr>
      <w:tr>
        <w:trPr>
          <w:cantSplit/>
        </w:trPr>
        <w:tc>
          <w:tcPr>
            <w:tcW w:type="dxa" w:w="492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缺陷风险权重总和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12.963921</w:t>
            </w:r>
          </w:p>
        </w:tc>
        <w:tc>
          <w:tcPr>
            <w:tcW w:type="dxa" w:w="234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6.837143</w:t>
            </w:r>
          </w:p>
        </w:tc>
      </w:tr>
    </w:tbl>
    <w:p>
      <w:pPr>
        <w:spacing w:after="0"/>
      </w:pP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五次缺陷历史锚点的 Static Score（按出现顺序）为：0.513334、0.540713、0.507340、0.547620、0.594439。与 θ=0.562028 比较，五个中有四个在 Static 阶段已经漏检。因此 Static Top-32 未必包含真实缺陷位置，弱监督风险代理在关键病例上尤其脆弱。</w:t>
      </w:r>
    </w:p>
    <w:p>
      <w:pPr>
        <w:pStyle w:val="Heading2"/>
        <w:keepNext/>
      </w:pPr>
      <w:r>
        <w:t>6.5 关键反常现象及 Shuffled 消融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Greedy 从 Normal-only 改为 Normal+Defect 后，正常收益 0.004305→0.006848，但缺陷侵蚀 0.002115→0.003579；Novelty 正常收益 0.003659→0.006637，缺陷侵蚀 0→0.000680。可确认反馈改变了结果，却不能将改变称为安全提升。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Greedy：逐图像对比正常 25 张中 4 张降分、1 张升分、20 张不变；缺陷 15 张中 4 张降分、0 张升分、11 张不变。Novelty：正常 5 张降分，其余不变；缺陷仅 1 张降分，其余不变。一个显著案例是 NG/BX/S0003 / C1，增加缺陷反馈后其图像分数在两分支均下降约 0.010197（潜在伤害方向）。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Shuffled Defect：Greedy 的真实反馈多数指标未优于打乱归属；Novelty 的真实反馈略强于三次打乱的平均表现，但只有很少图像最终输出不同（相对 Shuffled 2 仅 1/40 图像发生可检测改变）。证据稀疏且缺乏稳定性，不能宣称真实历史风险归属已被有效学习。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正式判定  </w:t>
      </w:r>
      <w:r>
        <w:rPr>
          <w:rFonts w:ascii="Noto Sans CJK SC" w:hAnsi="Noto Sans CJK SC" w:eastAsia="Noto Sans CJK SC" w:cs="Noto Sans CJK SC"/>
        </w:rPr>
        <w:t>NO-GO for controller expansion；GO for risk-attribution validity diagnosis。</w:t>
      </w:r>
    </w:p>
    <w:p>
      <w:pPr>
        <w:pStyle w:val="Heading1"/>
        <w:keepNext/>
      </w:pPr>
      <w:r>
        <w:t>07  跨实验结论：获得了什么、没有证明什么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3197"/>
        <w:gridCol w:w="3643"/>
      </w:tblGrid>
      <w:tr>
        <w:trPr>
          <w:tblHeader w:val="true"/>
          <w:cantSplit/>
        </w:trPr>
        <w:tc>
          <w:tcPr>
            <w:tcW w:type="dxa" w:w="2808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3197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现有证据</w:t>
            </w:r>
          </w:p>
        </w:tc>
        <w:tc>
          <w:tcPr>
            <w:tcW w:type="dxa" w:w="3643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可接受结论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存储相同原型能否不同效果？</w:t>
            </w:r>
          </w:p>
        </w:tc>
        <w:tc>
          <w:tcPr>
            <w:tcW w:type="dxa" w:w="319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D3 条件检索 AUROC/侵蚀差异</w:t>
            </w:r>
          </w:p>
        </w:tc>
        <w:tc>
          <w:tcPr>
            <w:tcW w:type="dxa" w:w="364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能：Retrieval 适用域影响最终分数。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空间条件是否优于纯随机数量稀疏化？</w:t>
            </w:r>
          </w:p>
        </w:tc>
        <w:tc>
          <w:tcPr>
            <w:tcW w:type="dxa" w:w="319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D3-C True Spatial vs Matched-Count</w:t>
            </w:r>
          </w:p>
        </w:tc>
        <w:tc>
          <w:tcPr>
            <w:tcW w:type="dxa" w:w="364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对正常适应有正信号，但存在真实胜出率混杂。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空间条件是否必要？</w:t>
            </w:r>
          </w:p>
        </w:tc>
        <w:tc>
          <w:tcPr>
            <w:tcW w:type="dxa" w:w="319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D3-C Source-Calibrated Random 反例</w:t>
            </w:r>
          </w:p>
        </w:tc>
        <w:tc>
          <w:tcPr>
            <w:tcW w:type="dxa" w:w="364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否；Random 有竞争力，甚至局部 Pareto 更优。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“风险反馈”是否有非零信号？</w:t>
            </w:r>
          </w:p>
        </w:tc>
        <w:tc>
          <w:tcPr>
            <w:tcW w:type="dxa" w:w="319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D4 92/69 个缺陷风险 witness</w:t>
            </w:r>
          </w:p>
        </w:tc>
        <w:tc>
          <w:tcPr>
            <w:tcW w:type="dxa" w:w="364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有非零代理，但可靠性/独立性仍弱。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风险反馈是否安全有效？</w:t>
            </w:r>
          </w:p>
        </w:tc>
        <w:tc>
          <w:tcPr>
            <w:tcW w:type="dxa" w:w="319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D4 增加风险后缺陷侵蚀上升</w:t>
            </w:r>
          </w:p>
        </w:tc>
        <w:tc>
          <w:tcPr>
            <w:tcW w:type="dxa" w:w="364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未证实，不能作为论文主张。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是否已打败 Novelty Admission？</w:t>
            </w:r>
          </w:p>
        </w:tc>
        <w:tc>
          <w:tcPr>
            <w:tcW w:type="dxa" w:w="319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D2-A 的 Novelty 已 0% FPR；D3/D4改变 Retrieval</w:t>
            </w:r>
          </w:p>
        </w:tc>
        <w:tc>
          <w:tcPr>
            <w:tcW w:type="dxa" w:w="364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没有；研究动作已偏离 Admission。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当前结果是否足以否定 Safe Admission？</w:t>
            </w:r>
          </w:p>
        </w:tc>
        <w:tc>
          <w:tcPr>
            <w:tcW w:type="dxa" w:w="319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仅 1 类、B16、8 个 Probe 样本组</w:t>
            </w:r>
          </w:p>
        </w:tc>
        <w:tc>
          <w:tcPr>
            <w:tcW w:type="dxa" w:w="364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不能。</w:t>
            </w:r>
          </w:p>
        </w:tc>
      </w:tr>
    </w:tbl>
    <w:p>
      <w:pPr>
        <w:spacing w:after="0"/>
      </w:pP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重要区分：D3 中相同 Memory 的 Retrieval 改善，并不证明新的 Admission 策略优于 Greedy 或 Novelty。D4 的 Equal-Win 通过，只能证明对照公平度提高；它不代表风险模型有效。</w:t>
      </w:r>
    </w:p>
    <w:p>
      <w:pPr>
        <w:pStyle w:val="Heading1"/>
        <w:keepNext/>
      </w:pPr>
      <w:r>
        <w:t>08  实验设计缺陷与竞争方法的真正短板</w:t>
      </w:r>
    </w:p>
    <w:p>
      <w:pPr>
        <w:pStyle w:val="Heading2"/>
        <w:keepNext/>
      </w:pPr>
      <w:r>
        <w:t>8.1 微型实验统计功效不足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反馈仅 16 次、缺陷仅 5 次；早期在线时刻可见的缺陷反馈更少。缺陷风险是条件依赖的高维对象，不应期待五次图像级标签足以稳定校准。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Probe A 40 张分属仅 8 个官方样本组，每组 5 个相机视角存在相关性；三次随机种子不产生新的独立样本。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FPR 每张 Normal 图像改变 4 个百分点；FNR 每张 Defect 改变约 6.67 个百分点；0% 和 4% 的差异可能只是一张图像。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Static FNR 已为 8/15；仅剩 7 张原本正确检出的缺陷图像可能被转为新增漏检，并且还需要分数跨过阈值。</w:t>
      </w:r>
    </w:p>
    <w:p>
      <w:pPr>
        <w:pStyle w:val="BulletSafe"/>
      </w:pPr>
      <w:r>
        <w:rPr>
          <w:rFonts w:ascii="Noto Sans CJK SC" w:hAnsi="Noto Sans CJK SC" w:eastAsia="Noto Sans CJK SC" w:cs="Noto Sans CJK SC"/>
        </w:rPr>
        <w:t>持续在同一 Probe A 上观察、讨论、修改算法产生研究者层面的 adaptive overfitting；即使 Probe 标签未进代码，探索后的 Probe A 不再是独立确认集。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粗略、忽略相机相关性的 Wilson 95% 区间：Static FPR 3/25=12%，约 4.2%–30.0%；Greedy FPR 0/25=0%，约 0%–13.3%；Static FNR 8/15=53.3%，约 30.1%–75.2%。这些区间本身尚不能处理组内相关性。</w:t>
      </w:r>
    </w:p>
    <w:p>
      <w:pPr>
        <w:pStyle w:val="Heading2"/>
        <w:keepNext/>
      </w:pPr>
      <w:r>
        <w:t>8.2 Greedy 与 Novelty 尚未被真正挑战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当前 Greedy 在 11 次写入中只发生 append：与 Append/Reservoir 同写 104 原型、没有替换，因而没有触发 coreset 的容量竞争与近似最优覆盖问题。我们的实验并没有揭示“Greedy 在受限预算下选错保留对象”这一可检验短板。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Causal Novelty 的规则依据历史正常候选的相对几何新颖性，而不是正常泛化收益或缺陷边界风险；但在当前小数据下，它只接受 4 次写入仍修复了全部已见正常误报，形成极强的简单基线。需要真正有“高 Novelty 却危险”或“低 Novelty 却有益”的可识别候选，才能研究击败它。</w:t>
      </w:r>
    </w:p>
    <w:p>
      <w:pPr>
        <w:pStyle w:val="Heading2"/>
        <w:keepNext/>
      </w:pPr>
      <w:r>
        <w:t>8.3 我们把两个不同的安全风险混在一起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312"/>
      </w:tblGrid>
      <w:tr>
        <w:trPr>
          <w:tblHeader w:val="true"/>
          <w:cantSplit/>
        </w:trPr>
        <w:tc>
          <w:tcPr>
            <w:tcW w:type="dxa" w:w="2880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风险类型</w:t>
            </w:r>
          </w:p>
        </w:tc>
        <w:tc>
          <w:tcPr>
            <w:tcW w:type="dxa" w:w="3456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312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当前 D2–D4 覆盖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Normality contamination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未验证/错误标注的异常被误写为正常原型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基本没有：当前写入只发生在人工确认 Normal 后。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Decision-boundary erosion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即便确实 Normal 的新原型也会降低真实缺陷证据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部分观察，但图像级分数侵蚀弱于真实缺陷区域风险。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Capacity-induced forgetting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有限容量替换导致旧正常模式丢失/旧类别退化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几乎没有：104 原型、零替换。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研究过程偏差与应保留的工程成果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我们过早在没有可辨识风险事件的条件下设计 CDARG、Spatial Retrieval 和反馈权限模型；每次机制未胜出，就对同一小型 Probe 做下一步设计，导致目标从“安全写入”漂移为“安全检索”。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但工程资产仍有价值：严格 Q-A 标签揭示顺序、冻结 q90 注册表、原生 v22 top-5 一致性与单调性断言、Stable Random Seeds、跨样本隔离、Shadow Scorer、不可变目录/哈希清单和逐图像比较工具。这些可重用于新的 Admission Oracle 和压力测试。</w:t>
      </w:r>
    </w:p>
    <w:p>
      <w:pPr>
        <w:pStyle w:val="Heading1"/>
        <w:keepNext/>
      </w:pPr>
      <w:r>
        <w:t>09  下一阶段：先诊断再设计（尚未执行）</w:t>
      </w:r>
    </w:p>
    <w:p>
      <w:pPr>
        <w:pStyle w:val="Heading2"/>
        <w:keepNext/>
      </w:pPr>
      <w:r>
        <w:t>9.1 R1 — Admission Oracle Opportunity Audit（最高优先级）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问题：在现有 11 次正常候选中，是否客观存在一种与 Novelty 相比具有明显正常收益—缺陷风险 Pareto 改进的写入组合？先用独立开发标签和缓存特征建立仅用于可行性诊断的 Admission Oracle Frontier，而非部署算法。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对最简单的二元写入/拒绝，11 个事件至多有 2^11=2048 个组合；但必须严格沿原 Q-A 时间顺序重放，并在 Memory 状态变化时重新计算状态依赖候选/替换，不能简单任意拼接 patch；比较同容量/同查询预算的 Non-oracle Novelty 和 Greedy。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R1 停止条件 A  </w:t>
      </w:r>
      <w:r>
        <w:rPr>
          <w:rFonts w:ascii="Noto Sans CJK SC" w:hAnsi="Noto Sans CJK SC" w:eastAsia="Noto Sans CJK SC" w:cs="Noto Sans CJK SC"/>
        </w:rPr>
        <w:t>若 Oracle 相对 Novelty 也没有实质 Pareto 余量，则现有候选/模型结构无法支撑当前安全写入论文主张，应改变任务设定或方向。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R1 分流条件 B  </w:t>
      </w:r>
      <w:r>
        <w:rPr>
          <w:rFonts w:ascii="Noto Sans CJK SC" w:hAnsi="Noto Sans CJK SC" w:eastAsia="Noto Sans CJK SC" w:cs="Noto Sans CJK SC"/>
        </w:rPr>
        <w:t>若 Oracle 明显优于 Novelty，但因果控制器做不到，研究焦点才转向“稀疏反馈能否识别正确写入”的信息问题。</w:t>
      </w:r>
    </w:p>
    <w:p>
      <w:pPr>
        <w:pStyle w:val="Heading2"/>
        <w:keepNext/>
      </w:pPr>
      <w:r>
        <w:t>9.2 R2 — Feedback Budget Scaling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固定其他条件，独立评估 B=16、32、64、128 的反馈预算及多个 Query seeds。重点记录已揭示 Normal/Defect 数、真实有效正常收益事件数、可预测的缺陷侵蚀事件数，而不仅是总 B。每个预算的策略须使用当时已经揭示的标签；报告性能—查询成本曲线。</w:t>
      </w:r>
    </w:p>
    <w:p>
      <w:pPr>
        <w:pStyle w:val="Heading2"/>
        <w:keepNext/>
      </w:pPr>
      <w:r>
        <w:t>9.3 R3 — Capacity &amp; Boundary Stress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设计明确触发 Greedy/Novelty 局限的预注册压力测试：正常分布漂移、正常—缺陷表征重叠、有限容量耗尽与替换、稀疏/延迟反馈。保持原生 scorer 与公平容量、相同候选流、相同训练反馈与独立样本级评估。优先关注正常/缺陷特征重叠和容量耗尽。</w:t>
      </w:r>
    </w:p>
    <w:p>
      <w:pPr>
        <w:pStyle w:val="Heading2"/>
        <w:keepNext/>
      </w:pPr>
      <w:r>
        <w:t>9.4 重新定义胜负指标与停止规则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可以把目标写为：最大化跨样本正常适应收益 B_N，在缺陷损伤 R_D≤ε、动态 Memory 容量≤C、查询次数≤B 下比较。R_D 应优先包含真实 Mask 区域异常证据侵蚀、阈值跨越新增漏检及独立样本级统计；图像级 Score Erosion 可保留为次级诊断指标。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3"/>
        <w:gridCol w:w="6595"/>
      </w:tblGrid>
      <w:tr>
        <w:trPr>
          <w:tblHeader w:val="true"/>
          <w:cantSplit/>
        </w:trPr>
        <w:tc>
          <w:tcPr>
            <w:tcW w:type="dxa" w:w="3053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下一步决策</w:t>
            </w:r>
          </w:p>
        </w:tc>
        <w:tc>
          <w:tcPr>
            <w:tcW w:type="dxa" w:w="6595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GO / NO-GO 证据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GO：开发新的 Safe Admission 控制器</w:t>
            </w:r>
          </w:p>
        </w:tc>
        <w:tc>
          <w:tcPr>
            <w:tcW w:type="dxa" w:w="659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R1 显示 Oracle 明显超过 Novelty；R2 表明可见反馈具有增量预测力；R3 中真实触发容量/边界损害。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NO-GO：不继续堆叠风险网络</w:t>
            </w:r>
          </w:p>
        </w:tc>
        <w:tc>
          <w:tcPr>
            <w:tcW w:type="dxa" w:w="659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R1 几乎无余量，或 R2 增加反馈仍无法识别可修复的有害写入。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确认阶段</w:t>
            </w:r>
          </w:p>
        </w:tc>
        <w:tc>
          <w:tcPr>
            <w:tcW w:type="dxa" w:w="659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方法冻结后使用 Probe B、不同类别、多个 Query/Support seeds，按官方样本组不确定性评价。</w:t>
            </w:r>
          </w:p>
        </w:tc>
      </w:tr>
    </w:tbl>
    <w:p>
      <w:pPr>
        <w:spacing w:after="0"/>
      </w:pPr>
    </w:p>
    <w:p>
      <w:pPr>
        <w:pStyle w:val="Notice"/>
      </w:pPr>
      <w:r>
        <w:rPr>
          <w:rFonts w:ascii="Noto Sans CJK SC" w:hAnsi="Noto Sans CJK SC" w:eastAsia="Noto Sans CJK SC" w:cs="Noto Sans CJK SC"/>
          <w:b/>
          <w:color w:val="9C6819"/>
        </w:rPr>
        <w:t>研究解释限制｜</w:t>
      </w:r>
      <w:r>
        <w:rPr>
          <w:rFonts w:ascii="Noto Sans CJK SC" w:hAnsi="Noto Sans CJK SC" w:eastAsia="Noto Sans CJK SC" w:cs="Noto Sans CJK SC"/>
        </w:rPr>
        <w:t>R1 中允许 Oracle 使用开发标签只为证明可利用性上限；其结果不能和因果在线方法直接当作同一公平基线，更不能用于未来独立验证集优化。R1–R3 是建议，没有对应已完成的 GPU 结果。</w:t>
      </w:r>
    </w:p>
    <w:p>
      <w:pPr>
        <w:pStyle w:val="Heading1"/>
        <w:keepNext/>
      </w:pPr>
      <w:r>
        <w:t>10  代码、归档与复现路径</w:t>
      </w:r>
    </w:p>
    <w:p>
      <w:pPr>
        <w:pStyle w:val="Heading2"/>
        <w:keepNext/>
      </w:pPr>
      <w:r>
        <w:t>10.1 仓库与冻结实验来源</w:t>
      </w:r>
    </w:p>
    <w:p>
      <w:pPr>
        <w:pStyle w:val="CodeText"/>
      </w:pPr>
      <w:r>
        <w:rPr>
          <w:rFonts w:ascii="Noto Sans Mono CJK SC" w:hAnsi="Noto Sans Mono CJK SC" w:eastAsia="Noto Sans Mono CJK SC" w:cs="Noto Sans Mono CJK SC"/>
          <w:sz w:val="16"/>
        </w:rPr>
        <w:t>Repository  https://github.com/jiangdizhao/Memory-Governed-Online-Few-Shot-Anomaly-Detection</w:t>
      </w:r>
    </w:p>
    <w:p>
      <w:pPr>
        <w:pStyle w:val="CodeText"/>
      </w:pPr>
      <w:r>
        <w:rPr>
          <w:rFonts w:ascii="Noto Sans Mono CJK SC" w:hAnsi="Noto Sans Mono CJK SC" w:eastAsia="Noto Sans Mono CJK SC" w:cs="Noto Sans Mono CJK SC"/>
          <w:sz w:val="16"/>
        </w:rPr>
        <w:t>Branch      risk-safe-admission-sprint-20261027</w:t>
      </w:r>
    </w:p>
    <w:p>
      <w:pPr>
        <w:pStyle w:val="CodeText"/>
      </w:pPr>
      <w:r>
        <w:rPr>
          <w:rFonts w:ascii="Noto Sans Mono CJK SC" w:hAnsi="Noto Sans Mono CJK SC" w:eastAsia="Noto Sans Mono CJK SC" w:cs="Noto Sans Mono CJK SC"/>
          <w:sz w:val="16"/>
        </w:rPr>
        <w:t>Latest data cd2c7fb40170789818cbf1fdcc694bb834aad3fc</w:t>
      </w:r>
    </w:p>
    <w:p>
      <w:pPr>
        <w:pStyle w:val="CodeText"/>
      </w:pPr>
      <w:r>
        <w:rPr>
          <w:rFonts w:ascii="Noto Sans Mono CJK SC" w:hAnsi="Noto Sans Mono CJK SC" w:eastAsia="Noto Sans Mono CJK SC" w:cs="Noto Sans Mono CJK SC"/>
          <w:sz w:val="16"/>
        </w:rPr>
        <w:t>D4 run code c6b5ab5d6cfc50268be382cd20b8141c95fed560</w:t>
      </w:r>
    </w:p>
    <w:p>
      <w:pPr>
        <w:pStyle w:val="CodeText"/>
      </w:pPr>
      <w:r>
        <w:rPr>
          <w:rFonts w:ascii="Noto Sans Mono CJK SC" w:hAnsi="Noto Sans Mono CJK SC" w:eastAsia="Noto Sans Mono CJK SC" w:cs="Noto Sans Mono CJK SC"/>
          <w:sz w:val="16"/>
        </w:rPr>
        <w:t>D3-C data  7a38c96b7f5db765e75177052545ed93e4f43b3b</w:t>
      </w:r>
    </w:p>
    <w:p>
      <w:pPr>
        <w:pStyle w:val="CodeText"/>
      </w:pPr>
      <w:r>
        <w:rPr>
          <w:rFonts w:ascii="Noto Sans Mono CJK SC" w:hAnsi="Noto Sans Mono CJK SC" w:eastAsia="Noto Sans Mono CJK SC" w:cs="Noto Sans Mono CJK SC"/>
          <w:sz w:val="16"/>
        </w:rPr>
        <w:t>D3 data    ce20f114472e925a29b00292841b491031fef935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以 GitHub 归档原始 summary.json、CSV 与 source_manifest.json 为最终数据源；不要根据先前聊天中四舍五入的值重建实验。以下是相对于仓库根目录的原始产物路径：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D2-A  </w:t>
      </w:r>
      <w:r>
        <w:rPr>
          <w:rFonts w:ascii="Noto Sans CJK SC" w:hAnsi="Noto Sans CJK SC" w:eastAsia="Noto Sans CJK SC" w:cs="Noto Sans CJK SC"/>
        </w:rPr>
        <w:t>outputs/risk_safe_sprint_20261027/d2a_audiojack_s0_q37_b16_q90_probe4/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D3  </w:t>
      </w:r>
      <w:r>
        <w:rPr>
          <w:rFonts w:ascii="Noto Sans CJK SC" w:hAnsi="Noto Sans CJK SC" w:eastAsia="Noto Sans CJK SC" w:cs="Noto Sans CJK SC"/>
        </w:rPr>
        <w:t>outputs/risk_safe_sprint_20261027/d3_audiojack_s0_q37_b16_q90_probe4_fixedk/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D3-C  </w:t>
      </w:r>
      <w:r>
        <w:rPr>
          <w:rFonts w:ascii="Noto Sans CJK SC" w:hAnsi="Noto Sans CJK SC" w:eastAsia="Noto Sans CJK SC" w:cs="Noto Sans CJK SC"/>
        </w:rPr>
        <w:t>outputs/risk_safe_sprint_20261027/d3c_audiojack_s0_q37_b16_q90_probe4_randomcontrols_v1/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1A3755"/>
        </w:rPr>
        <w:t xml:space="preserve">D4  </w:t>
      </w:r>
      <w:r>
        <w:rPr>
          <w:rFonts w:ascii="Noto Sans CJK SC" w:hAnsi="Noto Sans CJK SC" w:eastAsia="Noto Sans CJK SC" w:cs="Noto Sans CJK SC"/>
        </w:rPr>
        <w:t>outputs/risk_safe_sprint_20261027/d4_audiojack_s0_q37_b16_q90_equalwin_feedback_v1/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关键源码：experiments/risk_safe/d2_native_replay.py；d2_baselines.py；conditional_retrieval.py；conditional_retrieval_pilot.py；retrieval_random_controls.py；d3_controlled_retrieval.py；d4_retrieval_rights.py；d4_equal_win_feedback_pilot.py。对应 CPU 测试 test_risk_safe_d3.py、test_risk_safe_d3c.py、test_risk_safe_d4.py。</w:t>
      </w:r>
    </w:p>
    <w:p>
      <w:pPr>
        <w:pStyle w:val="Heading2"/>
        <w:keepNext/>
      </w:pPr>
      <w:r>
        <w:t>10.2 已遇到的错误与应避免的回归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744"/>
        <w:gridCol w:w="4032"/>
      </w:tblGrid>
      <w:tr>
        <w:trPr>
          <w:tblHeader w:val="true"/>
          <w:cantSplit/>
        </w:trPr>
        <w:tc>
          <w:tcPr>
            <w:tcW w:type="dxa" w:w="1872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744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具体故障</w:t>
            </w:r>
          </w:p>
        </w:tc>
        <w:tc>
          <w:tcPr>
            <w:tcW w:type="dxa" w:w="4032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已采取的修复 / 原则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D3 首版 GPU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“Scoped memory improved more than global memory”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原错误使用 min(5,n_eligible) 均值；修复固定有效 top-5、候选不足回退 Static；不删除单调性断言。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D3-C 首次 verify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写入 source_reference.passed，验证器读取不存在的 reference_d3_native_replay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修复读正确字段，严格检查 480 条原始评分复现和 800 条完整输出。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D3-C 二次 verify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工作区 Windows CRLF SHA 与 Git LF blob SHA 不相等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仅允许严格 LF→CRLF 等价重建历史源代码哈希；不篡改原始 Manifest。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D4 本地执行前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需要保护统计矩阵和证据来源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固定 9 个条件 × 2 Memory × 40 图像=720；原 D3 480 条评分逐条复现。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复现与保存的基本原则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00707F"/>
        </w:rPr>
        <w:t xml:space="preserve">1. </w:t>
      </w:r>
      <w:r>
        <w:rPr>
          <w:rFonts w:ascii="Noto Sans CJK SC" w:hAnsi="Noto Sans CJK SC" w:eastAsia="Noto Sans CJK SC" w:cs="Noto Sans CJK SC"/>
        </w:rPr>
        <w:t>始终先核对本地 branch/HEAD 与未提交改动；不要覆盖已存在的 D2–D4 输出目录。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00707F"/>
        </w:rPr>
        <w:t xml:space="preserve">2. </w:t>
      </w:r>
      <w:r>
        <w:rPr>
          <w:rFonts w:ascii="Noto Sans CJK SC" w:hAnsi="Noto Sans CJK SC" w:eastAsia="Noto Sans CJK SC" w:cs="Noto Sans CJK SC"/>
        </w:rPr>
        <w:t>先运行 py_compile、对应 tests、preflight，再执行 CUDA Pilot；不因回归失败跳过断言。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00707F"/>
        </w:rPr>
        <w:t xml:space="preserve">3. </w:t>
      </w:r>
      <w:r>
        <w:rPr>
          <w:rFonts w:ascii="Noto Sans CJK SC" w:hAnsi="Noto Sans CJK SC" w:eastAsia="Noto Sans CJK SC" w:cs="Noto Sans CJK SC"/>
        </w:rPr>
        <w:t>所有新实验结果必须保存输入 hash、产生结果的代码 commit、原型容量、Q-A tape hash、阈值注册表 hash 和原生 Global parity。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00707F"/>
        </w:rPr>
        <w:t xml:space="preserve">4. </w:t>
      </w:r>
      <w:r>
        <w:rPr>
          <w:rFonts w:ascii="Noto Sans CJK SC" w:hAnsi="Noto Sans CJK SC" w:eastAsia="Noto Sans CJK SC" w:cs="Noto Sans CJK SC"/>
        </w:rPr>
        <w:t>使用 --verify-only 检查已归档文件时，不重新运行 GPU；历史源码校验应根据真实运行时 commit 而非最新验证器源码。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b/>
          <w:color w:val="00707F"/>
        </w:rPr>
        <w:t xml:space="preserve">5. </w:t>
      </w:r>
      <w:r>
        <w:rPr>
          <w:rFonts w:ascii="Noto Sans CJK SC" w:hAnsi="Noto Sans CJK SC" w:eastAsia="Noto Sans CJK SC" w:cs="Noto Sans CJK SC"/>
        </w:rPr>
        <w:t>Probe A 只能继续用于探索/诊断；Probe B 在方法冻结之前保持未接触。</w:t>
      </w:r>
    </w:p>
    <w:p>
      <w:pPr>
        <w:pStyle w:val="Heading1"/>
        <w:keepNext/>
      </w:pPr>
      <w:r>
        <w:t>附录 A｜D3 全部 12 组条件检索指标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单位：AUROC 原始值；缺陷侵蚀为平均正向下降；eligible 与 dynamic wins 为 patch 比例。所有行 FPR=0%，FNR=53.33%，同一 Memory 内原型内容不变。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2722"/>
        <w:gridCol w:w="1166"/>
        <w:gridCol w:w="1613"/>
        <w:gridCol w:w="1555"/>
        <w:gridCol w:w="1109"/>
      </w:tblGrid>
      <w:tr>
        <w:trPr>
          <w:tblHeader w:val="true"/>
          <w:cantSplit/>
        </w:trPr>
        <w:tc>
          <w:tcPr>
            <w:tcW w:type="dxa" w:w="1483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Memory</w:t>
            </w:r>
          </w:p>
        </w:tc>
        <w:tc>
          <w:tcPr>
            <w:tcW w:type="dxa" w:w="2722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Policy</w:t>
            </w:r>
          </w:p>
        </w:tc>
        <w:tc>
          <w:tcPr>
            <w:tcW w:type="dxa" w:w="1166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AUROC</w:t>
            </w:r>
          </w:p>
        </w:tc>
        <w:tc>
          <w:tcPr>
            <w:tcW w:type="dxa" w:w="1613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Defect erosion</w:t>
            </w:r>
          </w:p>
        </w:tc>
        <w:tc>
          <w:tcPr>
            <w:tcW w:type="dxa" w:w="1555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Top-5 eligible</w:t>
            </w:r>
          </w:p>
        </w:tc>
        <w:tc>
          <w:tcPr>
            <w:tcW w:type="dxa" w:w="1109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Dyn wins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</w:t>
            </w:r>
          </w:p>
        </w:tc>
        <w:tc>
          <w:tcPr>
            <w:tcW w:type="dxa" w:w="272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Global</w:t>
            </w:r>
          </w:p>
        </w:tc>
        <w:tc>
          <w:tcPr>
            <w:tcW w:type="dxa" w:w="116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0.7013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0.012817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100.00%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</w:t>
            </w:r>
          </w:p>
        </w:tc>
        <w:tc>
          <w:tcPr>
            <w:tcW w:type="dxa" w:w="272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Camera</w:t>
            </w:r>
          </w:p>
        </w:tc>
        <w:tc>
          <w:tcPr>
            <w:tcW w:type="dxa" w:w="116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0.6960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0.007138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100.00%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1.610%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</w:t>
            </w:r>
          </w:p>
        </w:tc>
        <w:tc>
          <w:tcPr>
            <w:tcW w:type="dxa" w:w="272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Spatial .125</w:t>
            </w:r>
          </w:p>
        </w:tc>
        <w:tc>
          <w:tcPr>
            <w:tcW w:type="dxa" w:w="116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0.7200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0.004430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36.35%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1.849%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</w:t>
            </w:r>
          </w:p>
        </w:tc>
        <w:tc>
          <w:tcPr>
            <w:tcW w:type="dxa" w:w="272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Spatial .25</w:t>
            </w:r>
          </w:p>
        </w:tc>
        <w:tc>
          <w:tcPr>
            <w:tcW w:type="dxa" w:w="116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0.7173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0.009676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76.79%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2.519%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</w:t>
            </w:r>
          </w:p>
        </w:tc>
        <w:tc>
          <w:tcPr>
            <w:tcW w:type="dxa" w:w="272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Camera+Spatial .125</w:t>
            </w:r>
          </w:p>
        </w:tc>
        <w:tc>
          <w:tcPr>
            <w:tcW w:type="dxa" w:w="116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0.7253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0.002891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7.40%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1.240%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Greedy</w:t>
            </w:r>
          </w:p>
        </w:tc>
        <w:tc>
          <w:tcPr>
            <w:tcW w:type="dxa" w:w="272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Camera+Spatial .25</w:t>
            </w:r>
          </w:p>
        </w:tc>
        <w:tc>
          <w:tcPr>
            <w:tcW w:type="dxa" w:w="116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0.7120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0.004824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35.92%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1.563%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</w:t>
            </w:r>
          </w:p>
        </w:tc>
        <w:tc>
          <w:tcPr>
            <w:tcW w:type="dxa" w:w="272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Global</w:t>
            </w:r>
          </w:p>
        </w:tc>
        <w:tc>
          <w:tcPr>
            <w:tcW w:type="dxa" w:w="116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0.7040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0.005567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100.00%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</w:t>
            </w:r>
          </w:p>
        </w:tc>
        <w:tc>
          <w:tcPr>
            <w:tcW w:type="dxa" w:w="272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Camera</w:t>
            </w:r>
          </w:p>
        </w:tc>
        <w:tc>
          <w:tcPr>
            <w:tcW w:type="dxa" w:w="116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0.6853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0.005567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80.00%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1.122%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</w:t>
            </w:r>
          </w:p>
        </w:tc>
        <w:tc>
          <w:tcPr>
            <w:tcW w:type="dxa" w:w="272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Spatial .125</w:t>
            </w:r>
          </w:p>
        </w:tc>
        <w:tc>
          <w:tcPr>
            <w:tcW w:type="dxa" w:w="116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0.7307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0.002659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22.70%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1.020%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</w:t>
            </w:r>
          </w:p>
        </w:tc>
        <w:tc>
          <w:tcPr>
            <w:tcW w:type="dxa" w:w="272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Spatial .25</w:t>
            </w:r>
          </w:p>
        </w:tc>
        <w:tc>
          <w:tcPr>
            <w:tcW w:type="dxa" w:w="116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0.7253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0.004360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62.37%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1.323%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</w:t>
            </w:r>
          </w:p>
        </w:tc>
        <w:tc>
          <w:tcPr>
            <w:tcW w:type="dxa" w:w="272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Camera+Spatial .125</w:t>
            </w:r>
          </w:p>
        </w:tc>
        <w:tc>
          <w:tcPr>
            <w:tcW w:type="dxa" w:w="116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0.7227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0.002659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3.06%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0.909%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Novelty</w:t>
            </w:r>
          </w:p>
        </w:tc>
        <w:tc>
          <w:tcPr>
            <w:tcW w:type="dxa" w:w="2722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Camera+Spatial .25</w:t>
            </w:r>
          </w:p>
        </w:tc>
        <w:tc>
          <w:tcPr>
            <w:tcW w:type="dxa" w:w="116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0.7120</w:t>
            </w:r>
          </w:p>
        </w:tc>
        <w:tc>
          <w:tcPr>
            <w:tcW w:type="dxa" w:w="1613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0.003788</w:t>
            </w:r>
          </w:p>
        </w:tc>
        <w:tc>
          <w:tcPr>
            <w:tcW w:type="dxa" w:w="1555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17.12%</w:t>
            </w:r>
          </w:p>
        </w:tc>
        <w:tc>
          <w:tcPr>
            <w:tcW w:type="dxa" w:w="1109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1.107%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B｜D3-C 全部 20 组随机对照结果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原始每个种子的值，未进行统计显著性检验。列出正常收益、缺陷侵蚀、AUROC 和 FPR。所有行 FNR=53.33%；True Spatial 只有种子 0 一次，随机方法 0/1/2。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4"/>
        <w:gridCol w:w="2246"/>
        <w:gridCol w:w="691"/>
        <w:gridCol w:w="1570"/>
        <w:gridCol w:w="1800"/>
        <w:gridCol w:w="1037"/>
        <w:gridCol w:w="950"/>
      </w:tblGrid>
      <w:tr>
        <w:trPr>
          <w:tblHeader w:val="true"/>
          <w:cantSplit/>
        </w:trPr>
        <w:tc>
          <w:tcPr>
            <w:tcW w:type="dxa" w:w="1354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Memory</w:t>
            </w:r>
          </w:p>
        </w:tc>
        <w:tc>
          <w:tcPr>
            <w:tcW w:type="dxa" w:w="2246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Policy</w:t>
            </w:r>
          </w:p>
        </w:tc>
        <w:tc>
          <w:tcPr>
            <w:tcW w:type="dxa" w:w="691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Seed</w:t>
            </w:r>
          </w:p>
        </w:tc>
        <w:tc>
          <w:tcPr>
            <w:tcW w:type="dxa" w:w="1570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Normal gain</w:t>
            </w:r>
          </w:p>
        </w:tc>
        <w:tc>
          <w:tcPr>
            <w:tcW w:type="dxa" w:w="1800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Defect erosion</w:t>
            </w:r>
          </w:p>
        </w:tc>
        <w:tc>
          <w:tcPr>
            <w:tcW w:type="dxa" w:w="1037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AUROC</w:t>
            </w:r>
          </w:p>
        </w:tc>
        <w:tc>
          <w:tcPr>
            <w:tcW w:type="dxa" w:w="950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FPR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True Spatial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0.011788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0.004430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0.7200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Shuffled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0.001419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0.001487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0.6853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12%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Shuffled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0.003384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0.000026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0.7173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12%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Shuffled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2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0.000437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0.000000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0.7067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12%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Matched-Count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0.003699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0.001068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0.7120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Matched-Count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0.003638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0.002009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0.7040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Matched-Count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2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0.003736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0.001126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0.7093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Hit-Cal Random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0.012135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0.003717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0.7413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Hit-Cal Random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0.013537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0.006206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0.7307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Hit-Cal Random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2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0.014233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0.006712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0.7413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True Spatial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0.008695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0.002659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0.7307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Shuffled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0.003916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0.001253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0.7147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4%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Shuffled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0.003835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0.001126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0.7173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Shuffled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2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0.005163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0.000285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0.7280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Matched-Count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0.004531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0.001126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0.7227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4%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Matched-Count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0.004795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0.001752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0.7173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4%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Matched-Count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2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0.003736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0.000719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0.7200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4%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Hit-Cal Random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0.010738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0.004390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0.7253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Hit-Cal Random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0.009521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0.002361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0.7440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Hit-Cal Random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2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0.011351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0.003991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0.7333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0%</w:t>
            </w:r>
          </w:p>
        </w:tc>
      </w:tr>
    </w:tbl>
    <w:p>
      <w:pPr>
        <w:spacing w:after="0"/>
      </w:pP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D3-C 的 Source-Calibrated Hit Random 在 Greedy 中 3 次 p=0.6；Novelty 为 p=0.8/0.6/0.8。这些 p 只从正常训练校准图像选取，Probe 实际胜出率近似匹配而非逐图像相等。</w:t>
      </w:r>
    </w:p>
    <w:p>
      <w:pPr>
        <w:pStyle w:val="Heading1"/>
        <w:keepNext/>
      </w:pPr>
      <w:r>
        <w:t>附录 C｜D4 全部 18 组 Equal-Win 结果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各策略在相同图像上的动态胜出数严格相同；Greedy 各组总和 585，Novelty 各组 296。所有行 FNR=53.33%。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4"/>
        <w:gridCol w:w="2246"/>
        <w:gridCol w:w="691"/>
        <w:gridCol w:w="1570"/>
        <w:gridCol w:w="1800"/>
        <w:gridCol w:w="1037"/>
        <w:gridCol w:w="950"/>
      </w:tblGrid>
      <w:tr>
        <w:trPr>
          <w:tblHeader w:val="true"/>
          <w:cantSplit/>
        </w:trPr>
        <w:tc>
          <w:tcPr>
            <w:tcW w:type="dxa" w:w="1354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Memory</w:t>
            </w:r>
          </w:p>
        </w:tc>
        <w:tc>
          <w:tcPr>
            <w:tcW w:type="dxa" w:w="2246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Policy</w:t>
            </w:r>
          </w:p>
        </w:tc>
        <w:tc>
          <w:tcPr>
            <w:tcW w:type="dxa" w:w="691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Seed</w:t>
            </w:r>
          </w:p>
        </w:tc>
        <w:tc>
          <w:tcPr>
            <w:tcW w:type="dxa" w:w="1570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Normal gain</w:t>
            </w:r>
          </w:p>
        </w:tc>
        <w:tc>
          <w:tcPr>
            <w:tcW w:type="dxa" w:w="1800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Defect erosion</w:t>
            </w:r>
          </w:p>
        </w:tc>
        <w:tc>
          <w:tcPr>
            <w:tcW w:type="dxa" w:w="1037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AUROC</w:t>
            </w:r>
          </w:p>
        </w:tc>
        <w:tc>
          <w:tcPr>
            <w:tcW w:type="dxa" w:w="950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FPR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Random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0.007184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0.003069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0.7227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12%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Random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0.010379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0.004752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0.7387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Random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2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0.010075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0.002687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0.7387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4%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Spatial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0.011253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0.003010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0.7387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Normal-only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0.004305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0.002115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0.7040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12%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Normal+Defect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0.006848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0.003579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0.7120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Shuffled Defect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0.007010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0.003349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0.7147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Shuffled Defect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0.007740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0.003349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0.7173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Greedy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Shuffled Defect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2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0.007000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0.003645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0.7120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Random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0.004401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0.000680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0.7227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Random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0.005818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0.000742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0.7307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Random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2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0.005423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0.000000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0.7307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Spatial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0.009234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0.001126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0.7440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Normal-only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0.003659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0.000000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0.7227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12%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Normal+Defect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0.006637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0.000680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0.7307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4%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Shuffled Defect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0.005266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0.000940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0.7173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12%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Shuffled Defect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1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0.005460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0.000940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0.7200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8%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Novelty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Shuffled Defect</w:t>
            </w:r>
          </w:p>
        </w:tc>
        <w:tc>
          <w:tcPr>
            <w:tcW w:type="dxa" w:w="691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2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0.006637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0.000940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0.7253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4"/>
              </w:rPr>
              <w:t>4%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D｜16 次 Q-A 反馈时间序列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来自 D3/D4 因果查询 tape：标签按在线时刻揭示；本表仅作回顾，不将未来标签用于之前的在线决策。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584"/>
        <w:gridCol w:w="1656"/>
        <w:gridCol w:w="2664"/>
        <w:gridCol w:w="2808"/>
      </w:tblGrid>
      <w:tr>
        <w:trPr>
          <w:tblHeader w:val="true"/>
          <w:cantSplit/>
        </w:trPr>
        <w:tc>
          <w:tcPr>
            <w:tcW w:type="dxa" w:w="936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584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流位置 t</w:t>
            </w:r>
          </w:p>
        </w:tc>
        <w:tc>
          <w:tcPr>
            <w:tcW w:type="dxa" w:w="1656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揭示标签</w:t>
            </w:r>
          </w:p>
        </w:tc>
        <w:tc>
          <w:tcPr>
            <w:tcW w:type="dxa" w:w="2664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截至当前 Normal 数</w:t>
            </w:r>
          </w:p>
        </w:tc>
        <w:tc>
          <w:tcPr>
            <w:tcW w:type="dxa" w:w="2808"/>
            <w:shd w:fill="1E405D"/>
            <w:tcMar>
              <w:top w:w="8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截至当前 Defect 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25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Normal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271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Normal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458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Normal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629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Normal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5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655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Defect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6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690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Defect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7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1085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Normal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5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1159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Normal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6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9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1335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Normal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7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10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1430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Defect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7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1733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Normal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8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1785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Normal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9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1895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Normal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10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14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2508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Defect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10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15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2532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Normal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11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16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2541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Defect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11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70" w:type="dxa"/>
              <w:end w:w="80" w:type="dxa"/>
            </w:tcMar>
            <w:shd w:fill="F2F6F9"/>
          </w:tcPr>
          <w:p>
            <w:pPr>
              <w:pStyle w:val="TableText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5</w:t>
            </w:r>
          </w:p>
        </w:tc>
      </w:tr>
    </w:tbl>
    <w:p>
      <w:pPr>
        <w:spacing w:after="0"/>
      </w:pP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注意：当 t&lt;655 时没有缺陷反馈；t=690 后仅 2 次；最后两次缺陷反馈在 t=2508 和 t=2541 才到达。D4 使用全部 16 条反馈构造最终 checkpoint 的权限分配，不能声称它已经完成全过程 prequential 在线风险学习。</w:t>
      </w:r>
    </w:p>
    <w:p>
      <w:pPr>
        <w:pStyle w:val="Heading1"/>
        <w:keepNext/>
      </w:pPr>
      <w:r>
        <w:t>附录 E｜直接粘贴到下一对话的启动说明</w:t>
      </w:r>
    </w:p>
    <w:p>
      <w:pPr>
        <w:pStyle w:val="Notice"/>
      </w:pPr>
      <w:r>
        <w:rPr>
          <w:rFonts w:ascii="Noto Sans CJK SC" w:hAnsi="Noto Sans CJK SC" w:eastAsia="Noto Sans CJK SC" w:cs="Noto Sans CJK SC"/>
          <w:b/>
          <w:color w:val="1A3755"/>
        </w:rPr>
        <w:t>新对话启动任务（建议直接引用本 DOCX）：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请以这份《安全记忆写入研究交接档案》为唯一默认的 D2–D4 事实依据，继续 Memory-Governed Online Few-Shot Anomaly Detection 的论文前期研究。当前目标重新聚焦 Safe Memory Admission，而非继续扩大 Retrieval Rights。已完成 D2-A（Greedy/Novelty/CDARG）、D3（Spatial Retrieval）、D3-C（Matched-Random）、D4（Equal-Win + Feedback Attribution），结果均归档在 GitHub；不得将 Probe A 的探索性改善解释为独立论文证明。</w:t>
      </w:r>
    </w:p>
    <w:p>
      <w:pPr>
        <w:pStyle w:val="BodyText"/>
        <w:spacing w:after="80"/>
      </w:pPr>
      <w:r>
        <w:rPr>
          <w:rFonts w:ascii="Noto Sans CJK SC" w:hAnsi="Noto Sans CJK SC" w:eastAsia="Noto Sans CJK SC" w:cs="Noto Sans CJK SC"/>
        </w:rPr>
        <w:t>第一步请讨论/实施 R1：在已确认正常候选写入事件上构造仅用于诊断的 Admission Oracle Pareto Frontier，核查与 Causal Novelty 相比是否存在实质改善空间。设计必须严格冻结原生 VisionAD v22 scorer、Q-A 因果 tape、Static Memory 与样本级分区；对不同 Memory 容量、不同反馈预算和风险指标的公平性做事前说明。只有 R1 显示可利用余量，才考虑 R2（B=16/32/64/128 反馈学习曲线）和 R3（容量耗尽、正常—缺陷重叠等压力）。在方法冻结前不要触碰 Probe B，也不要修改 D2–D4 的历史输出。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80" w:left="1152" w:header="49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8737D"/>
        <w:sz w:val="15"/>
      </w:rPr>
      <w:t xml:space="preserve">内部研究档案 · 2026-10-28    |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/>
        <w:color w:val="00707F"/>
        <w:sz w:val="15"/>
      </w:rPr>
      <w:t>RESEARCH HANDOFF  /  Memory-Governed Online Few-Shot 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color w:val="42505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37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707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707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pPr>
      <w:spacing w:after="100" w:line="288" w:lineRule="auto"/>
    </w:pPr>
    <w:rPr>
      <w:rFonts w:ascii="Noto Sans CJK SC" w:hAnsi="Noto Sans CJK SC" w:eastAsia="Noto Sans CJK SC"/>
      <w:color w:val="42505D"/>
      <w:sz w:val="19"/>
    </w:rPr>
  </w:style>
  <w:style w:type="paragraph" w:customStyle="1" w:styleId="TableText">
    <w:name w:val="TableText"/>
    <w:pPr>
      <w:spacing w:after="0" w:line="254" w:lineRule="auto"/>
    </w:pPr>
    <w:rPr>
      <w:rFonts w:ascii="Noto Sans CJK SC" w:hAnsi="Noto Sans CJK SC" w:eastAsia="Noto Sans CJK SC"/>
      <w:color w:val="42505D"/>
      <w:sz w:val="15"/>
    </w:rPr>
  </w:style>
  <w:style w:type="paragraph" w:customStyle="1" w:styleId="Notice">
    <w:name w:val="Notice"/>
    <w:pPr>
      <w:spacing w:after="120" w:line="300" w:lineRule="auto"/>
      <w:ind w:left="259" w:right="173"/>
    </w:pPr>
    <w:rPr>
      <w:rFonts w:ascii="Noto Sans CJK SC" w:hAnsi="Noto Sans CJK SC" w:eastAsia="Noto Sans CJK SC"/>
      <w:color w:val="42505D"/>
      <w:sz w:val="18"/>
    </w:rPr>
  </w:style>
  <w:style w:type="paragraph" w:customStyle="1" w:styleId="BulletSafe">
    <w:name w:val="BulletSafe"/>
    <w:pPr>
      <w:spacing w:after="80" w:line="288" w:lineRule="auto"/>
      <w:ind w:left="317"/>
    </w:pPr>
    <w:rPr>
      <w:rFonts w:ascii="Noto Sans CJK SC" w:hAnsi="Noto Sans CJK SC" w:eastAsia="Noto Sans CJK SC"/>
      <w:color w:val="42505D"/>
      <w:sz w:val="19"/>
    </w:rPr>
  </w:style>
  <w:style w:type="paragraph" w:customStyle="1" w:styleId="CodeText">
    <w:name w:val="CodeText"/>
    <w:pPr>
      <w:spacing w:after="40" w:line="259" w:lineRule="auto"/>
    </w:pPr>
    <w:rPr>
      <w:rFonts w:ascii="Noto Sans CJK SC" w:hAnsi="Noto Sans CJK SC" w:eastAsia="Noto Sans CJK SC"/>
      <w:color w:val="42505D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安全记忆写入研究交接档案：D2-A 至 D4</dc:title>
  <dc:subject>VisionAD / Real-IAD / Safe Memory Admission / Novelty and Greedy Baselines</dc:subject>
  <dc:creator>python-docx</dc:creator>
  <cp:keywords>industrial anomaly detection, memory admission, continual learning, active inference, research handoff</cp:keywords>
  <dc:description>Research handoff assembled from frozen GitHub D2–D4 experiment archives and current conversation as of 2026-10-28.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