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Week 2 Development Handoff Summary</w:t>
      </w:r>
    </w:p>
    <w:p>
      <w:r>
        <w:rPr>
          <w:b/>
        </w:rPr>
        <w:t xml:space="preserve">Project: </w:t>
      </w:r>
      <w:r>
        <w:t>Immigration legal-service website and RAG-backed legal assistant</w:t>
        <w:br/>
      </w:r>
      <w:r>
        <w:rPr>
          <w:b/>
        </w:rPr>
        <w:t xml:space="preserve">Period covered: </w:t>
      </w:r>
      <w:r>
        <w:t>This conversation (end of Week 2)</w:t>
        <w:br/>
      </w:r>
      <w:r>
        <w:rPr>
          <w:b/>
        </w:rPr>
        <w:t xml:space="preserve">Purpose: </w:t>
      </w:r>
      <w:r>
        <w:t>Carry forward the exact technical progress, bugs, fixes, and current system state into the next conversation.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shd w:fill="EDF4FC"/>
          </w:tcPr>
          <w:p>
            <w:pPr>
              <w:spacing w:after="0"/>
            </w:pPr>
            <w:r>
              <w:rPr>
                <w:b/>
              </w:rPr>
              <w:t xml:space="preserve">Executive summary. </w:t>
            </w:r>
            <w:r>
              <w:t>During this conversation, the legal-service backend was upgraded from a Week 1 scaffold into a functioning narrow-domain RAG system. We completed the core pipeline: database reset/alignment, curated-source ingestion, embedding generation, pgvector retrieval, grounded reasoning, citation persistence, frontend widget integration, route cleanup, and a first native-knowledge expansion for Student visa Subclass 500. The main late-stage issue was not retrieval itself but brittle reasoning behavior caused by missing backend API-key wiring and over-strict fallback logic. That OpenAI configuration issue was diagnosed and fixed. By the end of the week, the system could answer in-domain immigration questions with grounded citations, while refusing unsupported specificity more cautiously than before.</w:t>
            </w:r>
          </w:p>
        </w:tc>
      </w:tr>
    </w:tbl>
    <w:p/>
    <w:p>
      <w:pPr>
        <w:pStyle w:val="Heading1"/>
      </w:pPr>
      <w:r>
        <w:t>1. Starting Point at the Beginning of This Conversation</w:t>
      </w:r>
    </w:p>
    <w:p>
      <w:pPr>
        <w:ind w:left="283" w:hanging="283"/>
      </w:pPr>
      <w:r>
        <w:rPr>
          <w:b/>
        </w:rPr>
        <w:t xml:space="preserve">• </w:t>
      </w:r>
      <w:r>
        <w:t>The frontend widget was already connected to the FastAPI backend, and the Week 1 bridge patch had been applied.</w:t>
      </w:r>
    </w:p>
    <w:p>
      <w:pPr>
        <w:ind w:left="283" w:hanging="283"/>
      </w:pPr>
      <w:r>
        <w:rPr>
          <w:b/>
        </w:rPr>
        <w:t xml:space="preserve">• </w:t>
      </w:r>
      <w:r>
        <w:t>The legal-service backend still used placeholder retrieval/reasoning in spirit, even though the overall architecture was already in place.</w:t>
      </w:r>
    </w:p>
    <w:p>
      <w:pPr>
        <w:ind w:left="283" w:hanging="283"/>
      </w:pPr>
      <w:r>
        <w:rPr>
          <w:b/>
        </w:rPr>
        <w:t xml:space="preserve">• </w:t>
      </w:r>
      <w:r>
        <w:t>The database schema already included an embedding column, but the real end-to-end RAG path was not yet complete.</w:t>
      </w:r>
    </w:p>
    <w:p>
      <w:pPr>
        <w:ind w:left="283" w:hanging="283"/>
      </w:pPr>
      <w:r>
        <w:rPr>
          <w:b/>
        </w:rPr>
        <w:t xml:space="preserve">• </w:t>
      </w:r>
      <w:r>
        <w:t>The week’s goal was explicitly to implement the true RAG function based on the current progress, not to redesign the whole system.</w:t>
      </w:r>
    </w:p>
    <w:p>
      <w:pPr>
        <w:pStyle w:val="Heading1"/>
      </w:pPr>
      <w:r>
        <w:t>2. Step-by-Step Work Completed This Week</w:t>
      </w:r>
    </w:p>
    <w:p>
      <w:pPr>
        <w:pStyle w:val="Heading2"/>
      </w:pPr>
      <w:r>
        <w:t>2.1 Step 1: Lock the data contract and reset the embedding setup</w:t>
      </w:r>
    </w:p>
    <w:p>
      <w:pPr/>
      <w:r>
        <w:t>A clear embedding contract was chosen: OpenAI embeddings with text-embedding-3-small, 1536 dimensions, cosine distance, pgvector storage, and canonical jurisdiction/source-type normalization.</w:t>
      </w:r>
    </w:p>
    <w:p>
      <w:pPr/>
      <w:r>
        <w:t>PostgreSQL had already been upgraded by the user from 14.22 to 17.9, so the project moved forward on PostgreSQL 17.</w:t>
      </w:r>
    </w:p>
    <w:p>
      <w:pPr/>
      <w:r>
        <w:t>A backend patch set was generated for config cleanup, embedding service creation, smoke testing, and frontend/backend jurisdiction alignment.</w:t>
      </w:r>
    </w:p>
    <w:p>
      <w:pPr/>
      <w:r>
        <w:t>A major environment problem surfaced during reset: the app user did not own schema public. This was diagnosed as a PostgreSQL ownership issue rather than a Python problem.</w:t>
      </w:r>
    </w:p>
    <w:p>
      <w:pPr/>
      <w:r>
        <w:t>The fix path included checking the real database and user from DATABASE_URL, identifying that the app used immigration_legal as rico_local, and then repairing ownership/permissions in the correct database.</w:t>
      </w:r>
    </w:p>
    <w:p>
      <w:pPr/>
      <w:r>
        <w:t>A safer reset strategy was also adopted: dropping and recreating tables instead of relying on full schema deletion.</w:t>
      </w:r>
    </w:p>
    <w:p>
      <w:pPr/>
      <w:r>
        <w:t>The real hidden bug was later identified in scripts/reset_db.py: it imported Base but did not import app.db.models, so Base.metadata was incomplete during drop_all/create_all. After adding from app.db import models, the database truly rebuilt against the new model definition.</w:t>
      </w:r>
    </w:p>
    <w:p>
      <w:pPr/>
      <w:r>
        <w:t>The step concluded successfully with a smoke test showing model=text-embedding-3-small and dimension=1536.</w:t>
      </w:r>
    </w:p>
    <w:p>
      <w:pPr>
        <w:pStyle w:val="Heading2"/>
      </w:pPr>
      <w:r>
        <w:t>2.2 Step 2 and Step 3: First real corpus + first real ingestion pipeline</w:t>
      </w:r>
    </w:p>
    <w:p>
      <w:pPr/>
      <w:r>
        <w:t>A narrow first corpus was chosen rather than an overly broad legal crawl. The initial topics were student visa refusal, student visa cancellation, consultation preparation, and selected legislative extracts.</w:t>
      </w:r>
    </w:p>
    <w:p>
      <w:pPr/>
      <w:r>
        <w:t>Five JSON source files were created in the backend ingestion format.</w:t>
      </w:r>
    </w:p>
    <w:p>
      <w:pPr/>
      <w:r>
        <w:t>A real ingestion pipeline was implemented in curated-file form via app/services/ingestion_service.py and scripts/ingest_sources.py.</w:t>
      </w:r>
    </w:p>
    <w:p>
      <w:pPr/>
      <w:r>
        <w:t>The ingestion succeeded with 5 sources inserted and 15 chunks created initially.</w:t>
      </w:r>
    </w:p>
    <w:p>
      <w:pPr/>
      <w:r>
        <w:t>This stage established the correct pattern: one row per source in legal_sources and one row per chunk in source_chunks, with embeddings left null until the embedding step.</w:t>
      </w:r>
    </w:p>
    <w:p>
      <w:pPr>
        <w:pStyle w:val="Heading2"/>
      </w:pPr>
      <w:r>
        <w:t>2.3 Step 4: Embedding all chunks into pgvector</w:t>
      </w:r>
    </w:p>
    <w:p>
      <w:pPr/>
      <w:r>
        <w:t>An embedding service and batch embed script were created so all source_chunks.text rows with embedding IS NULL could be embedded and updated in PostgreSQL.</w:t>
      </w:r>
    </w:p>
    <w:p>
      <w:pPr/>
      <w:r>
        <w:t>The first embed attempt failed with expected 16 dimensions, not 1536. This exposed a schema-rebuild mismatch rather than an OpenAI problem.</w:t>
      </w:r>
    </w:p>
    <w:p>
      <w:pPr/>
      <w:r>
        <w:t>After fixing reset_db.py to import ORM models before Base.metadata.drop_all/create_all, the source_chunks.embedding column was finally recreated as vector(1536).</w:t>
      </w:r>
    </w:p>
    <w:p>
      <w:pPr/>
      <w:r>
        <w:t>The user then re-ran reset, ingestion, and embedding successfully, completing the first working vectorized corpus.</w:t>
      </w:r>
    </w:p>
    <w:p>
      <w:pPr>
        <w:pStyle w:val="Heading2"/>
      </w:pPr>
      <w:r>
        <w:t>2.4 Step 5: Replace keyword fallback retrieval with real pgvector retrieval</w:t>
      </w:r>
    </w:p>
    <w:p>
      <w:pPr/>
      <w:r>
        <w:t>app/services/retrieval_service.py was replaced with a real retrieval implementation that embeds the user question, searches source_chunks.embedding by cosine distance, keeps jurisdiction and source-type filters, and fuses vector retrieval with a lexical branch using reciprocal rank fusion.</w:t>
      </w:r>
    </w:p>
    <w:p>
      <w:pPr/>
      <w:r>
        <w:t>This step converted the backend from a mostly scaffolded retrieval design into an actual retrieval system grounded on pgvector data.</w:t>
      </w:r>
    </w:p>
    <w:p>
      <w:pPr/>
      <w:r>
        <w:t>The result was a live retrieval_debug path showing real hybrid retrieval rather than only placeholder logic.</w:t>
      </w:r>
    </w:p>
    <w:p>
      <w:pPr>
        <w:pStyle w:val="Heading2"/>
      </w:pPr>
      <w:r>
        <w:t>2.5 Step 6: Replace the Week 1 reasoning stub with grounded LLM reasoning</w:t>
      </w:r>
    </w:p>
    <w:p>
      <w:pPr/>
      <w:r>
        <w:t>The first replacement of reasoning_service.py used a grounded LLM approach with OpenAI. It removed Week 1 placeholder text and forced the answer generation stage to use retrieved chunks.</w:t>
      </w:r>
    </w:p>
    <w:p>
      <w:pPr/>
      <w:r>
        <w:t>query_service.py was also updated so queries created or updated Matter rows and persisted Citation rows for the current answer.</w:t>
      </w:r>
    </w:p>
    <w:p>
      <w:pPr/>
      <w:r>
        <w:t>Several integration mismatches surfaced and were fixed along the way: the route used service.run while the new service exposed handle_query; then get_db was missing in app.db.session; then QueryService assumed Matter(summary=...), which was incompatible with the real Matter schema.</w:t>
      </w:r>
    </w:p>
    <w:p>
      <w:pPr/>
      <w:r>
        <w:t>The actual Matter columns were inspected and the service was rewritten against the real schema fields: session_id, issue_summary, status, issue_type, visa_type, risk_level, last_user_message_at, and metadata_json. Citation persistence was aligned with the real Citation columns, including quote_text and used_for.</w:t>
      </w:r>
    </w:p>
    <w:p>
      <w:pPr>
        <w:pStyle w:val="Heading2"/>
      </w:pPr>
      <w:r>
        <w:t>2.6 Frontend integration patch</w:t>
      </w:r>
    </w:p>
    <w:p>
      <w:pPr/>
      <w:r>
        <w:t>The Next.js widget route and widget UI were patched so the browser assistant no longer flattened everything into a single text blob.</w:t>
      </w:r>
    </w:p>
    <w:p>
      <w:pPr/>
      <w:r>
        <w:t>The frontend now preserves legal-service response structure: answer, citations, follow-up questions, missing facts, escalate flag, next_action, confidence, and matter_id.</w:t>
      </w:r>
    </w:p>
    <w:p>
      <w:pPr/>
      <w:r>
        <w:t>The widget gained better rendering blocks for sources considered, follow-up questions, missing facts, and lawyer-escalation messages.</w:t>
      </w:r>
    </w:p>
    <w:p>
      <w:pPr/>
      <w:r>
        <w:t>A temporary mismatch appeared because the backend path was actually mounted as /api/v1/query/query. The frontend was temporarily pointed to that route, then the backend route duplication was cleaned so the final endpoint became /api/v1/query.</w:t>
      </w:r>
    </w:p>
    <w:p>
      <w:pPr/>
      <w:r>
        <w:t>By the end of this stage, the website chatbot could successfully talk to the legal backend end to end.</w:t>
      </w:r>
    </w:p>
    <w:p>
      <w:pPr>
        <w:pStyle w:val="Heading2"/>
      </w:pPr>
      <w:r>
        <w:t>2.7 Replacing prototype JSON with real authoritative content</w:t>
      </w:r>
    </w:p>
    <w:p>
      <w:pPr/>
      <w:r>
        <w:t>The user requested that no crawler be built this week. Instead, a small number of real authoritative legal-content JSON replacements were prepared from official sources.</w:t>
      </w:r>
    </w:p>
    <w:p>
      <w:pPr/>
      <w:r>
        <w:t>A package of authoritative JSON files was created using real Home Affairs and legislation material relevant to refusal, cancellation, review rights, Ministerial Direction No. 108, and Migration Act / Migration Regulations extracts.</w:t>
      </w:r>
    </w:p>
    <w:p>
      <w:pPr/>
      <w:r>
        <w:t>Later, an additional Subclass 500 add-on corpus was created from official Home Affairs Student visa 500 sources and Subclass 500-related regulations summaries, so the system would have at least some native knowledge specifically tied to Student visa Subclass 500.</w:t>
      </w:r>
    </w:p>
    <w:p>
      <w:pPr>
        <w:pStyle w:val="Heading1"/>
      </w:pPr>
      <w:r>
        <w:t>3. Most Important Bugs Diagnosed and Fixed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</w:tcPr>
          <w:p>
            <w:pPr>
              <w:spacing w:after="60" w:before="60"/>
            </w:pPr>
            <w:r>
              <w:t>Issue</w:t>
            </w:r>
          </w:p>
        </w:tc>
        <w:tc>
          <w:tcPr>
            <w:tcW w:type="dxa" w:w="3249"/>
            <w:vAlign w:val="center"/>
          </w:tcPr>
          <w:p>
            <w:pPr>
              <w:spacing w:after="60" w:before="60"/>
            </w:pPr>
            <w:r>
              <w:t>Root cause</w:t>
            </w:r>
          </w:p>
        </w:tc>
        <w:tc>
          <w:tcPr>
            <w:tcW w:type="dxa" w:w="3249"/>
            <w:vAlign w:val="center"/>
          </w:tcPr>
          <w:p>
            <w:pPr>
              <w:spacing w:after="60" w:before="60"/>
            </w:pPr>
            <w:r>
              <w:t>Fix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60" w:before="60"/>
            </w:pPr>
            <w:r>
              <w:t>DB reset seemed to succeed but vector stayed at 16</w:t>
            </w:r>
          </w:p>
        </w:tc>
        <w:tc>
          <w:tcPr>
            <w:tcW w:type="dxa" w:w="3249"/>
            <w:vAlign w:val="center"/>
          </w:tcPr>
          <w:p>
            <w:pPr>
              <w:spacing w:after="60" w:before="60"/>
            </w:pPr>
            <w:r>
              <w:t>reset_db.py did not import ORM models, so Base.metadata was incomplete</w:t>
            </w:r>
          </w:p>
        </w:tc>
        <w:tc>
          <w:tcPr>
            <w:tcW w:type="dxa" w:w="3249"/>
            <w:vAlign w:val="center"/>
          </w:tcPr>
          <w:p>
            <w:pPr>
              <w:spacing w:after="60" w:before="60"/>
            </w:pPr>
            <w:r>
              <w:t>Added from app.db import models before drop_all/create_all and rebuilt the DB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60" w:before="60"/>
            </w:pPr>
            <w:r>
              <w:t>Embedding failed with expected 16 dimensions, not 1536</w:t>
            </w:r>
          </w:p>
        </w:tc>
        <w:tc>
          <w:tcPr>
            <w:tcW w:type="dxa" w:w="3249"/>
            <w:vAlign w:val="center"/>
          </w:tcPr>
          <w:p>
            <w:pPr>
              <w:spacing w:after="60" w:before="60"/>
            </w:pPr>
            <w:r>
              <w:t>Live table was still vector(16)</w:t>
            </w:r>
          </w:p>
        </w:tc>
        <w:tc>
          <w:tcPr>
            <w:tcW w:type="dxa" w:w="3249"/>
            <w:vAlign w:val="center"/>
          </w:tcPr>
          <w:p>
            <w:pPr>
              <w:spacing w:after="60" w:before="60"/>
            </w:pPr>
            <w:r>
              <w:t>True rebuild of source_chunks.embedding as vector(1536), then re-ingest and re-embed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60" w:before="60"/>
            </w:pPr>
            <w:r>
              <w:t>/api/v1/query route errors after QueryService rewrite</w:t>
            </w:r>
          </w:p>
        </w:tc>
        <w:tc>
          <w:tcPr>
            <w:tcW w:type="dxa" w:w="3249"/>
            <w:vAlign w:val="center"/>
          </w:tcPr>
          <w:p>
            <w:pPr>
              <w:spacing w:after="60" w:before="60"/>
            </w:pPr>
            <w:r>
              <w:t>run vs handle_query mismatch; missing get_db helper; wrong assumed Matter fields</w:t>
            </w:r>
          </w:p>
        </w:tc>
        <w:tc>
          <w:tcPr>
            <w:tcW w:type="dxa" w:w="3249"/>
            <w:vAlign w:val="center"/>
          </w:tcPr>
          <w:p>
            <w:pPr>
              <w:spacing w:after="60" w:before="60"/>
            </w:pPr>
            <w:r>
              <w:t>Patched route/session/service alignment and rewrote QueryService against actual ORM schema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60" w:before="60"/>
            </w:pPr>
            <w:r>
              <w:t>Widget said legal service unavailable</w:t>
            </w:r>
          </w:p>
        </w:tc>
        <w:tc>
          <w:tcPr>
            <w:tcW w:type="dxa" w:w="3249"/>
            <w:vAlign w:val="center"/>
          </w:tcPr>
          <w:p>
            <w:pPr>
              <w:spacing w:after="60" w:before="60"/>
            </w:pPr>
            <w:r>
              <w:t>Frontend posted to wrong backend path during duplicated route phase</w:t>
            </w:r>
          </w:p>
        </w:tc>
        <w:tc>
          <w:tcPr>
            <w:tcW w:type="dxa" w:w="3249"/>
            <w:vAlign w:val="center"/>
          </w:tcPr>
          <w:p>
            <w:pPr>
              <w:spacing w:after="60" w:before="60"/>
            </w:pPr>
            <w:r>
              <w:t>Temporarily matched /api/v1/query/query, then cleaned backend route to /api/v1/query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60" w:before="60"/>
            </w:pPr>
            <w:r>
              <w:t>Reasoning layer kept collapsing to fallback sentence</w:t>
            </w:r>
          </w:p>
        </w:tc>
        <w:tc>
          <w:tcPr>
            <w:tcW w:type="dxa" w:w="3249"/>
            <w:vAlign w:val="center"/>
          </w:tcPr>
          <w:p>
            <w:pPr>
              <w:spacing w:after="60" w:before="60"/>
            </w:pPr>
            <w:r>
              <w:t>OpenAI client in reasoning_service.py did not receive API key from backend settings</w:t>
            </w:r>
          </w:p>
        </w:tc>
        <w:tc>
          <w:tcPr>
            <w:tcW w:type="dxa" w:w="3249"/>
            <w:vAlign w:val="center"/>
          </w:tcPr>
          <w:p>
            <w:pPr>
              <w:spacing w:after="60" w:before="60"/>
            </w:pPr>
            <w:r>
              <w:t>Switched to get_settings().openai_api_key instead of relying on raw os.getenv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60" w:before="60"/>
            </w:pPr>
            <w:r>
              <w:t>Subclass 500 message falsely claimed 500 was unsupported</w:t>
            </w:r>
          </w:p>
        </w:tc>
        <w:tc>
          <w:tcPr>
            <w:tcW w:type="dxa" w:w="3249"/>
            <w:vAlign w:val="center"/>
          </w:tcPr>
          <w:p>
            <w:pPr>
              <w:spacing w:after="60" w:before="60"/>
            </w:pPr>
            <w:r>
              <w:t>Insufficient-answer wording always blamed the specific marker if one existed</w:t>
            </w:r>
          </w:p>
        </w:tc>
        <w:tc>
          <w:tcPr>
            <w:tcW w:type="dxa" w:w="3249"/>
            <w:vAlign w:val="center"/>
          </w:tcPr>
          <w:p>
            <w:pPr>
              <w:spacing w:after="60" w:before="60"/>
            </w:pPr>
            <w:r>
              <w:t>Adjusted wording logic so unsupported marker text appears only when the real failure reason is marker-specific</w:t>
            </w:r>
          </w:p>
        </w:tc>
      </w:tr>
    </w:tbl>
    <w:p>
      <w:pPr>
        <w:pStyle w:val="Heading1"/>
      </w:pPr>
      <w:r>
        <w:t>4. Reasoning-Service Evolution and Final State at the End of the Week</w:t>
      </w:r>
    </w:p>
    <w:p>
      <w:pPr/>
      <w:r>
        <w:t>The reasoning layer changed several times during the conversation.</w:t>
      </w:r>
    </w:p>
    <w:p>
      <w:pPr/>
      <w:r>
        <w:t>First, it moved from a Week 1 conservative stub to a grounded LLM answerer.</w:t>
      </w:r>
    </w:p>
    <w:p>
      <w:pPr/>
      <w:r>
        <w:t>Then it was redesigned into a stricter two-stage system: (1) extract evidence into structured JSON and (2) synthesize the final answer only from supported facts.</w:t>
      </w:r>
    </w:p>
    <w:p>
      <w:pPr/>
      <w:r>
        <w:t>The intent was to prevent the LLM from deciding everything in one shot and to make evidence-bounded answering the core rule.</w:t>
      </w:r>
    </w:p>
    <w:p>
      <w:pPr/>
      <w:r>
        <w:t>However, this stricter version initially appeared to fail constantly, especially for questions like “My student visa was refused. What should I do next?” and “My student visa subclass is 500.”</w:t>
      </w:r>
    </w:p>
    <w:p>
      <w:pPr/>
      <w:r>
        <w:t>After inspection, the real cause was not the legal logic itself but the missing OpenAI client key in the backend reasoning process. Once the client was changed to use get_settings().openai_api_key, the reasoning layer began to work properly.</w:t>
      </w:r>
    </w:p>
    <w:p>
      <w:pPr/>
      <w:r>
        <w:t>The final behavior at the end of the week was improved but still intentionally cautious: unsupported specificity such as Subclass 485 should trigger abstention or consultation; supported general topics like Student visa refusal and Student visa Subclass 500 now have at least some native authoritative source support.</w:t>
      </w:r>
    </w:p>
    <w:p>
      <w:pPr>
        <w:pStyle w:val="Heading1"/>
      </w:pPr>
      <w:r>
        <w:t>5. Current System Status at End of Week 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Component</w:t>
            </w:r>
          </w:p>
        </w:tc>
        <w:tc>
          <w:tcPr>
            <w:tcW w:type="dxa" w:w="4873"/>
          </w:tcPr>
          <w:p>
            <w:r>
              <w:t>Status</w:t>
            </w:r>
          </w:p>
        </w:tc>
      </w:tr>
      <w:tr>
        <w:tc>
          <w:tcPr>
            <w:tcW w:type="dxa" w:w="4873"/>
          </w:tcPr>
          <w:p>
            <w:r>
              <w:t>PostgreSQL 17 + pgvector</w:t>
            </w:r>
          </w:p>
        </w:tc>
        <w:tc>
          <w:tcPr>
            <w:tcW w:type="dxa" w:w="4873"/>
          </w:tcPr>
          <w:p>
            <w:r>
              <w:t>Working</w:t>
            </w:r>
          </w:p>
        </w:tc>
      </w:tr>
      <w:tr>
        <w:tc>
          <w:tcPr>
            <w:tcW w:type="dxa" w:w="4873"/>
          </w:tcPr>
          <w:p>
            <w:r>
              <w:t>Embedding contract (text-embedding-3-small, 1536-dim)</w:t>
            </w:r>
          </w:p>
        </w:tc>
        <w:tc>
          <w:tcPr>
            <w:tcW w:type="dxa" w:w="4873"/>
          </w:tcPr>
          <w:p>
            <w:r>
              <w:t>Working</w:t>
            </w:r>
          </w:p>
        </w:tc>
      </w:tr>
      <w:tr>
        <w:tc>
          <w:tcPr>
            <w:tcW w:type="dxa" w:w="4873"/>
          </w:tcPr>
          <w:p>
            <w:r>
              <w:t>Curated ingestion pipeline</w:t>
            </w:r>
          </w:p>
        </w:tc>
        <w:tc>
          <w:tcPr>
            <w:tcW w:type="dxa" w:w="4873"/>
          </w:tcPr>
          <w:p>
            <w:r>
              <w:t>Working</w:t>
            </w:r>
          </w:p>
        </w:tc>
      </w:tr>
      <w:tr>
        <w:tc>
          <w:tcPr>
            <w:tcW w:type="dxa" w:w="4873"/>
          </w:tcPr>
          <w:p>
            <w:r>
              <w:t>Batch embedding pipeline</w:t>
            </w:r>
          </w:p>
        </w:tc>
        <w:tc>
          <w:tcPr>
            <w:tcW w:type="dxa" w:w="4873"/>
          </w:tcPr>
          <w:p>
            <w:r>
              <w:t>Working</w:t>
            </w:r>
          </w:p>
        </w:tc>
      </w:tr>
      <w:tr>
        <w:tc>
          <w:tcPr>
            <w:tcW w:type="dxa" w:w="4873"/>
          </w:tcPr>
          <w:p>
            <w:r>
              <w:t>Hybrid pgvector + keyword retrieval</w:t>
            </w:r>
          </w:p>
        </w:tc>
        <w:tc>
          <w:tcPr>
            <w:tcW w:type="dxa" w:w="4873"/>
          </w:tcPr>
          <w:p>
            <w:r>
              <w:t>Working</w:t>
            </w:r>
          </w:p>
        </w:tc>
      </w:tr>
      <w:tr>
        <w:tc>
          <w:tcPr>
            <w:tcW w:type="dxa" w:w="4873"/>
          </w:tcPr>
          <w:p>
            <w:r>
              <w:t>Grounded LLM reasoning</w:t>
            </w:r>
          </w:p>
        </w:tc>
        <w:tc>
          <w:tcPr>
            <w:tcW w:type="dxa" w:w="4873"/>
          </w:tcPr>
          <w:p>
            <w:r>
              <w:t>Working after API-key fix</w:t>
            </w:r>
          </w:p>
        </w:tc>
      </w:tr>
      <w:tr>
        <w:tc>
          <w:tcPr>
            <w:tcW w:type="dxa" w:w="4873"/>
          </w:tcPr>
          <w:p>
            <w:r>
              <w:t>Matter/Citation persistence</w:t>
            </w:r>
          </w:p>
        </w:tc>
        <w:tc>
          <w:tcPr>
            <w:tcW w:type="dxa" w:w="4873"/>
          </w:tcPr>
          <w:p>
            <w:r>
              <w:t>Working</w:t>
            </w:r>
          </w:p>
        </w:tc>
      </w:tr>
      <w:tr>
        <w:tc>
          <w:tcPr>
            <w:tcW w:type="dxa" w:w="4873"/>
          </w:tcPr>
          <w:p>
            <w:r>
              <w:t>Frontend widget integration</w:t>
            </w:r>
          </w:p>
        </w:tc>
        <w:tc>
          <w:tcPr>
            <w:tcW w:type="dxa" w:w="4873"/>
          </w:tcPr>
          <w:p>
            <w:r>
              <w:t>Working end to end</w:t>
            </w:r>
          </w:p>
        </w:tc>
      </w:tr>
      <w:tr>
        <w:tc>
          <w:tcPr>
            <w:tcW w:type="dxa" w:w="4873"/>
          </w:tcPr>
          <w:p>
            <w:r>
              <w:t>Authoritative native corpus for refusal/cancellation/review</w:t>
            </w:r>
          </w:p>
        </w:tc>
        <w:tc>
          <w:tcPr>
            <w:tcW w:type="dxa" w:w="4873"/>
          </w:tcPr>
          <w:p>
            <w:r>
              <w:t>Partially in place</w:t>
            </w:r>
          </w:p>
        </w:tc>
      </w:tr>
      <w:tr>
        <w:tc>
          <w:tcPr>
            <w:tcW w:type="dxa" w:w="4873"/>
          </w:tcPr>
          <w:p>
            <w:r>
              <w:t>Authoritative native corpus for Student visa Subclass 500</w:t>
            </w:r>
          </w:p>
        </w:tc>
        <w:tc>
          <w:tcPr>
            <w:tcW w:type="dxa" w:w="4873"/>
          </w:tcPr>
          <w:p>
            <w:r>
              <w:t>Partially in place</w:t>
            </w:r>
          </w:p>
        </w:tc>
      </w:tr>
    </w:tbl>
    <w:p>
      <w:pPr>
        <w:pStyle w:val="Heading1"/>
      </w:pPr>
      <w:r>
        <w:t>6. Best Starting Point for the Next Conversation</w:t>
      </w:r>
    </w:p>
    <w:p>
      <w:pPr/>
      <w:r>
        <w:t>The Week 2 objective has been met: the legal-service backend is now a functioning narrow-domain RAG system integrated with the website widget.</w:t>
      </w:r>
    </w:p>
    <w:p>
      <w:pPr/>
      <w:r>
        <w:t>The next conversation should not repeat infrastructure work. It should start from the current working system and focus on answer quality refinement, corpus expansion, or evaluation against representative legal questions.</w:t>
      </w:r>
    </w:p>
    <w:p>
      <w:pPr/>
      <w:r>
        <w:t>A practical immediate continuation would be to keep expanding authoritative native legal content for the highest-value visa categories and common refusal/cancellation scenarios, then observe how retrieval and reasoning quality change.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Week 2 handoff summary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83E6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6609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83E6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