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396B"/>
          <w:sz w:val="46"/>
        </w:rPr>
        <w:t>Combined Design Plan</w:t>
        <w:br/>
        <w:t>Reasoning Layer + Controlled Live Retrieval</w:t>
      </w:r>
    </w:p>
    <w:p>
      <w:pPr>
        <w:pStyle w:val="Subtitle"/>
        <w:jc w:val="center"/>
      </w:pPr>
      <w:r>
        <w:t>Immigration AI project guidance for the next patch</w:t>
      </w:r>
    </w:p>
    <w:tbl>
      <w:tblPr>
        <w:tblW w:type="auto" w:w="0"/>
        <w:jc w:val="center"/>
        <w:tblLayout w:type="fixed"/>
        <w:tblLook w:firstColumn="1" w:firstRow="1" w:lastColumn="0" w:lastRow="0" w:noHBand="0" w:noVBand="1" w:val="04A0"/>
      </w:tblPr>
      <w:tblGrid>
        <w:gridCol w:w="8928"/>
      </w:tblGrid>
      <w:tr>
        <w:tc>
          <w:tcPr>
            <w:tcW w:type="dxa" w:w="9936"/>
            <w:shd w:fill="EAF1FB"/>
            <w:tcMar>
              <w:top w:w="110" w:type="dxa"/>
              <w:start w:w="130" w:type="dxa"/>
              <w:bottom w:w="110" w:type="dxa"/>
              <w:end w:w="130" w:type="dxa"/>
            </w:tcMar>
            <w:vAlign w:val="center"/>
          </w:tcPr>
          <w:p>
            <w:pPr>
              <w:jc w:val="left"/>
            </w:pPr>
            <w:r>
              <w:rPr>
                <w:b/>
                <w:color w:val="1F4E79"/>
                <w:sz w:val="22"/>
              </w:rPr>
              <w:t>Recommendation: use a deterministic state machine as the control backbone, local RAG as the primary evidence source, controlled live retrieval from trusted official domains as fallback, structured JSON between nodes, and hard rules for safety, escalation, and confidence.</w:t>
            </w:r>
          </w:p>
        </w:tc>
      </w:tr>
    </w:tbl>
    <w:p/>
    <w:tbl>
      <w:tblPr>
        <w:tblW w:type="auto" w:w="0"/>
        <w:jc w:val="center"/>
        <w:tblLayout w:type="fixed"/>
        <w:tblLook w:firstColumn="1" w:firstRow="1" w:lastColumn="0" w:lastRow="0" w:noHBand="0" w:noVBand="1" w:val="04A0"/>
      </w:tblPr>
      <w:tblGrid>
        <w:gridCol w:w="2520"/>
        <w:gridCol w:w="6840"/>
      </w:tblGrid>
      <w:tr>
        <w:tc>
          <w:tcPr>
            <w:tcW w:type="dxa" w:w="4968"/>
            <w:tcMar>
              <w:top w:w="80" w:type="dxa"/>
              <w:start w:w="90" w:type="dxa"/>
              <w:bottom w:w="80" w:type="dxa"/>
              <w:end w:w="90" w:type="dxa"/>
            </w:tcMar>
            <w:shd w:fill="F3F6FA"/>
          </w:tcPr>
          <w:p>
            <w:r>
              <w:rPr>
                <w:b/>
                <w:sz w:val="20"/>
              </w:rPr>
              <w:t>Project baseline</w:t>
            </w:r>
          </w:p>
        </w:tc>
        <w:tc>
          <w:tcPr>
            <w:tcW w:type="dxa" w:w="4968"/>
            <w:tcMar>
              <w:top w:w="80" w:type="dxa"/>
              <w:start w:w="90" w:type="dxa"/>
              <w:bottom w:w="80" w:type="dxa"/>
              <w:end w:w="90" w:type="dxa"/>
            </w:tcMar>
          </w:tcPr>
          <w:p>
            <w:r>
              <w:rPr>
                <w:sz w:val="20"/>
              </w:rPr>
              <w:t>Next.js widget + FastAPI legal service + PostgreSQL/pgvector + current multi-turn context persistence.</w:t>
            </w:r>
          </w:p>
        </w:tc>
      </w:tr>
      <w:tr>
        <w:tc>
          <w:tcPr>
            <w:tcW w:type="dxa" w:w="4968"/>
            <w:tcMar>
              <w:top w:w="80" w:type="dxa"/>
              <w:start w:w="90" w:type="dxa"/>
              <w:bottom w:w="80" w:type="dxa"/>
              <w:end w:w="90" w:type="dxa"/>
            </w:tcMar>
            <w:shd w:fill="F3F6FA"/>
          </w:tcPr>
          <w:p>
            <w:r>
              <w:rPr>
                <w:b/>
                <w:sz w:val="20"/>
              </w:rPr>
              <w:t>Primary goal</w:t>
            </w:r>
          </w:p>
        </w:tc>
        <w:tc>
          <w:tcPr>
            <w:tcW w:type="dxa" w:w="4968"/>
            <w:tcMar>
              <w:top w:w="80" w:type="dxa"/>
              <w:start w:w="90" w:type="dxa"/>
              <w:bottom w:w="80" w:type="dxa"/>
              <w:end w:w="90" w:type="dxa"/>
            </w:tcMar>
          </w:tcPr>
          <w:p>
            <w:r>
              <w:rPr>
                <w:sz w:val="20"/>
              </w:rPr>
              <w:t>Design a combined reasoning layer that keeps answers grounded, current, and operationally safe.</w:t>
            </w:r>
          </w:p>
        </w:tc>
      </w:tr>
      <w:tr>
        <w:tc>
          <w:tcPr>
            <w:tcW w:type="dxa" w:w="4968"/>
            <w:tcMar>
              <w:top w:w="80" w:type="dxa"/>
              <w:start w:w="90" w:type="dxa"/>
              <w:bottom w:w="80" w:type="dxa"/>
              <w:end w:w="90" w:type="dxa"/>
            </w:tcMar>
            <w:shd w:fill="F3F6FA"/>
          </w:tcPr>
          <w:p>
            <w:r>
              <w:rPr>
                <w:b/>
                <w:sz w:val="20"/>
              </w:rPr>
              <w:t>Scope of next patch</w:t>
            </w:r>
          </w:p>
        </w:tc>
        <w:tc>
          <w:tcPr>
            <w:tcW w:type="dxa" w:w="4968"/>
            <w:tcMar>
              <w:top w:w="80" w:type="dxa"/>
              <w:start w:w="90" w:type="dxa"/>
              <w:bottom w:w="80" w:type="dxa"/>
              <w:end w:w="90" w:type="dxa"/>
            </w:tcMar>
          </w:tcPr>
          <w:p>
            <w:r>
              <w:rPr>
                <w:sz w:val="20"/>
              </w:rPr>
              <w:t>Workflow/state machine design, live official-source retrieval fallback, JSON contracts, hard rules, and file-level implementation roadmap.</w:t>
            </w:r>
          </w:p>
        </w:tc>
      </w:tr>
    </w:tbl>
    <w:p/>
    <w:p>
      <w:pPr>
        <w:spacing w:after="80"/>
      </w:pPr>
      <w:r>
        <w:rPr>
          <w:color w:val="646464"/>
          <w:sz w:val="18"/>
        </w:rPr>
        <w:t>Prepared as implementation guidance for the next backend patch. The design assumes the current codebase under immigration_ai-main/legal-service.</w:t>
      </w:r>
    </w:p>
    <w:p>
      <w:r>
        <w:br w:type="page"/>
      </w:r>
    </w:p>
    <w:p>
      <w:pPr>
        <w:pStyle w:val="Heading1"/>
      </w:pPr>
      <w:r>
        <w:t>1. Why combine reasoning and live retrieval now</w:t>
      </w:r>
    </w:p>
    <w:p>
      <w:r>
        <w:t>The current system already has three essential ingredients in place: local pgvector retrieval, citation persistence, and backend multi-turn contextualization. What remains weak is the answer-control layer and coverage when the local corpus is thin or too generic. The next patch should therefore combine two ideas instead of treating them separately: (1) a stronger reasoning workflow and (2) controlled live retrieval from trusted official sources.</w:t>
      </w:r>
    </w:p>
    <w:p>
      <w:r>
        <w:t>The design should avoid two extremes. One extreme is a pure if/else system, which becomes brittle and hard to extend. The other is a free-form agent that decides everything with the LLM, which is too unpredictable for an immigration-law assistant. The correct middle ground is a workflow/state machine where the control path is deterministic, while the LLM performs bounded tasks inside specific nodes.</w:t>
      </w:r>
    </w:p>
    <w:p>
      <w:r>
        <w:t>Live retrieval should be part of this workflow, not a separate crawler project first. The system should search locally, judge whether the local evidence is sufficient, and only then fetch a small number of pages from trusted official domains. Court or tribunal cases should be secondary support, not the primary basis for everyday advice.</w:t>
      </w:r>
    </w:p>
    <w:p>
      <w:pPr>
        <w:pStyle w:val="Heading1"/>
      </w:pPr>
      <w:r>
        <w:t>2. Target architecture for this project</w:t>
      </w:r>
    </w:p>
    <w:p>
      <w:r>
        <w:t>The recommended high-level architecture is:</w:t>
      </w:r>
    </w:p>
    <w:p>
      <w:pPr>
        <w:ind w:left="259" w:hanging="230"/>
      </w:pPr>
      <w:r>
        <w:rPr>
          <w:sz w:val="21"/>
        </w:rPr>
        <w:t>• UI / widget layer: Next.js frontend and widget route.</w:t>
      </w:r>
    </w:p>
    <w:p>
      <w:pPr>
        <w:ind w:left="259" w:hanging="230"/>
      </w:pPr>
      <w:r>
        <w:rPr>
          <w:sz w:val="21"/>
        </w:rPr>
        <w:t>• Conversation orchestration: query_service.py loads the matter, contextualizes the latest turn, merges known facts, and drives the workflow.</w:t>
      </w:r>
    </w:p>
    <w:p>
      <w:pPr>
        <w:ind w:left="259" w:hanging="230"/>
      </w:pPr>
      <w:r>
        <w:rPr>
          <w:sz w:val="21"/>
        </w:rPr>
        <w:t>• Local retrieval: retrieval_service.py performs hybrid local retrieval over legal_sources and source_chunks.</w:t>
      </w:r>
    </w:p>
    <w:p>
      <w:pPr>
        <w:ind w:left="259" w:hanging="230"/>
      </w:pPr>
      <w:r>
        <w:rPr>
          <w:sz w:val="21"/>
        </w:rPr>
        <w:t>• Live retrieval fallback: a new live_retrieval_service.py searches and fetches only from allowlisted domains when local evidence is insufficient.</w:t>
      </w:r>
    </w:p>
    <w:p>
      <w:pPr>
        <w:ind w:left="259" w:hanging="230"/>
      </w:pPr>
      <w:r>
        <w:rPr>
          <w:sz w:val="21"/>
        </w:rPr>
        <w:t>• Reasoning workflow: reasoning_service.py is narrowed to bounded reasoning tasks, while a new state-machine layer controls progression across nodes.</w:t>
      </w:r>
    </w:p>
    <w:p>
      <w:pPr>
        <w:ind w:left="259" w:hanging="230"/>
      </w:pPr>
      <w:r>
        <w:rPr>
          <w:sz w:val="21"/>
        </w:rPr>
        <w:t>• Persistence: Matter metadata stores conversation state, carried facts, conversation history, risk flags, and next action.</w:t>
      </w:r>
    </w:p>
    <w:p>
      <w:pPr>
        <w:pStyle w:val="Heading1"/>
      </w:pPr>
      <w:r>
        <w:t>3. Conversation-level state machine</w:t>
      </w:r>
    </w:p>
    <w:p>
      <w:r>
        <w:t>The state machine should live at the Matter level. It controls what stage the conversation is in and what the assistant is allowed to do next.</w:t>
      </w:r>
    </w:p>
    <w:tbl>
      <w:tblPr>
        <w:tblW w:type="auto" w:w="0"/>
        <w:jc w:val="center"/>
        <w:tblLayout w:type="fixed"/>
        <w:tblLook w:firstColumn="1" w:firstRow="1" w:lastColumn="0" w:lastRow="0" w:noHBand="0" w:noVBand="1" w:val="04A0"/>
      </w:tblPr>
      <w:tblGrid>
        <w:gridCol w:w="2232"/>
        <w:gridCol w:w="2952"/>
        <w:gridCol w:w="2232"/>
        <w:gridCol w:w="3024"/>
      </w:tblGrid>
      <w:tr>
        <w:tc>
          <w:tcPr>
            <w:tcW w:type="dxa" w:w="2484"/>
            <w:shd w:fill="D9EAF7"/>
            <w:tcMar>
              <w:top w:w="90" w:type="dxa"/>
              <w:start w:w="90" w:type="dxa"/>
              <w:bottom w:w="90" w:type="dxa"/>
              <w:end w:w="90" w:type="dxa"/>
            </w:tcMar>
            <w:vAlign w:val="center"/>
          </w:tcPr>
          <w:p>
            <w:pPr>
              <w:jc w:val="center"/>
            </w:pPr>
            <w:r>
              <w:rPr>
                <w:b/>
                <w:sz w:val="20"/>
              </w:rPr>
              <w:t>State</w:t>
            </w:r>
          </w:p>
        </w:tc>
        <w:tc>
          <w:tcPr>
            <w:tcW w:type="dxa" w:w="2484"/>
            <w:shd w:fill="D9EAF7"/>
            <w:tcMar>
              <w:top w:w="90" w:type="dxa"/>
              <w:start w:w="90" w:type="dxa"/>
              <w:bottom w:w="90" w:type="dxa"/>
              <w:end w:w="90" w:type="dxa"/>
            </w:tcMar>
            <w:vAlign w:val="center"/>
          </w:tcPr>
          <w:p>
            <w:pPr>
              <w:jc w:val="center"/>
            </w:pPr>
            <w:r>
              <w:rPr>
                <w:b/>
                <w:sz w:val="20"/>
              </w:rPr>
              <w:t>Meaning</w:t>
            </w:r>
          </w:p>
        </w:tc>
        <w:tc>
          <w:tcPr>
            <w:tcW w:type="dxa" w:w="2484"/>
            <w:shd w:fill="D9EAF7"/>
            <w:tcMar>
              <w:top w:w="90" w:type="dxa"/>
              <w:start w:w="90" w:type="dxa"/>
              <w:bottom w:w="90" w:type="dxa"/>
              <w:end w:w="90" w:type="dxa"/>
            </w:tcMar>
            <w:vAlign w:val="center"/>
          </w:tcPr>
          <w:p>
            <w:pPr>
              <w:jc w:val="center"/>
            </w:pPr>
            <w:r>
              <w:rPr>
                <w:b/>
                <w:sz w:val="20"/>
              </w:rPr>
              <w:t>Typical entry</w:t>
            </w:r>
          </w:p>
        </w:tc>
        <w:tc>
          <w:tcPr>
            <w:tcW w:type="dxa" w:w="2484"/>
            <w:shd w:fill="D9EAF7"/>
            <w:tcMar>
              <w:top w:w="90" w:type="dxa"/>
              <w:start w:w="90" w:type="dxa"/>
              <w:bottom w:w="90" w:type="dxa"/>
              <w:end w:w="90" w:type="dxa"/>
            </w:tcMar>
            <w:vAlign w:val="center"/>
          </w:tcPr>
          <w:p>
            <w:pPr>
              <w:jc w:val="center"/>
            </w:pPr>
            <w:r>
              <w:rPr>
                <w:b/>
                <w:sz w:val="20"/>
              </w:rPr>
              <w:t>Typical exit</w:t>
            </w:r>
          </w:p>
        </w:tc>
      </w:tr>
      <w:tr>
        <w:tc>
          <w:tcPr>
            <w:tcW w:type="dxa" w:w="2232"/>
            <w:tcMar>
              <w:top w:w="70" w:type="dxa"/>
              <w:start w:w="80" w:type="dxa"/>
              <w:bottom w:w="70" w:type="dxa"/>
              <w:end w:w="80" w:type="dxa"/>
            </w:tcMar>
            <w:vAlign w:val="center"/>
          </w:tcPr>
          <w:p>
            <w:r>
              <w:rPr>
                <w:b/>
                <w:sz w:val="19"/>
              </w:rPr>
              <w:t>NEW</w:t>
            </w:r>
          </w:p>
        </w:tc>
        <w:tc>
          <w:tcPr>
            <w:tcW w:type="dxa" w:w="2952"/>
            <w:tcMar>
              <w:top w:w="70" w:type="dxa"/>
              <w:start w:w="80" w:type="dxa"/>
              <w:bottom w:w="70" w:type="dxa"/>
              <w:end w:w="80" w:type="dxa"/>
            </w:tcMar>
            <w:vAlign w:val="center"/>
          </w:tcPr>
          <w:p>
            <w:r>
              <w:rPr>
                <w:sz w:val="19"/>
              </w:rPr>
              <w:t>No material facts yet.</w:t>
            </w:r>
          </w:p>
        </w:tc>
        <w:tc>
          <w:tcPr>
            <w:tcW w:type="dxa" w:w="2232"/>
            <w:tcMar>
              <w:top w:w="70" w:type="dxa"/>
              <w:start w:w="80" w:type="dxa"/>
              <w:bottom w:w="70" w:type="dxa"/>
              <w:end w:w="80" w:type="dxa"/>
            </w:tcMar>
            <w:vAlign w:val="center"/>
          </w:tcPr>
          <w:p>
            <w:r>
              <w:rPr>
                <w:sz w:val="19"/>
              </w:rPr>
              <w:t>First turn with only broad issue statement.</w:t>
            </w:r>
          </w:p>
        </w:tc>
        <w:tc>
          <w:tcPr>
            <w:tcW w:type="dxa" w:w="3024"/>
            <w:tcMar>
              <w:top w:w="70" w:type="dxa"/>
              <w:start w:w="80" w:type="dxa"/>
              <w:bottom w:w="70" w:type="dxa"/>
              <w:end w:w="80" w:type="dxa"/>
            </w:tcMar>
            <w:vAlign w:val="center"/>
          </w:tcPr>
          <w:p>
            <w:r>
              <w:rPr>
                <w:sz w:val="19"/>
              </w:rPr>
              <w:t>FACT_GATHERING</w:t>
            </w:r>
          </w:p>
        </w:tc>
      </w:tr>
      <w:tr>
        <w:tc>
          <w:tcPr>
            <w:tcW w:type="dxa" w:w="2232"/>
            <w:tcMar>
              <w:top w:w="70" w:type="dxa"/>
              <w:start w:w="80" w:type="dxa"/>
              <w:bottom w:w="70" w:type="dxa"/>
              <w:end w:w="80" w:type="dxa"/>
            </w:tcMar>
            <w:vAlign w:val="center"/>
          </w:tcPr>
          <w:p>
            <w:r>
              <w:rPr>
                <w:b/>
                <w:sz w:val="19"/>
              </w:rPr>
              <w:t>FACT_GATHERING</w:t>
            </w:r>
          </w:p>
        </w:tc>
        <w:tc>
          <w:tcPr>
            <w:tcW w:type="dxa" w:w="2952"/>
            <w:tcMar>
              <w:top w:w="70" w:type="dxa"/>
              <w:start w:w="80" w:type="dxa"/>
              <w:bottom w:w="70" w:type="dxa"/>
              <w:end w:w="80" w:type="dxa"/>
            </w:tcMar>
            <w:vAlign w:val="center"/>
          </w:tcPr>
          <w:p>
            <w:r>
              <w:rPr>
                <w:sz w:val="19"/>
              </w:rPr>
              <w:t>Collect decisive facts before specific advice.</w:t>
            </w:r>
          </w:p>
        </w:tc>
        <w:tc>
          <w:tcPr>
            <w:tcW w:type="dxa" w:w="2232"/>
            <w:tcMar>
              <w:top w:w="70" w:type="dxa"/>
              <w:start w:w="80" w:type="dxa"/>
              <w:bottom w:w="70" w:type="dxa"/>
              <w:end w:w="80" w:type="dxa"/>
            </w:tcMar>
            <w:vAlign w:val="center"/>
          </w:tcPr>
          <w:p>
            <w:r>
              <w:rPr>
                <w:sz w:val="19"/>
              </w:rPr>
              <w:t>User gives topic but key dates/visa details are missing.</w:t>
            </w:r>
          </w:p>
        </w:tc>
        <w:tc>
          <w:tcPr>
            <w:tcW w:type="dxa" w:w="3024"/>
            <w:tcMar>
              <w:top w:w="70" w:type="dxa"/>
              <w:start w:w="80" w:type="dxa"/>
              <w:bottom w:w="70" w:type="dxa"/>
              <w:end w:w="80" w:type="dxa"/>
            </w:tcMar>
            <w:vAlign w:val="center"/>
          </w:tcPr>
          <w:p>
            <w:r>
              <w:rPr>
                <w:sz w:val="19"/>
              </w:rPr>
              <w:t>READY_FOR_ANALYSIS or FOLLOW_UP_PENDING</w:t>
            </w:r>
          </w:p>
        </w:tc>
      </w:tr>
      <w:tr>
        <w:tc>
          <w:tcPr>
            <w:tcW w:type="dxa" w:w="2232"/>
            <w:tcMar>
              <w:top w:w="70" w:type="dxa"/>
              <w:start w:w="80" w:type="dxa"/>
              <w:bottom w:w="70" w:type="dxa"/>
              <w:end w:w="80" w:type="dxa"/>
            </w:tcMar>
            <w:vAlign w:val="center"/>
          </w:tcPr>
          <w:p>
            <w:r>
              <w:rPr>
                <w:b/>
                <w:sz w:val="19"/>
              </w:rPr>
              <w:t>READY_FOR_ANALYSIS</w:t>
            </w:r>
          </w:p>
        </w:tc>
        <w:tc>
          <w:tcPr>
            <w:tcW w:type="dxa" w:w="2952"/>
            <w:tcMar>
              <w:top w:w="70" w:type="dxa"/>
              <w:start w:w="80" w:type="dxa"/>
              <w:bottom w:w="70" w:type="dxa"/>
              <w:end w:w="80" w:type="dxa"/>
            </w:tcMar>
            <w:vAlign w:val="center"/>
          </w:tcPr>
          <w:p>
            <w:r>
              <w:rPr>
                <w:sz w:val="19"/>
              </w:rPr>
              <w:t>Enough facts are known to retrieve and reason.</w:t>
            </w:r>
          </w:p>
        </w:tc>
        <w:tc>
          <w:tcPr>
            <w:tcW w:type="dxa" w:w="2232"/>
            <w:tcMar>
              <w:top w:w="70" w:type="dxa"/>
              <w:start w:w="80" w:type="dxa"/>
              <w:bottom w:w="70" w:type="dxa"/>
              <w:end w:w="80" w:type="dxa"/>
            </w:tcMar>
            <w:vAlign w:val="center"/>
          </w:tcPr>
          <w:p>
            <w:r>
              <w:rPr>
                <w:sz w:val="19"/>
              </w:rPr>
              <w:t>Core facts known for the operation type.</w:t>
            </w:r>
          </w:p>
        </w:tc>
        <w:tc>
          <w:tcPr>
            <w:tcW w:type="dxa" w:w="3024"/>
            <w:tcMar>
              <w:top w:w="70" w:type="dxa"/>
              <w:start w:w="80" w:type="dxa"/>
              <w:bottom w:w="70" w:type="dxa"/>
              <w:end w:w="80" w:type="dxa"/>
            </w:tcMar>
            <w:vAlign w:val="center"/>
          </w:tcPr>
          <w:p>
            <w:r>
              <w:rPr>
                <w:sz w:val="19"/>
              </w:rPr>
              <w:t>ANSWERED_GENERAL, FOLLOW_UP_PENDING, or ESCALATION_READY</w:t>
            </w:r>
          </w:p>
        </w:tc>
      </w:tr>
      <w:tr>
        <w:tc>
          <w:tcPr>
            <w:tcW w:type="dxa" w:w="2232"/>
            <w:tcMar>
              <w:top w:w="70" w:type="dxa"/>
              <w:start w:w="80" w:type="dxa"/>
              <w:bottom w:w="70" w:type="dxa"/>
              <w:end w:w="80" w:type="dxa"/>
            </w:tcMar>
            <w:vAlign w:val="center"/>
          </w:tcPr>
          <w:p>
            <w:r>
              <w:rPr>
                <w:b/>
                <w:sz w:val="19"/>
              </w:rPr>
              <w:t>ANSWERED_GENERAL</w:t>
            </w:r>
          </w:p>
        </w:tc>
        <w:tc>
          <w:tcPr>
            <w:tcW w:type="dxa" w:w="2952"/>
            <w:tcMar>
              <w:top w:w="70" w:type="dxa"/>
              <w:start w:w="80" w:type="dxa"/>
              <w:bottom w:w="70" w:type="dxa"/>
              <w:end w:w="80" w:type="dxa"/>
            </w:tcMar>
            <w:vAlign w:val="center"/>
          </w:tcPr>
          <w:p>
            <w:r>
              <w:rPr>
                <w:sz w:val="19"/>
              </w:rPr>
              <w:t>General answer provided, but not yet final.</w:t>
            </w:r>
          </w:p>
        </w:tc>
        <w:tc>
          <w:tcPr>
            <w:tcW w:type="dxa" w:w="2232"/>
            <w:tcMar>
              <w:top w:w="70" w:type="dxa"/>
              <w:start w:w="80" w:type="dxa"/>
              <w:bottom w:w="70" w:type="dxa"/>
              <w:end w:w="80" w:type="dxa"/>
            </w:tcMar>
            <w:vAlign w:val="center"/>
          </w:tcPr>
          <w:p>
            <w:r>
              <w:rPr>
                <w:sz w:val="19"/>
              </w:rPr>
              <w:t>Sources support only a cautious or partial answer.</w:t>
            </w:r>
          </w:p>
        </w:tc>
        <w:tc>
          <w:tcPr>
            <w:tcW w:type="dxa" w:w="3024"/>
            <w:tcMar>
              <w:top w:w="70" w:type="dxa"/>
              <w:start w:w="80" w:type="dxa"/>
              <w:bottom w:w="70" w:type="dxa"/>
              <w:end w:w="80" w:type="dxa"/>
            </w:tcMar>
            <w:vAlign w:val="center"/>
          </w:tcPr>
          <w:p>
            <w:r>
              <w:rPr>
                <w:sz w:val="19"/>
              </w:rPr>
              <w:t>FOLLOW_UP_PENDING or ESCALATION_READY</w:t>
            </w:r>
          </w:p>
        </w:tc>
      </w:tr>
      <w:tr>
        <w:tc>
          <w:tcPr>
            <w:tcW w:type="dxa" w:w="2232"/>
            <w:tcMar>
              <w:top w:w="70" w:type="dxa"/>
              <w:start w:w="80" w:type="dxa"/>
              <w:bottom w:w="70" w:type="dxa"/>
              <w:end w:w="80" w:type="dxa"/>
            </w:tcMar>
            <w:vAlign w:val="center"/>
          </w:tcPr>
          <w:p>
            <w:r>
              <w:rPr>
                <w:b/>
                <w:sz w:val="19"/>
              </w:rPr>
              <w:t>FOLLOW_UP_PENDING</w:t>
            </w:r>
          </w:p>
        </w:tc>
        <w:tc>
          <w:tcPr>
            <w:tcW w:type="dxa" w:w="2952"/>
            <w:tcMar>
              <w:top w:w="70" w:type="dxa"/>
              <w:start w:w="80" w:type="dxa"/>
              <w:bottom w:w="70" w:type="dxa"/>
              <w:end w:w="80" w:type="dxa"/>
            </w:tcMar>
            <w:vAlign w:val="center"/>
          </w:tcPr>
          <w:p>
            <w:r>
              <w:rPr>
                <w:sz w:val="19"/>
              </w:rPr>
              <w:t>Targeted follow-up questions have been asked.</w:t>
            </w:r>
          </w:p>
        </w:tc>
        <w:tc>
          <w:tcPr>
            <w:tcW w:type="dxa" w:w="2232"/>
            <w:tcMar>
              <w:top w:w="70" w:type="dxa"/>
              <w:start w:w="80" w:type="dxa"/>
              <w:bottom w:w="70" w:type="dxa"/>
              <w:end w:w="80" w:type="dxa"/>
            </w:tcMar>
            <w:vAlign w:val="center"/>
          </w:tcPr>
          <w:p>
            <w:r>
              <w:rPr>
                <w:sz w:val="19"/>
              </w:rPr>
              <w:t>Decisive facts missing.</w:t>
            </w:r>
          </w:p>
        </w:tc>
        <w:tc>
          <w:tcPr>
            <w:tcW w:type="dxa" w:w="3024"/>
            <w:tcMar>
              <w:top w:w="70" w:type="dxa"/>
              <w:start w:w="80" w:type="dxa"/>
              <w:bottom w:w="70" w:type="dxa"/>
              <w:end w:w="80" w:type="dxa"/>
            </w:tcMar>
            <w:vAlign w:val="center"/>
          </w:tcPr>
          <w:p>
            <w:r>
              <w:rPr>
                <w:sz w:val="19"/>
              </w:rPr>
              <w:t>READY_FOR_ANALYSIS</w:t>
            </w:r>
          </w:p>
        </w:tc>
      </w:tr>
      <w:tr>
        <w:tc>
          <w:tcPr>
            <w:tcW w:type="dxa" w:w="2232"/>
            <w:tcMar>
              <w:top w:w="70" w:type="dxa"/>
              <w:start w:w="80" w:type="dxa"/>
              <w:bottom w:w="70" w:type="dxa"/>
              <w:end w:w="80" w:type="dxa"/>
            </w:tcMar>
            <w:vAlign w:val="center"/>
          </w:tcPr>
          <w:p>
            <w:r>
              <w:rPr>
                <w:b/>
                <w:sz w:val="19"/>
              </w:rPr>
              <w:t>ESCALATION_READY</w:t>
            </w:r>
          </w:p>
        </w:tc>
        <w:tc>
          <w:tcPr>
            <w:tcW w:type="dxa" w:w="2952"/>
            <w:tcMar>
              <w:top w:w="70" w:type="dxa"/>
              <w:start w:w="80" w:type="dxa"/>
              <w:bottom w:w="70" w:type="dxa"/>
              <w:end w:w="80" w:type="dxa"/>
            </w:tcMar>
            <w:vAlign w:val="center"/>
          </w:tcPr>
          <w:p>
            <w:r>
              <w:rPr>
                <w:sz w:val="19"/>
              </w:rPr>
              <w:t>The matter should go to the lawyer / booking flow.</w:t>
            </w:r>
          </w:p>
        </w:tc>
        <w:tc>
          <w:tcPr>
            <w:tcW w:type="dxa" w:w="2232"/>
            <w:tcMar>
              <w:top w:w="70" w:type="dxa"/>
              <w:start w:w="80" w:type="dxa"/>
              <w:bottom w:w="70" w:type="dxa"/>
              <w:end w:w="80" w:type="dxa"/>
            </w:tcMar>
            <w:vAlign w:val="center"/>
          </w:tcPr>
          <w:p>
            <w:r>
              <w:rPr>
                <w:sz w:val="19"/>
              </w:rPr>
              <w:t>High-risk issue, deadline pressure, or unresolved ambiguity.</w:t>
            </w:r>
          </w:p>
        </w:tc>
        <w:tc>
          <w:tcPr>
            <w:tcW w:type="dxa" w:w="3024"/>
            <w:tcMar>
              <w:top w:w="70" w:type="dxa"/>
              <w:start w:w="80" w:type="dxa"/>
              <w:bottom w:w="70" w:type="dxa"/>
              <w:end w:w="80" w:type="dxa"/>
            </w:tcMar>
            <w:vAlign w:val="center"/>
          </w:tcPr>
          <w:p>
            <w:r>
              <w:rPr>
                <w:sz w:val="19"/>
              </w:rPr>
              <w:t>BOOKING_PENDING</w:t>
            </w:r>
          </w:p>
        </w:tc>
      </w:tr>
      <w:tr>
        <w:tc>
          <w:tcPr>
            <w:tcW w:type="dxa" w:w="2232"/>
            <w:tcMar>
              <w:top w:w="70" w:type="dxa"/>
              <w:start w:w="80" w:type="dxa"/>
              <w:bottom w:w="70" w:type="dxa"/>
              <w:end w:w="80" w:type="dxa"/>
            </w:tcMar>
            <w:vAlign w:val="center"/>
          </w:tcPr>
          <w:p>
            <w:r>
              <w:rPr>
                <w:b/>
                <w:sz w:val="19"/>
              </w:rPr>
              <w:t>BOOKING_PENDING</w:t>
            </w:r>
          </w:p>
        </w:tc>
        <w:tc>
          <w:tcPr>
            <w:tcW w:type="dxa" w:w="2952"/>
            <w:tcMar>
              <w:top w:w="70" w:type="dxa"/>
              <w:start w:w="80" w:type="dxa"/>
              <w:bottom w:w="70" w:type="dxa"/>
              <w:end w:w="80" w:type="dxa"/>
            </w:tcMar>
            <w:vAlign w:val="center"/>
          </w:tcPr>
          <w:p>
            <w:r>
              <w:rPr>
                <w:sz w:val="19"/>
              </w:rPr>
              <w:t>Assistant is guiding the user to consultation.</w:t>
            </w:r>
          </w:p>
        </w:tc>
        <w:tc>
          <w:tcPr>
            <w:tcW w:type="dxa" w:w="2232"/>
            <w:tcMar>
              <w:top w:w="70" w:type="dxa"/>
              <w:start w:w="80" w:type="dxa"/>
              <w:bottom w:w="70" w:type="dxa"/>
              <w:end w:w="80" w:type="dxa"/>
            </w:tcMar>
            <w:vAlign w:val="center"/>
          </w:tcPr>
          <w:p>
            <w:r>
              <w:rPr>
                <w:sz w:val="19"/>
              </w:rPr>
              <w:t>Escalation accepted or strongly recommended.</w:t>
            </w:r>
          </w:p>
        </w:tc>
        <w:tc>
          <w:tcPr>
            <w:tcW w:type="dxa" w:w="3024"/>
            <w:tcMar>
              <w:top w:w="70" w:type="dxa"/>
              <w:start w:w="80" w:type="dxa"/>
              <w:bottom w:w="70" w:type="dxa"/>
              <w:end w:w="80" w:type="dxa"/>
            </w:tcMar>
            <w:vAlign w:val="center"/>
          </w:tcPr>
          <w:p>
            <w:r>
              <w:rPr>
                <w:sz w:val="19"/>
              </w:rPr>
              <w:t>CLOSED</w:t>
            </w:r>
          </w:p>
        </w:tc>
      </w:tr>
      <w:tr>
        <w:tc>
          <w:tcPr>
            <w:tcW w:type="dxa" w:w="2232"/>
            <w:tcMar>
              <w:top w:w="70" w:type="dxa"/>
              <w:start w:w="80" w:type="dxa"/>
              <w:bottom w:w="70" w:type="dxa"/>
              <w:end w:w="80" w:type="dxa"/>
            </w:tcMar>
            <w:vAlign w:val="center"/>
          </w:tcPr>
          <w:p>
            <w:r>
              <w:rPr>
                <w:b/>
                <w:sz w:val="19"/>
              </w:rPr>
              <w:t>CLOSED</w:t>
            </w:r>
          </w:p>
        </w:tc>
        <w:tc>
          <w:tcPr>
            <w:tcW w:type="dxa" w:w="2952"/>
            <w:tcMar>
              <w:top w:w="70" w:type="dxa"/>
              <w:start w:w="80" w:type="dxa"/>
              <w:bottom w:w="70" w:type="dxa"/>
              <w:end w:w="80" w:type="dxa"/>
            </w:tcMar>
            <w:vAlign w:val="center"/>
          </w:tcPr>
          <w:p>
            <w:r>
              <w:rPr>
                <w:sz w:val="19"/>
              </w:rPr>
              <w:t>Conversation resolved or handed off.</w:t>
            </w:r>
          </w:p>
        </w:tc>
        <w:tc>
          <w:tcPr>
            <w:tcW w:type="dxa" w:w="2232"/>
            <w:tcMar>
              <w:top w:w="70" w:type="dxa"/>
              <w:start w:w="80" w:type="dxa"/>
              <w:bottom w:w="70" w:type="dxa"/>
              <w:end w:w="80" w:type="dxa"/>
            </w:tcMar>
            <w:vAlign w:val="center"/>
          </w:tcPr>
          <w:p>
            <w:r>
              <w:rPr>
                <w:sz w:val="19"/>
              </w:rPr>
              <w:t>Booking completed or user goal finished.</w:t>
            </w:r>
          </w:p>
        </w:tc>
        <w:tc>
          <w:tcPr>
            <w:tcW w:type="dxa" w:w="3024"/>
            <w:tcMar>
              <w:top w:w="70" w:type="dxa"/>
              <w:start w:w="80" w:type="dxa"/>
              <w:bottom w:w="70" w:type="dxa"/>
              <w:end w:w="80" w:type="dxa"/>
            </w:tcMar>
            <w:vAlign w:val="center"/>
          </w:tcPr>
          <w:p>
            <w:r>
              <w:rPr>
                <w:sz w:val="19"/>
              </w:rPr>
              <w:t>—</w:t>
            </w:r>
          </w:p>
        </w:tc>
      </w:tr>
    </w:tbl>
    <w:p>
      <w:r>
        <w:t>Suggested main transitions: NEW → FACT_GATHERING → READY_FOR_ANALYSIS → ANSWERED_GENERAL / FOLLOW_UP_PENDING / ESCALATION_READY. This should be stored in Matter.metadata_json as conversation_state.</w:t>
      </w:r>
    </w:p>
    <w:p>
      <w:pPr>
        <w:pStyle w:val="Heading1"/>
      </w:pPr>
      <w:r>
        <w:t>4. Turn-level workflow</w:t>
      </w:r>
    </w:p>
    <w:p>
      <w:r>
        <w:t>Each incoming user turn should execute a fixed workflow. This is separate from the long-lived conversation state. The turn workflow is the engine that produces one response while also updating the Matter state for future turns.</w:t>
      </w:r>
    </w:p>
    <w:tbl>
      <w:tblPr>
        <w:tblW w:type="auto" w:w="0"/>
        <w:jc w:val="center"/>
        <w:tblLayout w:type="fixed"/>
        <w:tblLook w:firstColumn="1" w:firstRow="1" w:lastColumn="0" w:lastRow="0" w:noHBand="0" w:noVBand="1" w:val="04A0"/>
      </w:tblPr>
      <w:tblGrid>
        <w:gridCol w:w="936"/>
        <w:gridCol w:w="2664"/>
        <w:gridCol w:w="3456"/>
        <w:gridCol w:w="3312"/>
      </w:tblGrid>
      <w:tr>
        <w:tc>
          <w:tcPr>
            <w:tcW w:type="dxa" w:w="2484"/>
            <w:shd w:fill="D9EAF7"/>
            <w:tcMar>
              <w:top w:w="80" w:type="dxa"/>
              <w:start w:w="90" w:type="dxa"/>
              <w:bottom w:w="80" w:type="dxa"/>
              <w:end w:w="90" w:type="dxa"/>
            </w:tcMar>
            <w:vAlign w:val="center"/>
          </w:tcPr>
          <w:p>
            <w:pPr>
              <w:jc w:val="center"/>
            </w:pPr>
            <w:r>
              <w:rPr>
                <w:b/>
                <w:sz w:val="20"/>
              </w:rPr>
              <w:t>#</w:t>
            </w:r>
          </w:p>
        </w:tc>
        <w:tc>
          <w:tcPr>
            <w:tcW w:type="dxa" w:w="2484"/>
            <w:shd w:fill="D9EAF7"/>
            <w:tcMar>
              <w:top w:w="80" w:type="dxa"/>
              <w:start w:w="90" w:type="dxa"/>
              <w:bottom w:w="80" w:type="dxa"/>
              <w:end w:w="90" w:type="dxa"/>
            </w:tcMar>
            <w:vAlign w:val="center"/>
          </w:tcPr>
          <w:p>
            <w:pPr>
              <w:jc w:val="center"/>
            </w:pPr>
            <w:r>
              <w:rPr>
                <w:b/>
                <w:sz w:val="20"/>
              </w:rPr>
              <w:t>Node</w:t>
            </w:r>
          </w:p>
        </w:tc>
        <w:tc>
          <w:tcPr>
            <w:tcW w:type="dxa" w:w="2484"/>
            <w:shd w:fill="D9EAF7"/>
            <w:tcMar>
              <w:top w:w="80" w:type="dxa"/>
              <w:start w:w="90" w:type="dxa"/>
              <w:bottom w:w="80" w:type="dxa"/>
              <w:end w:w="90" w:type="dxa"/>
            </w:tcMar>
            <w:vAlign w:val="center"/>
          </w:tcPr>
          <w:p>
            <w:pPr>
              <w:jc w:val="center"/>
            </w:pPr>
            <w:r>
              <w:rPr>
                <w:b/>
                <w:sz w:val="20"/>
              </w:rPr>
              <w:t>Purpose</w:t>
            </w:r>
          </w:p>
        </w:tc>
        <w:tc>
          <w:tcPr>
            <w:tcW w:type="dxa" w:w="2484"/>
            <w:shd w:fill="D9EAF7"/>
            <w:tcMar>
              <w:top w:w="80" w:type="dxa"/>
              <w:start w:w="90" w:type="dxa"/>
              <w:bottom w:w="80" w:type="dxa"/>
              <w:end w:w="90" w:type="dxa"/>
            </w:tcMar>
            <w:vAlign w:val="center"/>
          </w:tcPr>
          <w:p>
            <w:pPr>
              <w:jc w:val="center"/>
            </w:pPr>
            <w:r>
              <w:rPr>
                <w:b/>
                <w:sz w:val="20"/>
              </w:rPr>
              <w:t>Main output</w:t>
            </w:r>
          </w:p>
        </w:tc>
      </w:tr>
      <w:tr>
        <w:tc>
          <w:tcPr>
            <w:tcW w:type="dxa" w:w="936"/>
            <w:tcMar>
              <w:top w:w="70" w:type="dxa"/>
              <w:start w:w="80" w:type="dxa"/>
              <w:bottom w:w="70" w:type="dxa"/>
              <w:end w:w="80" w:type="dxa"/>
            </w:tcMar>
            <w:vAlign w:val="center"/>
          </w:tcPr>
          <w:p>
            <w:pPr>
              <w:jc w:val="center"/>
            </w:pPr>
            <w:r>
              <w:rPr>
                <w:sz w:val="18"/>
              </w:rPr>
              <w:t>1</w:t>
            </w:r>
          </w:p>
        </w:tc>
        <w:tc>
          <w:tcPr>
            <w:tcW w:type="dxa" w:w="2664"/>
            <w:tcMar>
              <w:top w:w="70" w:type="dxa"/>
              <w:start w:w="80" w:type="dxa"/>
              <w:bottom w:w="70" w:type="dxa"/>
              <w:end w:w="80" w:type="dxa"/>
            </w:tcMar>
            <w:vAlign w:val="center"/>
          </w:tcPr>
          <w:p>
            <w:r>
              <w:rPr>
                <w:sz w:val="18"/>
              </w:rPr>
              <w:t>contextualize_turn</w:t>
            </w:r>
          </w:p>
        </w:tc>
        <w:tc>
          <w:tcPr>
            <w:tcW w:type="dxa" w:w="3456"/>
            <w:tcMar>
              <w:top w:w="70" w:type="dxa"/>
              <w:start w:w="80" w:type="dxa"/>
              <w:bottom w:w="70" w:type="dxa"/>
              <w:end w:w="80" w:type="dxa"/>
            </w:tcMar>
            <w:vAlign w:val="center"/>
          </w:tcPr>
          <w:p>
            <w:r>
              <w:rPr>
                <w:sz w:val="18"/>
              </w:rPr>
              <w:t>Rewrite the latest user turn into a standalone question using conversation history and carried facts.</w:t>
            </w:r>
          </w:p>
        </w:tc>
        <w:tc>
          <w:tcPr>
            <w:tcW w:type="dxa" w:w="3312"/>
            <w:tcMar>
              <w:top w:w="70" w:type="dxa"/>
              <w:start w:w="80" w:type="dxa"/>
              <w:bottom w:w="70" w:type="dxa"/>
              <w:end w:w="80" w:type="dxa"/>
            </w:tcMar>
            <w:vAlign w:val="center"/>
          </w:tcPr>
          <w:p>
            <w:r>
              <w:rPr>
                <w:sz w:val="18"/>
              </w:rPr>
              <w:t>standalone_question, used_history, carried_facts</w:t>
            </w:r>
          </w:p>
        </w:tc>
      </w:tr>
      <w:tr>
        <w:tc>
          <w:tcPr>
            <w:tcW w:type="dxa" w:w="936"/>
            <w:tcMar>
              <w:top w:w="70" w:type="dxa"/>
              <w:start w:w="80" w:type="dxa"/>
              <w:bottom w:w="70" w:type="dxa"/>
              <w:end w:w="80" w:type="dxa"/>
            </w:tcMar>
            <w:vAlign w:val="center"/>
          </w:tcPr>
          <w:p>
            <w:pPr>
              <w:jc w:val="center"/>
            </w:pPr>
            <w:r>
              <w:rPr>
                <w:sz w:val="18"/>
              </w:rPr>
              <w:t>2</w:t>
            </w:r>
          </w:p>
        </w:tc>
        <w:tc>
          <w:tcPr>
            <w:tcW w:type="dxa" w:w="2664"/>
            <w:tcMar>
              <w:top w:w="70" w:type="dxa"/>
              <w:start w:w="80" w:type="dxa"/>
              <w:bottom w:w="70" w:type="dxa"/>
              <w:end w:w="80" w:type="dxa"/>
            </w:tcMar>
            <w:vAlign w:val="center"/>
          </w:tcPr>
          <w:p>
            <w:r>
              <w:rPr>
                <w:sz w:val="18"/>
              </w:rPr>
              <w:t>classify_issue_and_operation</w:t>
            </w:r>
          </w:p>
        </w:tc>
        <w:tc>
          <w:tcPr>
            <w:tcW w:type="dxa" w:w="3456"/>
            <w:tcMar>
              <w:top w:w="70" w:type="dxa"/>
              <w:start w:w="80" w:type="dxa"/>
              <w:bottom w:w="70" w:type="dxa"/>
              <w:end w:w="80" w:type="dxa"/>
            </w:tcMar>
            <w:vAlign w:val="center"/>
          </w:tcPr>
          <w:p>
            <w:r>
              <w:rPr>
                <w:sz w:val="18"/>
              </w:rPr>
              <w:t>Classify issue_type, visa_type, and operation_type.</w:t>
            </w:r>
          </w:p>
        </w:tc>
        <w:tc>
          <w:tcPr>
            <w:tcW w:type="dxa" w:w="3312"/>
            <w:tcMar>
              <w:top w:w="70" w:type="dxa"/>
              <w:start w:w="80" w:type="dxa"/>
              <w:bottom w:w="70" w:type="dxa"/>
              <w:end w:w="80" w:type="dxa"/>
            </w:tcMar>
            <w:vAlign w:val="center"/>
          </w:tcPr>
          <w:p>
            <w:r>
              <w:rPr>
                <w:sz w:val="18"/>
              </w:rPr>
              <w:t>issue_type, visa_type, operation_type</w:t>
            </w:r>
          </w:p>
        </w:tc>
      </w:tr>
      <w:tr>
        <w:tc>
          <w:tcPr>
            <w:tcW w:type="dxa" w:w="936"/>
            <w:tcMar>
              <w:top w:w="70" w:type="dxa"/>
              <w:start w:w="80" w:type="dxa"/>
              <w:bottom w:w="70" w:type="dxa"/>
              <w:end w:w="80" w:type="dxa"/>
            </w:tcMar>
            <w:vAlign w:val="center"/>
          </w:tcPr>
          <w:p>
            <w:pPr>
              <w:jc w:val="center"/>
            </w:pPr>
            <w:r>
              <w:rPr>
                <w:sz w:val="18"/>
              </w:rPr>
              <w:t>3</w:t>
            </w:r>
          </w:p>
        </w:tc>
        <w:tc>
          <w:tcPr>
            <w:tcW w:type="dxa" w:w="2664"/>
            <w:tcMar>
              <w:top w:w="70" w:type="dxa"/>
              <w:start w:w="80" w:type="dxa"/>
              <w:bottom w:w="70" w:type="dxa"/>
              <w:end w:w="80" w:type="dxa"/>
            </w:tcMar>
            <w:vAlign w:val="center"/>
          </w:tcPr>
          <w:p>
            <w:r>
              <w:rPr>
                <w:sz w:val="18"/>
              </w:rPr>
              <w:t>extract_fact_updates</w:t>
            </w:r>
          </w:p>
        </w:tc>
        <w:tc>
          <w:tcPr>
            <w:tcW w:type="dxa" w:w="3456"/>
            <w:tcMar>
              <w:top w:w="70" w:type="dxa"/>
              <w:start w:w="80" w:type="dxa"/>
              <w:bottom w:w="70" w:type="dxa"/>
              <w:end w:w="80" w:type="dxa"/>
            </w:tcMar>
            <w:vAlign w:val="center"/>
          </w:tcPr>
          <w:p>
            <w:r>
              <w:rPr>
                <w:sz w:val="18"/>
              </w:rPr>
              <w:t>Extract new facts explicitly stated in the latest turn.</w:t>
            </w:r>
          </w:p>
        </w:tc>
        <w:tc>
          <w:tcPr>
            <w:tcW w:type="dxa" w:w="3312"/>
            <w:tcMar>
              <w:top w:w="70" w:type="dxa"/>
              <w:start w:w="80" w:type="dxa"/>
              <w:bottom w:w="70" w:type="dxa"/>
              <w:end w:w="80" w:type="dxa"/>
            </w:tcMar>
            <w:vAlign w:val="center"/>
          </w:tcPr>
          <w:p>
            <w:r>
              <w:rPr>
                <w:sz w:val="18"/>
              </w:rPr>
              <w:t>new_facts, fact_confidence</w:t>
            </w:r>
          </w:p>
        </w:tc>
      </w:tr>
      <w:tr>
        <w:tc>
          <w:tcPr>
            <w:tcW w:type="dxa" w:w="936"/>
            <w:tcMar>
              <w:top w:w="70" w:type="dxa"/>
              <w:start w:w="80" w:type="dxa"/>
              <w:bottom w:w="70" w:type="dxa"/>
              <w:end w:w="80" w:type="dxa"/>
            </w:tcMar>
            <w:vAlign w:val="center"/>
          </w:tcPr>
          <w:p>
            <w:pPr>
              <w:jc w:val="center"/>
            </w:pPr>
            <w:r>
              <w:rPr>
                <w:sz w:val="18"/>
              </w:rPr>
              <w:t>4</w:t>
            </w:r>
          </w:p>
        </w:tc>
        <w:tc>
          <w:tcPr>
            <w:tcW w:type="dxa" w:w="2664"/>
            <w:tcMar>
              <w:top w:w="70" w:type="dxa"/>
              <w:start w:w="80" w:type="dxa"/>
              <w:bottom w:w="70" w:type="dxa"/>
              <w:end w:w="80" w:type="dxa"/>
            </w:tcMar>
            <w:vAlign w:val="center"/>
          </w:tcPr>
          <w:p>
            <w:r>
              <w:rPr>
                <w:sz w:val="18"/>
              </w:rPr>
              <w:t>apply_fact_gate</w:t>
            </w:r>
          </w:p>
        </w:tc>
        <w:tc>
          <w:tcPr>
            <w:tcW w:type="dxa" w:w="3456"/>
            <w:tcMar>
              <w:top w:w="70" w:type="dxa"/>
              <w:start w:w="80" w:type="dxa"/>
              <w:bottom w:w="70" w:type="dxa"/>
              <w:end w:w="80" w:type="dxa"/>
            </w:tcMar>
            <w:vAlign w:val="center"/>
          </w:tcPr>
          <w:p>
            <w:r>
              <w:rPr>
                <w:sz w:val="18"/>
              </w:rPr>
              <w:t>Check whether decisive facts for this operation type are still missing.</w:t>
            </w:r>
          </w:p>
        </w:tc>
        <w:tc>
          <w:tcPr>
            <w:tcW w:type="dxa" w:w="3312"/>
            <w:tcMar>
              <w:top w:w="70" w:type="dxa"/>
              <w:start w:w="80" w:type="dxa"/>
              <w:bottom w:w="70" w:type="dxa"/>
              <w:end w:w="80" w:type="dxa"/>
            </w:tcMar>
            <w:vAlign w:val="center"/>
          </w:tcPr>
          <w:p>
            <w:r>
              <w:rPr>
                <w:sz w:val="18"/>
              </w:rPr>
              <w:t>fact_gate_decision, required_missing_facts</w:t>
            </w:r>
          </w:p>
        </w:tc>
      </w:tr>
      <w:tr>
        <w:tc>
          <w:tcPr>
            <w:tcW w:type="dxa" w:w="936"/>
            <w:tcMar>
              <w:top w:w="70" w:type="dxa"/>
              <w:start w:w="80" w:type="dxa"/>
              <w:bottom w:w="70" w:type="dxa"/>
              <w:end w:w="80" w:type="dxa"/>
            </w:tcMar>
            <w:vAlign w:val="center"/>
          </w:tcPr>
          <w:p>
            <w:pPr>
              <w:jc w:val="center"/>
            </w:pPr>
            <w:r>
              <w:rPr>
                <w:sz w:val="18"/>
              </w:rPr>
              <w:t>5</w:t>
            </w:r>
          </w:p>
        </w:tc>
        <w:tc>
          <w:tcPr>
            <w:tcW w:type="dxa" w:w="2664"/>
            <w:tcMar>
              <w:top w:w="70" w:type="dxa"/>
              <w:start w:w="80" w:type="dxa"/>
              <w:bottom w:w="70" w:type="dxa"/>
              <w:end w:w="80" w:type="dxa"/>
            </w:tcMar>
            <w:vAlign w:val="center"/>
          </w:tcPr>
          <w:p>
            <w:r>
              <w:rPr>
                <w:sz w:val="18"/>
              </w:rPr>
              <w:t>retrieve_local_sources</w:t>
            </w:r>
          </w:p>
        </w:tc>
        <w:tc>
          <w:tcPr>
            <w:tcW w:type="dxa" w:w="3456"/>
            <w:tcMar>
              <w:top w:w="70" w:type="dxa"/>
              <w:start w:w="80" w:type="dxa"/>
              <w:bottom w:w="70" w:type="dxa"/>
              <w:end w:w="80" w:type="dxa"/>
            </w:tcMar>
            <w:vAlign w:val="center"/>
          </w:tcPr>
          <w:p>
            <w:r>
              <w:rPr>
                <w:sz w:val="18"/>
              </w:rPr>
              <w:t>Run local hybrid retrieval over the corpus.</w:t>
            </w:r>
          </w:p>
        </w:tc>
        <w:tc>
          <w:tcPr>
            <w:tcW w:type="dxa" w:w="3312"/>
            <w:tcMar>
              <w:top w:w="70" w:type="dxa"/>
              <w:start w:w="80" w:type="dxa"/>
              <w:bottom w:w="70" w:type="dxa"/>
              <w:end w:w="80" w:type="dxa"/>
            </w:tcMar>
            <w:vAlign w:val="center"/>
          </w:tcPr>
          <w:p>
            <w:r>
              <w:rPr>
                <w:sz w:val="18"/>
              </w:rPr>
              <w:t>retrieved local chunks + debug</w:t>
            </w:r>
          </w:p>
        </w:tc>
      </w:tr>
      <w:tr>
        <w:tc>
          <w:tcPr>
            <w:tcW w:type="dxa" w:w="936"/>
            <w:tcMar>
              <w:top w:w="70" w:type="dxa"/>
              <w:start w:w="80" w:type="dxa"/>
              <w:bottom w:w="70" w:type="dxa"/>
              <w:end w:w="80" w:type="dxa"/>
            </w:tcMar>
            <w:vAlign w:val="center"/>
          </w:tcPr>
          <w:p>
            <w:pPr>
              <w:jc w:val="center"/>
            </w:pPr>
            <w:r>
              <w:rPr>
                <w:sz w:val="18"/>
              </w:rPr>
              <w:t>6</w:t>
            </w:r>
          </w:p>
        </w:tc>
        <w:tc>
          <w:tcPr>
            <w:tcW w:type="dxa" w:w="2664"/>
            <w:tcMar>
              <w:top w:w="70" w:type="dxa"/>
              <w:start w:w="80" w:type="dxa"/>
              <w:bottom w:w="70" w:type="dxa"/>
              <w:end w:w="80" w:type="dxa"/>
            </w:tcMar>
            <w:vAlign w:val="center"/>
          </w:tcPr>
          <w:p>
            <w:r>
              <w:rPr>
                <w:sz w:val="18"/>
              </w:rPr>
              <w:t>judge_local_sufficiency</w:t>
            </w:r>
          </w:p>
        </w:tc>
        <w:tc>
          <w:tcPr>
            <w:tcW w:type="dxa" w:w="3456"/>
            <w:tcMar>
              <w:top w:w="70" w:type="dxa"/>
              <w:start w:w="80" w:type="dxa"/>
              <w:bottom w:w="70" w:type="dxa"/>
              <w:end w:w="80" w:type="dxa"/>
            </w:tcMar>
            <w:vAlign w:val="center"/>
          </w:tcPr>
          <w:p>
            <w:r>
              <w:rPr>
                <w:sz w:val="18"/>
              </w:rPr>
              <w:t>Decide whether local evidence is enough to continue.</w:t>
            </w:r>
          </w:p>
        </w:tc>
        <w:tc>
          <w:tcPr>
            <w:tcW w:type="dxa" w:w="3312"/>
            <w:tcMar>
              <w:top w:w="70" w:type="dxa"/>
              <w:start w:w="80" w:type="dxa"/>
              <w:bottom w:w="70" w:type="dxa"/>
              <w:end w:w="80" w:type="dxa"/>
            </w:tcMar>
            <w:vAlign w:val="center"/>
          </w:tcPr>
          <w:p>
            <w:r>
              <w:rPr>
                <w:sz w:val="18"/>
              </w:rPr>
              <w:t>local_sufficient, need_live_fetch, preferred_domains</w:t>
            </w:r>
          </w:p>
        </w:tc>
      </w:tr>
      <w:tr>
        <w:tc>
          <w:tcPr>
            <w:tcW w:type="dxa" w:w="936"/>
            <w:tcMar>
              <w:top w:w="70" w:type="dxa"/>
              <w:start w:w="80" w:type="dxa"/>
              <w:bottom w:w="70" w:type="dxa"/>
              <w:end w:w="80" w:type="dxa"/>
            </w:tcMar>
            <w:vAlign w:val="center"/>
          </w:tcPr>
          <w:p>
            <w:pPr>
              <w:jc w:val="center"/>
            </w:pPr>
            <w:r>
              <w:rPr>
                <w:sz w:val="18"/>
              </w:rPr>
              <w:t>7</w:t>
            </w:r>
          </w:p>
        </w:tc>
        <w:tc>
          <w:tcPr>
            <w:tcW w:type="dxa" w:w="2664"/>
            <w:tcMar>
              <w:top w:w="70" w:type="dxa"/>
              <w:start w:w="80" w:type="dxa"/>
              <w:bottom w:w="70" w:type="dxa"/>
              <w:end w:w="80" w:type="dxa"/>
            </w:tcMar>
            <w:vAlign w:val="center"/>
          </w:tcPr>
          <w:p>
            <w:r>
              <w:rPr>
                <w:sz w:val="18"/>
              </w:rPr>
              <w:t>retrieve_live_official_sources</w:t>
            </w:r>
          </w:p>
        </w:tc>
        <w:tc>
          <w:tcPr>
            <w:tcW w:type="dxa" w:w="3456"/>
            <w:tcMar>
              <w:top w:w="70" w:type="dxa"/>
              <w:start w:w="80" w:type="dxa"/>
              <w:bottom w:w="70" w:type="dxa"/>
              <w:end w:w="80" w:type="dxa"/>
            </w:tcMar>
            <w:vAlign w:val="center"/>
          </w:tcPr>
          <w:p>
            <w:r>
              <w:rPr>
                <w:sz w:val="18"/>
              </w:rPr>
              <w:t>If needed, search and fetch a small number of allowlisted live pages.</w:t>
            </w:r>
          </w:p>
        </w:tc>
        <w:tc>
          <w:tcPr>
            <w:tcW w:type="dxa" w:w="3312"/>
            <w:tcMar>
              <w:top w:w="70" w:type="dxa"/>
              <w:start w:w="80" w:type="dxa"/>
              <w:bottom w:w="70" w:type="dxa"/>
              <w:end w:w="80" w:type="dxa"/>
            </w:tcMar>
            <w:vAlign w:val="center"/>
          </w:tcPr>
          <w:p>
            <w:r>
              <w:rPr>
                <w:sz w:val="18"/>
              </w:rPr>
              <w:t>live chunks + source metadata</w:t>
            </w:r>
          </w:p>
        </w:tc>
      </w:tr>
      <w:tr>
        <w:tc>
          <w:tcPr>
            <w:tcW w:type="dxa" w:w="936"/>
            <w:tcMar>
              <w:top w:w="70" w:type="dxa"/>
              <w:start w:w="80" w:type="dxa"/>
              <w:bottom w:w="70" w:type="dxa"/>
              <w:end w:w="80" w:type="dxa"/>
            </w:tcMar>
            <w:vAlign w:val="center"/>
          </w:tcPr>
          <w:p>
            <w:pPr>
              <w:jc w:val="center"/>
            </w:pPr>
            <w:r>
              <w:rPr>
                <w:sz w:val="18"/>
              </w:rPr>
              <w:t>8</w:t>
            </w:r>
          </w:p>
        </w:tc>
        <w:tc>
          <w:tcPr>
            <w:tcW w:type="dxa" w:w="2664"/>
            <w:tcMar>
              <w:top w:w="70" w:type="dxa"/>
              <w:start w:w="80" w:type="dxa"/>
              <w:bottom w:w="70" w:type="dxa"/>
              <w:end w:w="80" w:type="dxa"/>
            </w:tcMar>
            <w:vAlign w:val="center"/>
          </w:tcPr>
          <w:p>
            <w:r>
              <w:rPr>
                <w:sz w:val="18"/>
              </w:rPr>
              <w:t>extract_grounded_evidence</w:t>
            </w:r>
          </w:p>
        </w:tc>
        <w:tc>
          <w:tcPr>
            <w:tcW w:type="dxa" w:w="3456"/>
            <w:tcMar>
              <w:top w:w="70" w:type="dxa"/>
              <w:start w:w="80" w:type="dxa"/>
              <w:bottom w:w="70" w:type="dxa"/>
              <w:end w:w="80" w:type="dxa"/>
            </w:tcMar>
            <w:vAlign w:val="center"/>
          </w:tcPr>
          <w:p>
            <w:r>
              <w:rPr>
                <w:sz w:val="18"/>
              </w:rPr>
              <w:t>Bounded LLM node that produces supported_facts, unsupported_requests, missing_information, follow_up_questions.</w:t>
            </w:r>
          </w:p>
        </w:tc>
        <w:tc>
          <w:tcPr>
            <w:tcW w:type="dxa" w:w="3312"/>
            <w:tcMar>
              <w:top w:w="70" w:type="dxa"/>
              <w:start w:w="80" w:type="dxa"/>
              <w:bottom w:w="70" w:type="dxa"/>
              <w:end w:w="80" w:type="dxa"/>
            </w:tcMar>
            <w:vAlign w:val="center"/>
          </w:tcPr>
          <w:p>
            <w:r>
              <w:rPr>
                <w:sz w:val="18"/>
              </w:rPr>
              <w:t>EvidencePackage JSON</w:t>
            </w:r>
          </w:p>
        </w:tc>
      </w:tr>
      <w:tr>
        <w:tc>
          <w:tcPr>
            <w:tcW w:type="dxa" w:w="936"/>
            <w:tcMar>
              <w:top w:w="70" w:type="dxa"/>
              <w:start w:w="80" w:type="dxa"/>
              <w:bottom w:w="70" w:type="dxa"/>
              <w:end w:w="80" w:type="dxa"/>
            </w:tcMar>
            <w:vAlign w:val="center"/>
          </w:tcPr>
          <w:p>
            <w:pPr>
              <w:jc w:val="center"/>
            </w:pPr>
            <w:r>
              <w:rPr>
                <w:sz w:val="18"/>
              </w:rPr>
              <w:t>9</w:t>
            </w:r>
          </w:p>
        </w:tc>
        <w:tc>
          <w:tcPr>
            <w:tcW w:type="dxa" w:w="2664"/>
            <w:tcMar>
              <w:top w:w="70" w:type="dxa"/>
              <w:start w:w="80" w:type="dxa"/>
              <w:bottom w:w="70" w:type="dxa"/>
              <w:end w:w="80" w:type="dxa"/>
            </w:tcMar>
            <w:vAlign w:val="center"/>
          </w:tcPr>
          <w:p>
            <w:r>
              <w:rPr>
                <w:sz w:val="18"/>
              </w:rPr>
              <w:t>apply_policy_rules</w:t>
            </w:r>
          </w:p>
        </w:tc>
        <w:tc>
          <w:tcPr>
            <w:tcW w:type="dxa" w:w="3456"/>
            <w:tcMar>
              <w:top w:w="70" w:type="dxa"/>
              <w:start w:w="80" w:type="dxa"/>
              <w:bottom w:w="70" w:type="dxa"/>
              <w:end w:w="80" w:type="dxa"/>
            </w:tcMar>
            <w:vAlign w:val="center"/>
          </w:tcPr>
          <w:p>
            <w:r>
              <w:rPr>
                <w:sz w:val="18"/>
              </w:rPr>
              <w:t>Deterministic rule layer: escalation, confidence cap, answer/ask/booking decision.</w:t>
            </w:r>
          </w:p>
        </w:tc>
        <w:tc>
          <w:tcPr>
            <w:tcW w:type="dxa" w:w="3312"/>
            <w:tcMar>
              <w:top w:w="70" w:type="dxa"/>
              <w:start w:w="80" w:type="dxa"/>
              <w:bottom w:w="70" w:type="dxa"/>
              <w:end w:w="80" w:type="dxa"/>
            </w:tcMar>
            <w:vAlign w:val="center"/>
          </w:tcPr>
          <w:p>
            <w:r>
              <w:rPr>
                <w:sz w:val="18"/>
              </w:rPr>
              <w:t>policy decision</w:t>
            </w:r>
          </w:p>
        </w:tc>
      </w:tr>
      <w:tr>
        <w:tc>
          <w:tcPr>
            <w:tcW w:type="dxa" w:w="936"/>
            <w:tcMar>
              <w:top w:w="70" w:type="dxa"/>
              <w:start w:w="80" w:type="dxa"/>
              <w:bottom w:w="70" w:type="dxa"/>
              <w:end w:w="80" w:type="dxa"/>
            </w:tcMar>
            <w:vAlign w:val="center"/>
          </w:tcPr>
          <w:p>
            <w:pPr>
              <w:jc w:val="center"/>
            </w:pPr>
            <w:r>
              <w:rPr>
                <w:sz w:val="18"/>
              </w:rPr>
              <w:t>10</w:t>
            </w:r>
          </w:p>
        </w:tc>
        <w:tc>
          <w:tcPr>
            <w:tcW w:type="dxa" w:w="2664"/>
            <w:tcMar>
              <w:top w:w="70" w:type="dxa"/>
              <w:start w:w="80" w:type="dxa"/>
              <w:bottom w:w="70" w:type="dxa"/>
              <w:end w:w="80" w:type="dxa"/>
            </w:tcMar>
            <w:vAlign w:val="center"/>
          </w:tcPr>
          <w:p>
            <w:r>
              <w:rPr>
                <w:sz w:val="18"/>
              </w:rPr>
              <w:t>draft_answer</w:t>
            </w:r>
          </w:p>
        </w:tc>
        <w:tc>
          <w:tcPr>
            <w:tcW w:type="dxa" w:w="3456"/>
            <w:tcMar>
              <w:top w:w="70" w:type="dxa"/>
              <w:start w:w="80" w:type="dxa"/>
              <w:bottom w:w="70" w:type="dxa"/>
              <w:end w:w="80" w:type="dxa"/>
            </w:tcMar>
            <w:vAlign w:val="center"/>
          </w:tcPr>
          <w:p>
            <w:r>
              <w:rPr>
                <w:sz w:val="18"/>
              </w:rPr>
              <w:t>Bounded LLM node that formats the answer from the approved evidence package.</w:t>
            </w:r>
          </w:p>
        </w:tc>
        <w:tc>
          <w:tcPr>
            <w:tcW w:type="dxa" w:w="3312"/>
            <w:tcMar>
              <w:top w:w="70" w:type="dxa"/>
              <w:start w:w="80" w:type="dxa"/>
              <w:bottom w:w="70" w:type="dxa"/>
              <w:end w:w="80" w:type="dxa"/>
            </w:tcMar>
            <w:vAlign w:val="center"/>
          </w:tcPr>
          <w:p>
            <w:r>
              <w:rPr>
                <w:sz w:val="18"/>
              </w:rPr>
              <w:t>AnswerPackage JSON</w:t>
            </w:r>
          </w:p>
        </w:tc>
      </w:tr>
      <w:tr>
        <w:tc>
          <w:tcPr>
            <w:tcW w:type="dxa" w:w="936"/>
            <w:tcMar>
              <w:top w:w="70" w:type="dxa"/>
              <w:start w:w="80" w:type="dxa"/>
              <w:bottom w:w="70" w:type="dxa"/>
              <w:end w:w="80" w:type="dxa"/>
            </w:tcMar>
            <w:vAlign w:val="center"/>
          </w:tcPr>
          <w:p>
            <w:pPr>
              <w:jc w:val="center"/>
            </w:pPr>
            <w:r>
              <w:rPr>
                <w:sz w:val="18"/>
              </w:rPr>
              <w:t>11</w:t>
            </w:r>
          </w:p>
        </w:tc>
        <w:tc>
          <w:tcPr>
            <w:tcW w:type="dxa" w:w="2664"/>
            <w:tcMar>
              <w:top w:w="70" w:type="dxa"/>
              <w:start w:w="80" w:type="dxa"/>
              <w:bottom w:w="70" w:type="dxa"/>
              <w:end w:w="80" w:type="dxa"/>
            </w:tcMar>
            <w:vAlign w:val="center"/>
          </w:tcPr>
          <w:p>
            <w:r>
              <w:rPr>
                <w:sz w:val="18"/>
              </w:rPr>
              <w:t>persist_state</w:t>
            </w:r>
          </w:p>
        </w:tc>
        <w:tc>
          <w:tcPr>
            <w:tcW w:type="dxa" w:w="3456"/>
            <w:tcMar>
              <w:top w:w="70" w:type="dxa"/>
              <w:start w:w="80" w:type="dxa"/>
              <w:bottom w:w="70" w:type="dxa"/>
              <w:end w:w="80" w:type="dxa"/>
            </w:tcMar>
            <w:vAlign w:val="center"/>
          </w:tcPr>
          <w:p>
            <w:r>
              <w:rPr>
                <w:sz w:val="18"/>
              </w:rPr>
              <w:t>Write the updated history, carried facts, state, and citations.</w:t>
            </w:r>
          </w:p>
        </w:tc>
        <w:tc>
          <w:tcPr>
            <w:tcW w:type="dxa" w:w="3312"/>
            <w:tcMar>
              <w:top w:w="70" w:type="dxa"/>
              <w:start w:w="80" w:type="dxa"/>
              <w:bottom w:w="70" w:type="dxa"/>
              <w:end w:w="80" w:type="dxa"/>
            </w:tcMar>
            <w:vAlign w:val="center"/>
          </w:tcPr>
          <w:p>
            <w:r>
              <w:rPr>
                <w:sz w:val="18"/>
              </w:rPr>
              <w:t>updated Matter + citations</w:t>
            </w:r>
          </w:p>
        </w:tc>
      </w:tr>
    </w:tbl>
    <w:p>
      <w:r>
        <w:t>This workflow should remain fixed. The LLM does not decide the control path globally; it only performs bounded tasks inside selected nodes.</w:t>
      </w:r>
    </w:p>
    <w:p>
      <w:pPr>
        <w:pStyle w:val="Heading1"/>
      </w:pPr>
      <w:r>
        <w:t>5. Structured JSON design</w:t>
      </w:r>
    </w:p>
    <w:p>
      <w:r>
        <w:t>The workflow should pass structured JSON objects between nodes. This keeps the system auditable, easier to debug, and safer than passing free-form text between every stage.</w:t>
      </w:r>
    </w:p>
    <w:p>
      <w:pPr>
        <w:pStyle w:val="Heading2"/>
      </w:pPr>
      <w:r>
        <w:t>A. Matter state JSON (stored in Matter.metadata_json)</w:t>
      </w:r>
    </w:p>
    <w:tbl>
      <w:tblPr>
        <w:tblW w:type="auto" w:w="0"/>
        <w:jc w:val="center"/>
        <w:tblLayout w:type="fixed"/>
        <w:tblLook w:firstColumn="1" w:firstRow="1" w:lastColumn="0" w:lastRow="0" w:noHBand="0" w:noVBand="1" w:val="04A0"/>
      </w:tblPr>
      <w:tblGrid>
        <w:gridCol w:w="9144"/>
      </w:tblGrid>
      <w:tr>
        <w:tc>
          <w:tcPr>
            <w:tcW w:type="dxa" w:w="9936"/>
            <w:shd w:fill="F7F9FC"/>
            <w:tcMar>
              <w:top w:w="120" w:type="dxa"/>
              <w:start w:w="140" w:type="dxa"/>
              <w:bottom w:w="120" w:type="dxa"/>
              <w:end w:w="140" w:type="dxa"/>
            </w:tcMar>
          </w:tcPr>
          <w:p>
            <w:pPr>
              <w:spacing w:after="0"/>
            </w:pPr>
            <w:r>
              <w:rPr>
                <w:rFonts w:ascii="Consolas" w:hAnsi="Consolas" w:eastAsia="Consolas"/>
                <w:sz w:val="17"/>
              </w:rPr>
              <w:t>{</w:t>
              <w:br/>
              <w:t xml:space="preserve">  "conversation_state": "FACT_GATHERING",</w:t>
              <w:br/>
              <w:t xml:space="preserve">  "issue_type": "student_visa",</w:t>
              <w:br/>
              <w:t xml:space="preserve">  "operation_type": "review_rights",</w:t>
              <w:br/>
              <w:t xml:space="preserve">  "visa_type": "student",</w:t>
              <w:br/>
              <w:t xml:space="preserve">  "carried_intake_facts": {</w:t>
              <w:br/>
              <w:t xml:space="preserve">    "refusal_date": "12 March 2026",</w:t>
              <w:br/>
              <w:t xml:space="preserve">    "notification_date": null,</w:t>
              <w:br/>
              <w:t xml:space="preserve">    "refusal_reason": null</w:t>
              <w:br/>
              <w:t xml:space="preserve">  },</w:t>
              <w:br/>
              <w:t xml:space="preserve">  "risk_flags": {</w:t>
              <w:br/>
              <w:t xml:space="preserve">    "deadline_sensitive": true,</w:t>
              <w:br/>
              <w:t xml:space="preserve">    "cancellation_related": false,</w:t>
              <w:br/>
              <w:t xml:space="preserve">    "character_issue": false</w:t>
              <w:br/>
              <w:t xml:space="preserve">  },</w:t>
              <w:br/>
              <w:t xml:space="preserve">  "latest_question": "Can I still apply for review?",</w:t>
              <w:br/>
              <w:t xml:space="preserve">  "last_contextualized_question": "Can I still apply for review of my student visa refusal that was decided on 12 March 2026?",</w:t>
              <w:br/>
              <w:t xml:space="preserve">  "conversation_history": [...]</w:t>
              <w:br/>
              <w:t>}</w:t>
            </w:r>
          </w:p>
        </w:tc>
      </w:tr>
    </w:tbl>
    <w:p/>
    <w:p>
      <w:pPr>
        <w:pStyle w:val="Heading2"/>
      </w:pPr>
      <w:r>
        <w:t>B. Contextualization output JSON</w:t>
      </w:r>
    </w:p>
    <w:tbl>
      <w:tblPr>
        <w:tblW w:type="auto" w:w="0"/>
        <w:jc w:val="center"/>
        <w:tblLayout w:type="fixed"/>
        <w:tblLook w:firstColumn="1" w:firstRow="1" w:lastColumn="0" w:lastRow="0" w:noHBand="0" w:noVBand="1" w:val="04A0"/>
      </w:tblPr>
      <w:tblGrid>
        <w:gridCol w:w="9144"/>
      </w:tblGrid>
      <w:tr>
        <w:tc>
          <w:tcPr>
            <w:tcW w:type="dxa" w:w="9936"/>
            <w:shd w:fill="F7F9FC"/>
            <w:tcMar>
              <w:top w:w="120" w:type="dxa"/>
              <w:start w:w="140" w:type="dxa"/>
              <w:bottom w:w="120" w:type="dxa"/>
              <w:end w:w="140" w:type="dxa"/>
            </w:tcMar>
          </w:tcPr>
          <w:p>
            <w:pPr>
              <w:spacing w:after="0"/>
            </w:pPr>
            <w:r>
              <w:rPr>
                <w:rFonts w:ascii="Consolas" w:hAnsi="Consolas" w:eastAsia="Consolas"/>
                <w:sz w:val="17"/>
              </w:rPr>
              <w:t>{</w:t>
              <w:br/>
              <w:t xml:space="preserve">  "standalone_question": "Can I still apply for review of my student visa refusal that was decided on 12 March 2026?",</w:t>
              <w:br/>
              <w:t xml:space="preserve">  "used_history": true,</w:t>
              <w:br/>
              <w:t xml:space="preserve">  "reason": "Resolved the latest question against prior refusal context.",</w:t>
              <w:br/>
              <w:t xml:space="preserve">  "carried_facts": {</w:t>
              <w:br/>
              <w:t xml:space="preserve">    "issue_type": "student_visa",</w:t>
              <w:br/>
              <w:t xml:space="preserve">    "visa_type": "student",</w:t>
              <w:br/>
              <w:t xml:space="preserve">    "refusal_date": "12 March 2026"</w:t>
              <w:br/>
              <w:t xml:space="preserve">  }</w:t>
              <w:br/>
              <w:t>}</w:t>
            </w:r>
          </w:p>
        </w:tc>
      </w:tr>
    </w:tbl>
    <w:p/>
    <w:p>
      <w:pPr>
        <w:pStyle w:val="Heading2"/>
      </w:pPr>
      <w:r>
        <w:t>C. Sufficiency gate output JSON</w:t>
      </w:r>
    </w:p>
    <w:tbl>
      <w:tblPr>
        <w:tblW w:type="auto" w:w="0"/>
        <w:jc w:val="center"/>
        <w:tblLayout w:type="fixed"/>
        <w:tblLook w:firstColumn="1" w:firstRow="1" w:lastColumn="0" w:lastRow="0" w:noHBand="0" w:noVBand="1" w:val="04A0"/>
      </w:tblPr>
      <w:tblGrid>
        <w:gridCol w:w="9144"/>
      </w:tblGrid>
      <w:tr>
        <w:tc>
          <w:tcPr>
            <w:tcW w:type="dxa" w:w="9936"/>
            <w:shd w:fill="F7F9FC"/>
            <w:tcMar>
              <w:top w:w="120" w:type="dxa"/>
              <w:start w:w="140" w:type="dxa"/>
              <w:bottom w:w="120" w:type="dxa"/>
              <w:end w:w="140" w:type="dxa"/>
            </w:tcMar>
          </w:tcPr>
          <w:p>
            <w:pPr>
              <w:spacing w:after="0"/>
            </w:pPr>
            <w:r>
              <w:rPr>
                <w:rFonts w:ascii="Consolas" w:hAnsi="Consolas" w:eastAsia="Consolas"/>
                <w:sz w:val="17"/>
              </w:rPr>
              <w:t>{</w:t>
              <w:br/>
              <w:t xml:space="preserve">  "local_sufficient": false,</w:t>
              <w:br/>
              <w:t xml:space="preserve">  "reason": "missing_review_deadline_source",</w:t>
              <w:br/>
              <w:t xml:space="preserve">  "need_live_fetch": true,</w:t>
              <w:br/>
              <w:t xml:space="preserve">  "preferred_domains": ["art.gov.au", "legislation.gov.au"],</w:t>
              <w:br/>
              <w:t xml:space="preserve">  "preferred_source_types": ["procedure", "legislation"]</w:t>
              <w:br/>
              <w:t>}</w:t>
            </w:r>
          </w:p>
        </w:tc>
      </w:tr>
    </w:tbl>
    <w:p/>
    <w:p>
      <w:pPr>
        <w:pStyle w:val="Heading2"/>
      </w:pPr>
      <w:r>
        <w:t>D. Evidence package JSON</w:t>
      </w:r>
    </w:p>
    <w:tbl>
      <w:tblPr>
        <w:tblW w:type="auto" w:w="0"/>
        <w:jc w:val="center"/>
        <w:tblLayout w:type="fixed"/>
        <w:tblLook w:firstColumn="1" w:firstRow="1" w:lastColumn="0" w:lastRow="0" w:noHBand="0" w:noVBand="1" w:val="04A0"/>
      </w:tblPr>
      <w:tblGrid>
        <w:gridCol w:w="9144"/>
      </w:tblGrid>
      <w:tr>
        <w:tc>
          <w:tcPr>
            <w:tcW w:type="dxa" w:w="9936"/>
            <w:shd w:fill="F7F9FC"/>
            <w:tcMar>
              <w:top w:w="120" w:type="dxa"/>
              <w:start w:w="140" w:type="dxa"/>
              <w:bottom w:w="120" w:type="dxa"/>
              <w:end w:w="140" w:type="dxa"/>
            </w:tcMar>
          </w:tcPr>
          <w:p>
            <w:pPr>
              <w:spacing w:after="0"/>
            </w:pPr>
            <w:r>
              <w:rPr>
                <w:rFonts w:ascii="Consolas" w:hAnsi="Consolas" w:eastAsia="Consolas"/>
                <w:sz w:val="17"/>
              </w:rPr>
              <w:t>{</w:t>
              <w:br/>
              <w:t xml:space="preserve">  "is_in_domain": true,</w:t>
              <w:br/>
              <w:t xml:space="preserve">  "is_context_sufficient": false,</w:t>
              <w:br/>
              <w:t xml:space="preserve">  "issue_type": "student_visa",</w:t>
              <w:br/>
              <w:t xml:space="preserve">  "operation_type": "review_rights",</w:t>
              <w:br/>
              <w:t xml:space="preserve">  "supported_facts": [...],</w:t>
              <w:br/>
              <w:t xml:space="preserve">  "unsupported_requests": [...],</w:t>
              <w:br/>
              <w:t xml:space="preserve">  "missing_information": [...],</w:t>
              <w:br/>
              <w:t xml:space="preserve">  "follow_up_questions": [...]</w:t>
              <w:br/>
              <w:t>}</w:t>
            </w:r>
          </w:p>
        </w:tc>
      </w:tr>
    </w:tbl>
    <w:p/>
    <w:p>
      <w:pPr>
        <w:pStyle w:val="Heading2"/>
      </w:pPr>
      <w:r>
        <w:t>E. Answer package JSON</w:t>
      </w:r>
    </w:p>
    <w:tbl>
      <w:tblPr>
        <w:tblW w:type="auto" w:w="0"/>
        <w:jc w:val="center"/>
        <w:tblLayout w:type="fixed"/>
        <w:tblLook w:firstColumn="1" w:firstRow="1" w:lastColumn="0" w:lastRow="0" w:noHBand="0" w:noVBand="1" w:val="04A0"/>
      </w:tblPr>
      <w:tblGrid>
        <w:gridCol w:w="9144"/>
      </w:tblGrid>
      <w:tr>
        <w:tc>
          <w:tcPr>
            <w:tcW w:type="dxa" w:w="9936"/>
            <w:shd w:fill="F7F9FC"/>
            <w:tcMar>
              <w:top w:w="120" w:type="dxa"/>
              <w:start w:w="140" w:type="dxa"/>
              <w:bottom w:w="120" w:type="dxa"/>
              <w:end w:w="140" w:type="dxa"/>
            </w:tcMar>
          </w:tcPr>
          <w:p>
            <w:pPr>
              <w:spacing w:after="0"/>
            </w:pPr>
            <w:r>
              <w:rPr>
                <w:rFonts w:ascii="Consolas" w:hAnsi="Consolas" w:eastAsia="Consolas"/>
                <w:sz w:val="17"/>
              </w:rPr>
              <w:t>{</w:t>
              <w:br/>
              <w:t xml:space="preserve">  "answer_type": "general_guidance",</w:t>
              <w:br/>
              <w:t xml:space="preserve">  "answer": "...",</w:t>
              <w:br/>
              <w:t xml:space="preserve">  "confidence": "low",</w:t>
              <w:br/>
              <w:t xml:space="preserve">  "issue_type": "student_visa",</w:t>
              <w:br/>
              <w:t xml:space="preserve">  "operation_type": "review_rights",</w:t>
              <w:br/>
              <w:t xml:space="preserve">  "escalate": false,</w:t>
              <w:br/>
              <w:t xml:space="preserve">  "next_action": "ask_followup"</w:t>
              <w:br/>
              <w:t>}</w:t>
            </w:r>
          </w:p>
        </w:tc>
      </w:tr>
    </w:tbl>
    <w:p/>
    <w:p>
      <w:pPr>
        <w:pStyle w:val="Heading1"/>
      </w:pPr>
      <w:r>
        <w:t>6. Hard rules</w:t>
      </w:r>
    </w:p>
    <w:p>
      <w:r>
        <w:t>Hard rules are non-negotiable checks outside the LLM. They are the main safety and reliability mechanism. They should control escalation, confidence ceilings, live retrieval triggers, and whether the assistant may give a specific answer at all.</w:t>
      </w:r>
    </w:p>
    <w:tbl>
      <w:tblPr>
        <w:tblW w:type="auto" w:w="0"/>
        <w:jc w:val="center"/>
        <w:tblLayout w:type="fixed"/>
        <w:tblLook w:firstColumn="1" w:firstRow="1" w:lastColumn="0" w:lastRow="0" w:noHBand="0" w:noVBand="1" w:val="04A0"/>
      </w:tblPr>
      <w:tblGrid>
        <w:gridCol w:w="1944"/>
        <w:gridCol w:w="2880"/>
        <w:gridCol w:w="1872"/>
        <w:gridCol w:w="3096"/>
      </w:tblGrid>
      <w:tr>
        <w:tc>
          <w:tcPr>
            <w:tcW w:type="dxa" w:w="2484"/>
            <w:shd w:fill="D9EAF7"/>
            <w:tcMar>
              <w:top w:w="80" w:type="dxa"/>
              <w:start w:w="90" w:type="dxa"/>
              <w:bottom w:w="80" w:type="dxa"/>
              <w:end w:w="90" w:type="dxa"/>
            </w:tcMar>
          </w:tcPr>
          <w:p>
            <w:pPr>
              <w:jc w:val="center"/>
            </w:pPr>
            <w:r>
              <w:rPr>
                <w:b/>
                <w:sz w:val="20"/>
              </w:rPr>
              <w:t>Rule family</w:t>
            </w:r>
          </w:p>
        </w:tc>
        <w:tc>
          <w:tcPr>
            <w:tcW w:type="dxa" w:w="2484"/>
            <w:shd w:fill="D9EAF7"/>
            <w:tcMar>
              <w:top w:w="80" w:type="dxa"/>
              <w:start w:w="90" w:type="dxa"/>
              <w:bottom w:w="80" w:type="dxa"/>
              <w:end w:w="90" w:type="dxa"/>
            </w:tcMar>
          </w:tcPr>
          <w:p>
            <w:pPr>
              <w:jc w:val="center"/>
            </w:pPr>
            <w:r>
              <w:rPr>
                <w:b/>
                <w:sz w:val="20"/>
              </w:rPr>
              <w:t>What it checks</w:t>
            </w:r>
          </w:p>
        </w:tc>
        <w:tc>
          <w:tcPr>
            <w:tcW w:type="dxa" w:w="2484"/>
            <w:shd w:fill="D9EAF7"/>
            <w:tcMar>
              <w:top w:w="80" w:type="dxa"/>
              <w:start w:w="90" w:type="dxa"/>
              <w:bottom w:w="80" w:type="dxa"/>
              <w:end w:w="90" w:type="dxa"/>
            </w:tcMar>
          </w:tcPr>
          <w:p>
            <w:pPr>
              <w:jc w:val="center"/>
            </w:pPr>
            <w:r>
              <w:rPr>
                <w:b/>
                <w:sz w:val="20"/>
              </w:rPr>
              <w:t>Default action</w:t>
            </w:r>
          </w:p>
        </w:tc>
        <w:tc>
          <w:tcPr>
            <w:tcW w:type="dxa" w:w="2484"/>
            <w:shd w:fill="D9EAF7"/>
            <w:tcMar>
              <w:top w:w="80" w:type="dxa"/>
              <w:start w:w="90" w:type="dxa"/>
              <w:bottom w:w="80" w:type="dxa"/>
              <w:end w:w="90" w:type="dxa"/>
            </w:tcMar>
          </w:tcPr>
          <w:p>
            <w:pPr>
              <w:jc w:val="center"/>
            </w:pPr>
            <w:r>
              <w:rPr>
                <w:b/>
                <w:sz w:val="20"/>
              </w:rPr>
              <w:t>Notes</w:t>
            </w:r>
          </w:p>
        </w:tc>
      </w:tr>
      <w:tr>
        <w:tc>
          <w:tcPr>
            <w:tcW w:type="dxa" w:w="1944"/>
            <w:tcMar>
              <w:top w:w="70" w:type="dxa"/>
              <w:start w:w="80" w:type="dxa"/>
              <w:bottom w:w="70" w:type="dxa"/>
              <w:end w:w="80" w:type="dxa"/>
            </w:tcMar>
            <w:vAlign w:val="center"/>
          </w:tcPr>
          <w:p>
            <w:r>
              <w:rPr>
                <w:b/>
                <w:sz w:val="18"/>
              </w:rPr>
              <w:t>Domain gate</w:t>
            </w:r>
          </w:p>
        </w:tc>
        <w:tc>
          <w:tcPr>
            <w:tcW w:type="dxa" w:w="2880"/>
            <w:tcMar>
              <w:top w:w="70" w:type="dxa"/>
              <w:start w:w="80" w:type="dxa"/>
              <w:bottom w:w="70" w:type="dxa"/>
              <w:end w:w="80" w:type="dxa"/>
            </w:tcMar>
            <w:vAlign w:val="center"/>
          </w:tcPr>
          <w:p>
            <w:r>
              <w:rPr>
                <w:sz w:val="18"/>
              </w:rPr>
              <w:t>Question is immigration/legal-service related or not.</w:t>
            </w:r>
          </w:p>
        </w:tc>
        <w:tc>
          <w:tcPr>
            <w:tcW w:type="dxa" w:w="1872"/>
            <w:tcMar>
              <w:top w:w="70" w:type="dxa"/>
              <w:start w:w="80" w:type="dxa"/>
              <w:bottom w:w="70" w:type="dxa"/>
              <w:end w:w="80" w:type="dxa"/>
            </w:tcMar>
            <w:vAlign w:val="center"/>
          </w:tcPr>
          <w:p>
            <w:r>
              <w:rPr>
                <w:sz w:val="18"/>
              </w:rPr>
              <w:t>If out of domain, do not run legal reasoning.</w:t>
            </w:r>
          </w:p>
        </w:tc>
        <w:tc>
          <w:tcPr>
            <w:tcW w:type="dxa" w:w="3096"/>
            <w:tcMar>
              <w:top w:w="70" w:type="dxa"/>
              <w:start w:w="80" w:type="dxa"/>
              <w:bottom w:w="70" w:type="dxa"/>
              <w:end w:w="80" w:type="dxa"/>
            </w:tcMar>
            <w:vAlign w:val="center"/>
          </w:tcPr>
          <w:p>
            <w:r>
              <w:rPr>
                <w:sz w:val="18"/>
              </w:rPr>
              <w:t>Answer generally or redirect.</w:t>
            </w:r>
          </w:p>
        </w:tc>
      </w:tr>
      <w:tr>
        <w:tc>
          <w:tcPr>
            <w:tcW w:type="dxa" w:w="1944"/>
            <w:tcMar>
              <w:top w:w="70" w:type="dxa"/>
              <w:start w:w="80" w:type="dxa"/>
              <w:bottom w:w="70" w:type="dxa"/>
              <w:end w:w="80" w:type="dxa"/>
            </w:tcMar>
            <w:vAlign w:val="center"/>
          </w:tcPr>
          <w:p>
            <w:r>
              <w:rPr>
                <w:b/>
                <w:sz w:val="18"/>
              </w:rPr>
              <w:t>Source gate</w:t>
            </w:r>
          </w:p>
        </w:tc>
        <w:tc>
          <w:tcPr>
            <w:tcW w:type="dxa" w:w="2880"/>
            <w:tcMar>
              <w:top w:w="70" w:type="dxa"/>
              <w:start w:w="80" w:type="dxa"/>
              <w:bottom w:w="70" w:type="dxa"/>
              <w:end w:w="80" w:type="dxa"/>
            </w:tcMar>
            <w:vAlign w:val="center"/>
          </w:tcPr>
          <w:p>
            <w:r>
              <w:rPr>
                <w:sz w:val="18"/>
              </w:rPr>
              <w:t>At least one retrieved source directly supports the operation being answered.</w:t>
            </w:r>
          </w:p>
        </w:tc>
        <w:tc>
          <w:tcPr>
            <w:tcW w:type="dxa" w:w="1872"/>
            <w:tcMar>
              <w:top w:w="70" w:type="dxa"/>
              <w:start w:w="80" w:type="dxa"/>
              <w:bottom w:w="70" w:type="dxa"/>
              <w:end w:w="80" w:type="dxa"/>
            </w:tcMar>
            <w:vAlign w:val="center"/>
          </w:tcPr>
          <w:p>
            <w:r>
              <w:rPr>
                <w:sz w:val="18"/>
              </w:rPr>
              <w:t>If not, ask follow-up or give only general guidance.</w:t>
            </w:r>
          </w:p>
        </w:tc>
        <w:tc>
          <w:tcPr>
            <w:tcW w:type="dxa" w:w="3096"/>
            <w:tcMar>
              <w:top w:w="70" w:type="dxa"/>
              <w:start w:w="80" w:type="dxa"/>
              <w:bottom w:w="70" w:type="dxa"/>
              <w:end w:w="80" w:type="dxa"/>
            </w:tcMar>
            <w:vAlign w:val="center"/>
          </w:tcPr>
          <w:p>
            <w:r>
              <w:rPr>
                <w:sz w:val="18"/>
              </w:rPr>
              <w:t>No specific legal conclusion without supporting authority.</w:t>
            </w:r>
          </w:p>
        </w:tc>
      </w:tr>
      <w:tr>
        <w:tc>
          <w:tcPr>
            <w:tcW w:type="dxa" w:w="1944"/>
            <w:tcMar>
              <w:top w:w="70" w:type="dxa"/>
              <w:start w:w="80" w:type="dxa"/>
              <w:bottom w:w="70" w:type="dxa"/>
              <w:end w:w="80" w:type="dxa"/>
            </w:tcMar>
            <w:vAlign w:val="center"/>
          </w:tcPr>
          <w:p>
            <w:r>
              <w:rPr>
                <w:b/>
                <w:sz w:val="18"/>
              </w:rPr>
              <w:t>Missing-fact gate</w:t>
            </w:r>
          </w:p>
        </w:tc>
        <w:tc>
          <w:tcPr>
            <w:tcW w:type="dxa" w:w="2880"/>
            <w:tcMar>
              <w:top w:w="70" w:type="dxa"/>
              <w:start w:w="80" w:type="dxa"/>
              <w:bottom w:w="70" w:type="dxa"/>
              <w:end w:w="80" w:type="dxa"/>
            </w:tcMar>
            <w:vAlign w:val="center"/>
          </w:tcPr>
          <w:p>
            <w:r>
              <w:rPr>
                <w:sz w:val="18"/>
              </w:rPr>
              <w:t>Decisive facts required for the operation type are known.</w:t>
            </w:r>
          </w:p>
        </w:tc>
        <w:tc>
          <w:tcPr>
            <w:tcW w:type="dxa" w:w="1872"/>
            <w:tcMar>
              <w:top w:w="70" w:type="dxa"/>
              <w:start w:w="80" w:type="dxa"/>
              <w:bottom w:w="70" w:type="dxa"/>
              <w:end w:w="80" w:type="dxa"/>
            </w:tcMar>
            <w:vAlign w:val="center"/>
          </w:tcPr>
          <w:p>
            <w:r>
              <w:rPr>
                <w:sz w:val="18"/>
              </w:rPr>
              <w:t>If missing, ask follow-up questions.</w:t>
            </w:r>
          </w:p>
        </w:tc>
        <w:tc>
          <w:tcPr>
            <w:tcW w:type="dxa" w:w="3096"/>
            <w:tcMar>
              <w:top w:w="70" w:type="dxa"/>
              <w:start w:w="80" w:type="dxa"/>
              <w:bottom w:w="70" w:type="dxa"/>
              <w:end w:w="80" w:type="dxa"/>
            </w:tcMar>
            <w:vAlign w:val="center"/>
          </w:tcPr>
          <w:p>
            <w:r>
              <w:rPr>
                <w:sz w:val="18"/>
              </w:rPr>
              <w:t>Examples: notification date, subclass, onshore/offshore, detention status.</w:t>
            </w:r>
          </w:p>
        </w:tc>
      </w:tr>
      <w:tr>
        <w:tc>
          <w:tcPr>
            <w:tcW w:type="dxa" w:w="1944"/>
            <w:tcMar>
              <w:top w:w="70" w:type="dxa"/>
              <w:start w:w="80" w:type="dxa"/>
              <w:bottom w:w="70" w:type="dxa"/>
              <w:end w:w="80" w:type="dxa"/>
            </w:tcMar>
            <w:vAlign w:val="center"/>
          </w:tcPr>
          <w:p>
            <w:r>
              <w:rPr>
                <w:b/>
                <w:sz w:val="18"/>
              </w:rPr>
              <w:t>Deadline-sensitive gate</w:t>
            </w:r>
          </w:p>
        </w:tc>
        <w:tc>
          <w:tcPr>
            <w:tcW w:type="dxa" w:w="2880"/>
            <w:tcMar>
              <w:top w:w="70" w:type="dxa"/>
              <w:start w:w="80" w:type="dxa"/>
              <w:bottom w:w="70" w:type="dxa"/>
              <w:end w:w="80" w:type="dxa"/>
            </w:tcMar>
            <w:vAlign w:val="center"/>
          </w:tcPr>
          <w:p>
            <w:r>
              <w:rPr>
                <w:sz w:val="18"/>
              </w:rPr>
              <w:t>Review/cancellation/detention/time-limit matters.</w:t>
            </w:r>
          </w:p>
        </w:tc>
        <w:tc>
          <w:tcPr>
            <w:tcW w:type="dxa" w:w="1872"/>
            <w:tcMar>
              <w:top w:w="70" w:type="dxa"/>
              <w:start w:w="80" w:type="dxa"/>
              <w:bottom w:w="70" w:type="dxa"/>
              <w:end w:w="80" w:type="dxa"/>
            </w:tcMar>
            <w:vAlign w:val="center"/>
          </w:tcPr>
          <w:p>
            <w:r>
              <w:rPr>
                <w:sz w:val="18"/>
              </w:rPr>
              <w:t>Force targeted date questions and cap confidence.</w:t>
            </w:r>
          </w:p>
        </w:tc>
        <w:tc>
          <w:tcPr>
            <w:tcW w:type="dxa" w:w="3096"/>
            <w:tcMar>
              <w:top w:w="70" w:type="dxa"/>
              <w:start w:w="80" w:type="dxa"/>
              <w:bottom w:w="70" w:type="dxa"/>
              <w:end w:w="80" w:type="dxa"/>
            </w:tcMar>
            <w:vAlign w:val="center"/>
          </w:tcPr>
          <w:p>
            <w:r>
              <w:rPr>
                <w:sz w:val="18"/>
              </w:rPr>
              <w:t>If time pressure is possible, prefer escalation.</w:t>
            </w:r>
          </w:p>
        </w:tc>
      </w:tr>
      <w:tr>
        <w:tc>
          <w:tcPr>
            <w:tcW w:type="dxa" w:w="1944"/>
            <w:tcMar>
              <w:top w:w="70" w:type="dxa"/>
              <w:start w:w="80" w:type="dxa"/>
              <w:bottom w:w="70" w:type="dxa"/>
              <w:end w:w="80" w:type="dxa"/>
            </w:tcMar>
            <w:vAlign w:val="center"/>
          </w:tcPr>
          <w:p>
            <w:r>
              <w:rPr>
                <w:b/>
                <w:sz w:val="18"/>
              </w:rPr>
              <w:t>Escalation gate</w:t>
            </w:r>
          </w:p>
        </w:tc>
        <w:tc>
          <w:tcPr>
            <w:tcW w:type="dxa" w:w="2880"/>
            <w:tcMar>
              <w:top w:w="70" w:type="dxa"/>
              <w:start w:w="80" w:type="dxa"/>
              <w:bottom w:w="70" w:type="dxa"/>
              <w:end w:w="80" w:type="dxa"/>
            </w:tcMar>
            <w:vAlign w:val="center"/>
          </w:tcPr>
          <w:p>
            <w:r>
              <w:rPr>
                <w:sz w:val="18"/>
              </w:rPr>
              <w:t>High-risk scenarios such as cancellation, detention, character/PIC 4020, or unresolved deadline pressure.</w:t>
            </w:r>
          </w:p>
        </w:tc>
        <w:tc>
          <w:tcPr>
            <w:tcW w:type="dxa" w:w="1872"/>
            <w:tcMar>
              <w:top w:w="70" w:type="dxa"/>
              <w:start w:w="80" w:type="dxa"/>
              <w:bottom w:w="70" w:type="dxa"/>
              <w:end w:w="80" w:type="dxa"/>
            </w:tcMar>
            <w:vAlign w:val="center"/>
          </w:tcPr>
          <w:p>
            <w:r>
              <w:rPr>
                <w:sz w:val="18"/>
              </w:rPr>
              <w:t>Set escalate=true and route toward consultation/booking.</w:t>
            </w:r>
          </w:p>
        </w:tc>
        <w:tc>
          <w:tcPr>
            <w:tcW w:type="dxa" w:w="3096"/>
            <w:tcMar>
              <w:top w:w="70" w:type="dxa"/>
              <w:start w:w="80" w:type="dxa"/>
              <w:bottom w:w="70" w:type="dxa"/>
              <w:end w:w="80" w:type="dxa"/>
            </w:tcMar>
            <w:vAlign w:val="center"/>
          </w:tcPr>
          <w:p>
            <w:r>
              <w:rPr>
                <w:sz w:val="18"/>
              </w:rPr>
              <w:t>This should override a superficially well-formed answer.</w:t>
            </w:r>
          </w:p>
        </w:tc>
      </w:tr>
      <w:tr>
        <w:tc>
          <w:tcPr>
            <w:tcW w:type="dxa" w:w="1944"/>
            <w:tcMar>
              <w:top w:w="70" w:type="dxa"/>
              <w:start w:w="80" w:type="dxa"/>
              <w:bottom w:w="70" w:type="dxa"/>
              <w:end w:w="80" w:type="dxa"/>
            </w:tcMar>
            <w:vAlign w:val="center"/>
          </w:tcPr>
          <w:p>
            <w:r>
              <w:rPr>
                <w:b/>
                <w:sz w:val="18"/>
              </w:rPr>
              <w:t>Confidence gate</w:t>
            </w:r>
          </w:p>
        </w:tc>
        <w:tc>
          <w:tcPr>
            <w:tcW w:type="dxa" w:w="2880"/>
            <w:tcMar>
              <w:top w:w="70" w:type="dxa"/>
              <w:start w:w="80" w:type="dxa"/>
              <w:bottom w:w="70" w:type="dxa"/>
              <w:end w:w="80" w:type="dxa"/>
            </w:tcMar>
            <w:vAlign w:val="center"/>
          </w:tcPr>
          <w:p>
            <w:r>
              <w:rPr>
                <w:sz w:val="18"/>
              </w:rPr>
              <w:t>Whether evidence is complete and specific enough.</w:t>
            </w:r>
          </w:p>
        </w:tc>
        <w:tc>
          <w:tcPr>
            <w:tcW w:type="dxa" w:w="1872"/>
            <w:tcMar>
              <w:top w:w="70" w:type="dxa"/>
              <w:start w:w="80" w:type="dxa"/>
              <w:bottom w:w="70" w:type="dxa"/>
              <w:end w:w="80" w:type="dxa"/>
            </w:tcMar>
            <w:vAlign w:val="center"/>
          </w:tcPr>
          <w:p>
            <w:r>
              <w:rPr>
                <w:sz w:val="18"/>
              </w:rPr>
              <w:t>Cap confidence at low/medium if evidence is partial.</w:t>
            </w:r>
          </w:p>
        </w:tc>
        <w:tc>
          <w:tcPr>
            <w:tcW w:type="dxa" w:w="3096"/>
            <w:tcMar>
              <w:top w:w="70" w:type="dxa"/>
              <w:start w:w="80" w:type="dxa"/>
              <w:bottom w:w="70" w:type="dxa"/>
              <w:end w:w="80" w:type="dxa"/>
            </w:tcMar>
            <w:vAlign w:val="center"/>
          </w:tcPr>
          <w:p>
            <w:r>
              <w:rPr>
                <w:sz w:val="18"/>
              </w:rPr>
              <w:t>Never high confidence when the answer says “general only.”</w:t>
            </w:r>
          </w:p>
        </w:tc>
      </w:tr>
      <w:tr>
        <w:tc>
          <w:tcPr>
            <w:tcW w:type="dxa" w:w="1944"/>
            <w:tcMar>
              <w:top w:w="70" w:type="dxa"/>
              <w:start w:w="80" w:type="dxa"/>
              <w:bottom w:w="70" w:type="dxa"/>
              <w:end w:w="80" w:type="dxa"/>
            </w:tcMar>
            <w:vAlign w:val="center"/>
          </w:tcPr>
          <w:p>
            <w:r>
              <w:rPr>
                <w:b/>
                <w:sz w:val="18"/>
              </w:rPr>
              <w:t>Citation gate</w:t>
            </w:r>
          </w:p>
        </w:tc>
        <w:tc>
          <w:tcPr>
            <w:tcW w:type="dxa" w:w="2880"/>
            <w:tcMar>
              <w:top w:w="70" w:type="dxa"/>
              <w:start w:w="80" w:type="dxa"/>
              <w:bottom w:w="70" w:type="dxa"/>
              <w:end w:w="80" w:type="dxa"/>
            </w:tcMar>
            <w:vAlign w:val="center"/>
          </w:tcPr>
          <w:p>
            <w:r>
              <w:rPr>
                <w:sz w:val="18"/>
              </w:rPr>
              <w:t>Substantive answer must be grounded in citations.</w:t>
            </w:r>
          </w:p>
        </w:tc>
        <w:tc>
          <w:tcPr>
            <w:tcW w:type="dxa" w:w="1872"/>
            <w:tcMar>
              <w:top w:w="70" w:type="dxa"/>
              <w:start w:w="80" w:type="dxa"/>
              <w:bottom w:w="70" w:type="dxa"/>
              <w:end w:w="80" w:type="dxa"/>
            </w:tcMar>
            <w:vAlign w:val="center"/>
          </w:tcPr>
          <w:p>
            <w:r>
              <w:rPr>
                <w:sz w:val="18"/>
              </w:rPr>
              <w:t>If citations are weak, lower confidence or avoid specificity.</w:t>
            </w:r>
          </w:p>
        </w:tc>
        <w:tc>
          <w:tcPr>
            <w:tcW w:type="dxa" w:w="3096"/>
            <w:tcMar>
              <w:top w:w="70" w:type="dxa"/>
              <w:start w:w="80" w:type="dxa"/>
              <w:bottom w:w="70" w:type="dxa"/>
              <w:end w:w="80" w:type="dxa"/>
            </w:tcMar>
            <w:vAlign w:val="center"/>
          </w:tcPr>
          <w:p>
            <w:r>
              <w:rPr>
                <w:sz w:val="18"/>
              </w:rPr>
              <w:t>Court cases should not outrank legislation/guidance.</w:t>
            </w:r>
          </w:p>
        </w:tc>
      </w:tr>
      <w:tr>
        <w:tc>
          <w:tcPr>
            <w:tcW w:type="dxa" w:w="1944"/>
            <w:tcMar>
              <w:top w:w="70" w:type="dxa"/>
              <w:start w:w="80" w:type="dxa"/>
              <w:bottom w:w="70" w:type="dxa"/>
              <w:end w:w="80" w:type="dxa"/>
            </w:tcMar>
            <w:vAlign w:val="center"/>
          </w:tcPr>
          <w:p>
            <w:r>
              <w:rPr>
                <w:b/>
                <w:sz w:val="18"/>
              </w:rPr>
              <w:t>Live retrieval gate</w:t>
            </w:r>
          </w:p>
        </w:tc>
        <w:tc>
          <w:tcPr>
            <w:tcW w:type="dxa" w:w="2880"/>
            <w:tcMar>
              <w:top w:w="70" w:type="dxa"/>
              <w:start w:w="80" w:type="dxa"/>
              <w:bottom w:w="70" w:type="dxa"/>
              <w:end w:w="80" w:type="dxa"/>
            </w:tcMar>
            <w:vAlign w:val="center"/>
          </w:tcPr>
          <w:p>
            <w:r>
              <w:rPr>
                <w:sz w:val="18"/>
              </w:rPr>
              <w:t>Whether local corpus is empty, weak, stale, or off-target.</w:t>
            </w:r>
          </w:p>
        </w:tc>
        <w:tc>
          <w:tcPr>
            <w:tcW w:type="dxa" w:w="1872"/>
            <w:tcMar>
              <w:top w:w="70" w:type="dxa"/>
              <w:start w:w="80" w:type="dxa"/>
              <w:bottom w:w="70" w:type="dxa"/>
              <w:end w:w="80" w:type="dxa"/>
            </w:tcMar>
            <w:vAlign w:val="center"/>
          </w:tcPr>
          <w:p>
            <w:r>
              <w:rPr>
                <w:sz w:val="18"/>
              </w:rPr>
              <w:t>Search allowlisted domains only if needed.</w:t>
            </w:r>
          </w:p>
        </w:tc>
        <w:tc>
          <w:tcPr>
            <w:tcW w:type="dxa" w:w="3096"/>
            <w:tcMar>
              <w:top w:w="70" w:type="dxa"/>
              <w:start w:w="80" w:type="dxa"/>
              <w:bottom w:w="70" w:type="dxa"/>
              <w:end w:w="80" w:type="dxa"/>
            </w:tcMar>
            <w:vAlign w:val="center"/>
          </w:tcPr>
          <w:p>
            <w:r>
              <w:rPr>
                <w:sz w:val="18"/>
              </w:rPr>
              <w:t>Do not live fetch when local evidence is already sufficient.</w:t>
            </w:r>
          </w:p>
        </w:tc>
      </w:tr>
    </w:tbl>
    <w:p>
      <w:r>
        <w:t>Practical note: the confidence gate and escalation gate should be implemented before the lawyer-style answer drafting changes. They deliver immediate quality gains and stop the system from sounding overconfident when the evidence is thin.</w:t>
      </w:r>
    </w:p>
    <w:p>
      <w:pPr>
        <w:pStyle w:val="Heading1"/>
      </w:pPr>
      <w:r>
        <w:t>7. Trusted live retrieval policy</w:t>
      </w:r>
    </w:p>
    <w:p>
      <w:r>
        <w:t>Controlled live retrieval should be official-source first, selective case-law second. This should be implemented as a fallback node in the workflow, not as a broad crawler.</w:t>
      </w:r>
    </w:p>
    <w:tbl>
      <w:tblPr>
        <w:tblW w:type="auto" w:w="0"/>
        <w:jc w:val="center"/>
        <w:tblLayout w:type="fixed"/>
        <w:tblLook w:firstColumn="1" w:firstRow="1" w:lastColumn="0" w:lastRow="0" w:noHBand="0" w:noVBand="1" w:val="04A0"/>
      </w:tblPr>
      <w:tblGrid>
        <w:gridCol w:w="1152"/>
        <w:gridCol w:w="2736"/>
        <w:gridCol w:w="3168"/>
        <w:gridCol w:w="2160"/>
      </w:tblGrid>
      <w:tr>
        <w:tc>
          <w:tcPr>
            <w:tcW w:type="dxa" w:w="2484"/>
            <w:shd w:fill="D9EAF7"/>
            <w:tcMar>
              <w:top w:w="80" w:type="dxa"/>
              <w:start w:w="90" w:type="dxa"/>
              <w:bottom w:w="80" w:type="dxa"/>
              <w:end w:w="90" w:type="dxa"/>
            </w:tcMar>
          </w:tcPr>
          <w:p>
            <w:pPr>
              <w:jc w:val="center"/>
            </w:pPr>
            <w:r>
              <w:rPr>
                <w:b/>
                <w:sz w:val="20"/>
              </w:rPr>
              <w:t>Tier</w:t>
            </w:r>
          </w:p>
        </w:tc>
        <w:tc>
          <w:tcPr>
            <w:tcW w:type="dxa" w:w="2484"/>
            <w:shd w:fill="D9EAF7"/>
            <w:tcMar>
              <w:top w:w="80" w:type="dxa"/>
              <w:start w:w="90" w:type="dxa"/>
              <w:bottom w:w="80" w:type="dxa"/>
              <w:end w:w="90" w:type="dxa"/>
            </w:tcMar>
          </w:tcPr>
          <w:p>
            <w:pPr>
              <w:jc w:val="center"/>
            </w:pPr>
            <w:r>
              <w:rPr>
                <w:b/>
                <w:sz w:val="20"/>
              </w:rPr>
              <w:t>Source class</w:t>
            </w:r>
          </w:p>
        </w:tc>
        <w:tc>
          <w:tcPr>
            <w:tcW w:type="dxa" w:w="2484"/>
            <w:shd w:fill="D9EAF7"/>
            <w:tcMar>
              <w:top w:w="80" w:type="dxa"/>
              <w:start w:w="90" w:type="dxa"/>
              <w:bottom w:w="80" w:type="dxa"/>
              <w:end w:w="90" w:type="dxa"/>
            </w:tcMar>
          </w:tcPr>
          <w:p>
            <w:pPr>
              <w:jc w:val="center"/>
            </w:pPr>
            <w:r>
              <w:rPr>
                <w:b/>
                <w:sz w:val="20"/>
              </w:rPr>
              <w:t>Examples</w:t>
            </w:r>
          </w:p>
        </w:tc>
        <w:tc>
          <w:tcPr>
            <w:tcW w:type="dxa" w:w="2484"/>
            <w:shd w:fill="D9EAF7"/>
            <w:tcMar>
              <w:top w:w="80" w:type="dxa"/>
              <w:start w:w="90" w:type="dxa"/>
              <w:bottom w:w="80" w:type="dxa"/>
              <w:end w:w="90" w:type="dxa"/>
            </w:tcMar>
          </w:tcPr>
          <w:p>
            <w:pPr>
              <w:jc w:val="center"/>
            </w:pPr>
            <w:r>
              <w:rPr>
                <w:b/>
                <w:sz w:val="20"/>
              </w:rPr>
              <w:t>How to use</w:t>
            </w:r>
          </w:p>
        </w:tc>
      </w:tr>
      <w:tr>
        <w:tc>
          <w:tcPr>
            <w:tcW w:type="dxa" w:w="1152"/>
            <w:tcMar>
              <w:top w:w="70" w:type="dxa"/>
              <w:start w:w="80" w:type="dxa"/>
              <w:bottom w:w="70" w:type="dxa"/>
              <w:end w:w="80" w:type="dxa"/>
            </w:tcMar>
          </w:tcPr>
          <w:p>
            <w:pPr>
              <w:jc w:val="center"/>
            </w:pPr>
            <w:r>
              <w:rPr>
                <w:b/>
                <w:sz w:val="18"/>
              </w:rPr>
              <w:t>1</w:t>
            </w:r>
          </w:p>
        </w:tc>
        <w:tc>
          <w:tcPr>
            <w:tcW w:type="dxa" w:w="2736"/>
            <w:tcMar>
              <w:top w:w="70" w:type="dxa"/>
              <w:start w:w="80" w:type="dxa"/>
              <w:bottom w:w="70" w:type="dxa"/>
              <w:end w:w="80" w:type="dxa"/>
            </w:tcMar>
          </w:tcPr>
          <w:p>
            <w:r>
              <w:rPr>
                <w:sz w:val="18"/>
              </w:rPr>
              <w:t>Primary law and official guidance</w:t>
            </w:r>
          </w:p>
        </w:tc>
        <w:tc>
          <w:tcPr>
            <w:tcW w:type="dxa" w:w="3168"/>
            <w:tcMar>
              <w:top w:w="70" w:type="dxa"/>
              <w:start w:w="80" w:type="dxa"/>
              <w:bottom w:w="70" w:type="dxa"/>
              <w:end w:w="80" w:type="dxa"/>
            </w:tcMar>
          </w:tcPr>
          <w:p>
            <w:r>
              <w:rPr>
                <w:sz w:val="18"/>
              </w:rPr>
              <w:t>legislation.gov.au, immi.homeaffairs.gov.au, art.gov.au</w:t>
            </w:r>
          </w:p>
        </w:tc>
        <w:tc>
          <w:tcPr>
            <w:tcW w:type="dxa" w:w="2160"/>
            <w:tcMar>
              <w:top w:w="70" w:type="dxa"/>
              <w:start w:w="80" w:type="dxa"/>
              <w:bottom w:w="70" w:type="dxa"/>
              <w:end w:w="80" w:type="dxa"/>
            </w:tcMar>
          </w:tcPr>
          <w:p>
            <w:r>
              <w:rPr>
                <w:sz w:val="18"/>
              </w:rPr>
              <w:t>Use first for current law, official guidance, and procedures.</w:t>
            </w:r>
          </w:p>
        </w:tc>
      </w:tr>
      <w:tr>
        <w:tc>
          <w:tcPr>
            <w:tcW w:type="dxa" w:w="1152"/>
            <w:tcMar>
              <w:top w:w="70" w:type="dxa"/>
              <w:start w:w="80" w:type="dxa"/>
              <w:bottom w:w="70" w:type="dxa"/>
              <w:end w:w="80" w:type="dxa"/>
            </w:tcMar>
          </w:tcPr>
          <w:p>
            <w:pPr>
              <w:jc w:val="center"/>
            </w:pPr>
            <w:r>
              <w:rPr>
                <w:b/>
                <w:sz w:val="18"/>
              </w:rPr>
              <w:t>2</w:t>
            </w:r>
          </w:p>
        </w:tc>
        <w:tc>
          <w:tcPr>
            <w:tcW w:type="dxa" w:w="2736"/>
            <w:tcMar>
              <w:top w:w="70" w:type="dxa"/>
              <w:start w:w="80" w:type="dxa"/>
              <w:bottom w:w="70" w:type="dxa"/>
              <w:end w:w="80" w:type="dxa"/>
            </w:tcMar>
          </w:tcPr>
          <w:p>
            <w:r>
              <w:rPr>
                <w:sz w:val="18"/>
              </w:rPr>
              <w:t>Federal migration case-law</w:t>
            </w:r>
          </w:p>
        </w:tc>
        <w:tc>
          <w:tcPr>
            <w:tcW w:type="dxa" w:w="3168"/>
            <w:tcMar>
              <w:top w:w="70" w:type="dxa"/>
              <w:start w:w="80" w:type="dxa"/>
              <w:bottom w:w="70" w:type="dxa"/>
              <w:end w:w="80" w:type="dxa"/>
            </w:tcMar>
          </w:tcPr>
          <w:p>
            <w:r>
              <w:rPr>
                <w:sz w:val="18"/>
              </w:rPr>
              <w:t>fedcourt.gov.au migration guide / latest judgments</w:t>
            </w:r>
          </w:p>
        </w:tc>
        <w:tc>
          <w:tcPr>
            <w:tcW w:type="dxa" w:w="2160"/>
            <w:tcMar>
              <w:top w:w="70" w:type="dxa"/>
              <w:start w:w="80" w:type="dxa"/>
              <w:bottom w:w="70" w:type="dxa"/>
              <w:end w:w="80" w:type="dxa"/>
            </w:tcMar>
          </w:tcPr>
          <w:p>
            <w:r>
              <w:rPr>
                <w:sz w:val="18"/>
              </w:rPr>
              <w:t>Use on demand for interpretation or judicial-review style questions.</w:t>
            </w:r>
          </w:p>
        </w:tc>
      </w:tr>
      <w:tr>
        <w:tc>
          <w:tcPr>
            <w:tcW w:type="dxa" w:w="1152"/>
            <w:tcMar>
              <w:top w:w="70" w:type="dxa"/>
              <w:start w:w="80" w:type="dxa"/>
              <w:bottom w:w="70" w:type="dxa"/>
              <w:end w:w="80" w:type="dxa"/>
            </w:tcMar>
          </w:tcPr>
          <w:p>
            <w:pPr>
              <w:jc w:val="center"/>
            </w:pPr>
            <w:r>
              <w:rPr>
                <w:b/>
                <w:sz w:val="18"/>
              </w:rPr>
              <w:t>3</w:t>
            </w:r>
          </w:p>
        </w:tc>
        <w:tc>
          <w:tcPr>
            <w:tcW w:type="dxa" w:w="2736"/>
            <w:tcMar>
              <w:top w:w="70" w:type="dxa"/>
              <w:start w:w="80" w:type="dxa"/>
              <w:bottom w:w="70" w:type="dxa"/>
              <w:end w:w="80" w:type="dxa"/>
            </w:tcMar>
          </w:tcPr>
          <w:p>
            <w:r>
              <w:rPr>
                <w:sz w:val="18"/>
              </w:rPr>
              <w:t>Other case-law sources</w:t>
            </w:r>
          </w:p>
        </w:tc>
        <w:tc>
          <w:tcPr>
            <w:tcW w:type="dxa" w:w="3168"/>
            <w:tcMar>
              <w:top w:w="70" w:type="dxa"/>
              <w:start w:w="80" w:type="dxa"/>
              <w:bottom w:w="70" w:type="dxa"/>
              <w:end w:w="80" w:type="dxa"/>
            </w:tcMar>
          </w:tcPr>
          <w:p>
            <w:r>
              <w:rPr>
                <w:sz w:val="18"/>
              </w:rPr>
              <w:t>Curated or permission-compliant sources only</w:t>
            </w:r>
          </w:p>
        </w:tc>
        <w:tc>
          <w:tcPr>
            <w:tcW w:type="dxa" w:w="2160"/>
            <w:tcMar>
              <w:top w:w="70" w:type="dxa"/>
              <w:start w:w="80" w:type="dxa"/>
              <w:bottom w:w="70" w:type="dxa"/>
              <w:end w:w="80" w:type="dxa"/>
            </w:tcMar>
          </w:tcPr>
          <w:p>
            <w:r>
              <w:rPr>
                <w:sz w:val="18"/>
              </w:rPr>
              <w:t>Use later; do not make open crawling the first move.</w:t>
            </w:r>
          </w:p>
        </w:tc>
      </w:tr>
    </w:tbl>
    <w:p>
      <w:r>
        <w:t>Live retrieval rules for v1: allowlist only trusted official domains, fetch at most 2–4 pages per turn, prefer legislation and official guidance over cases, and treat live cases as interpretive support rather than the main basis for advice.</w:t>
      </w:r>
    </w:p>
    <w:p>
      <w:pPr>
        <w:ind w:left="259" w:hanging="230"/>
      </w:pPr>
      <w:r>
        <w:rPr>
          <w:sz w:val="21"/>
        </w:rPr>
        <w:t>• Use local RAG first. Trigger live retrieval only when the local evidence is missing, clearly too generic, stale, or the user explicitly asks for the latest/current rule.</w:t>
      </w:r>
    </w:p>
    <w:p>
      <w:pPr>
        <w:ind w:left="259" w:hanging="230"/>
      </w:pPr>
      <w:r>
        <w:rPr>
          <w:sz w:val="21"/>
        </w:rPr>
        <w:t>• Treat live pages as ephemeral context for the first version. Cache or ingest them back into the local corpus later, once the retrieval quality is stable.</w:t>
      </w:r>
    </w:p>
    <w:p>
      <w:pPr>
        <w:pStyle w:val="Heading1"/>
      </w:pPr>
      <w:r>
        <w:t>8. File-by-file implementation roadmap</w:t>
      </w:r>
    </w:p>
    <w:p>
      <w:r>
        <w:t>The next patch should be delivered in small, testable increments. The file-level plan below is designed for the current legal-service codebase.</w:t>
      </w:r>
    </w:p>
    <w:tbl>
      <w:tblPr>
        <w:tblW w:type="auto" w:w="0"/>
        <w:jc w:val="center"/>
        <w:tblLayout w:type="fixed"/>
        <w:tblLook w:firstColumn="1" w:firstRow="1" w:lastColumn="0" w:lastRow="0" w:noHBand="0" w:noVBand="1" w:val="04A0"/>
      </w:tblPr>
      <w:tblGrid>
        <w:gridCol w:w="3312"/>
        <w:gridCol w:w="2592"/>
        <w:gridCol w:w="3456"/>
      </w:tblGrid>
      <w:tr>
        <w:tc>
          <w:tcPr>
            <w:tcW w:type="dxa" w:w="3312"/>
            <w:shd w:fill="D9EAF7"/>
            <w:tcMar>
              <w:top w:w="80" w:type="dxa"/>
              <w:start w:w="90" w:type="dxa"/>
              <w:bottom w:w="80" w:type="dxa"/>
              <w:end w:w="90" w:type="dxa"/>
            </w:tcMar>
          </w:tcPr>
          <w:p>
            <w:pPr>
              <w:jc w:val="center"/>
            </w:pPr>
            <w:r>
              <w:rPr>
                <w:b/>
                <w:sz w:val="20"/>
              </w:rPr>
              <w:t>File / module</w:t>
            </w:r>
          </w:p>
        </w:tc>
        <w:tc>
          <w:tcPr>
            <w:tcW w:type="dxa" w:w="3312"/>
            <w:shd w:fill="D9EAF7"/>
            <w:tcMar>
              <w:top w:w="80" w:type="dxa"/>
              <w:start w:w="90" w:type="dxa"/>
              <w:bottom w:w="80" w:type="dxa"/>
              <w:end w:w="90" w:type="dxa"/>
            </w:tcMar>
          </w:tcPr>
          <w:p>
            <w:pPr>
              <w:jc w:val="center"/>
            </w:pPr>
            <w:r>
              <w:rPr>
                <w:b/>
                <w:sz w:val="20"/>
              </w:rPr>
              <w:t>Action</w:t>
            </w:r>
          </w:p>
        </w:tc>
        <w:tc>
          <w:tcPr>
            <w:tcW w:type="dxa" w:w="3312"/>
            <w:shd w:fill="D9EAF7"/>
            <w:tcMar>
              <w:top w:w="80" w:type="dxa"/>
              <w:start w:w="90" w:type="dxa"/>
              <w:bottom w:w="80" w:type="dxa"/>
              <w:end w:w="90" w:type="dxa"/>
            </w:tcMar>
          </w:tcPr>
          <w:p>
            <w:pPr>
              <w:jc w:val="center"/>
            </w:pPr>
            <w:r>
              <w:rPr>
                <w:b/>
                <w:sz w:val="20"/>
              </w:rPr>
              <w:t>Purpose</w:t>
            </w:r>
          </w:p>
        </w:tc>
      </w:tr>
      <w:tr>
        <w:tc>
          <w:tcPr>
            <w:tcW w:type="dxa" w:w="3312"/>
            <w:tcMar>
              <w:top w:w="70" w:type="dxa"/>
              <w:start w:w="80" w:type="dxa"/>
              <w:bottom w:w="70" w:type="dxa"/>
              <w:end w:w="80" w:type="dxa"/>
            </w:tcMar>
          </w:tcPr>
          <w:p>
            <w:r>
              <w:rPr>
                <w:b/>
                <w:sz w:val="18"/>
              </w:rPr>
              <w:t>app/schemas/state.py</w:t>
            </w:r>
          </w:p>
        </w:tc>
        <w:tc>
          <w:tcPr>
            <w:tcW w:type="dxa" w:w="2592"/>
            <w:tcMar>
              <w:top w:w="70" w:type="dxa"/>
              <w:start w:w="80" w:type="dxa"/>
              <w:bottom w:w="70" w:type="dxa"/>
              <w:end w:w="80" w:type="dxa"/>
            </w:tcMar>
          </w:tcPr>
          <w:p>
            <w:r>
              <w:rPr>
                <w:sz w:val="18"/>
              </w:rPr>
              <w:t>Create</w:t>
            </w:r>
          </w:p>
        </w:tc>
        <w:tc>
          <w:tcPr>
            <w:tcW w:type="dxa" w:w="3456"/>
            <w:tcMar>
              <w:top w:w="70" w:type="dxa"/>
              <w:start w:w="80" w:type="dxa"/>
              <w:bottom w:w="70" w:type="dxa"/>
              <w:end w:w="80" w:type="dxa"/>
            </w:tcMar>
          </w:tcPr>
          <w:p>
            <w:r>
              <w:rPr>
                <w:sz w:val="18"/>
              </w:rPr>
              <w:t>Pydantic models for MatterState, TurnContext, SufficiencyGate, EvidencePackage, AnswerPackage.</w:t>
            </w:r>
          </w:p>
        </w:tc>
      </w:tr>
      <w:tr>
        <w:tc>
          <w:tcPr>
            <w:tcW w:type="dxa" w:w="3312"/>
            <w:tcMar>
              <w:top w:w="70" w:type="dxa"/>
              <w:start w:w="80" w:type="dxa"/>
              <w:bottom w:w="70" w:type="dxa"/>
              <w:end w:w="80" w:type="dxa"/>
            </w:tcMar>
          </w:tcPr>
          <w:p>
            <w:r>
              <w:rPr>
                <w:b/>
                <w:sz w:val="18"/>
              </w:rPr>
              <w:t>app/services/state_machine.py</w:t>
            </w:r>
          </w:p>
        </w:tc>
        <w:tc>
          <w:tcPr>
            <w:tcW w:type="dxa" w:w="2592"/>
            <w:tcMar>
              <w:top w:w="70" w:type="dxa"/>
              <w:start w:w="80" w:type="dxa"/>
              <w:bottom w:w="70" w:type="dxa"/>
              <w:end w:w="80" w:type="dxa"/>
            </w:tcMar>
          </w:tcPr>
          <w:p>
            <w:r>
              <w:rPr>
                <w:sz w:val="18"/>
              </w:rPr>
              <w:t>Create</w:t>
            </w:r>
          </w:p>
        </w:tc>
        <w:tc>
          <w:tcPr>
            <w:tcW w:type="dxa" w:w="3456"/>
            <w:tcMar>
              <w:top w:w="70" w:type="dxa"/>
              <w:start w:w="80" w:type="dxa"/>
              <w:bottom w:w="70" w:type="dxa"/>
              <w:end w:w="80" w:type="dxa"/>
            </w:tcMar>
          </w:tcPr>
          <w:p>
            <w:r>
              <w:rPr>
                <w:sz w:val="18"/>
              </w:rPr>
              <w:t>Deterministic orchestration of the node sequence and conversation-state transitions.</w:t>
            </w:r>
          </w:p>
        </w:tc>
      </w:tr>
      <w:tr>
        <w:tc>
          <w:tcPr>
            <w:tcW w:type="dxa" w:w="3312"/>
            <w:tcMar>
              <w:top w:w="70" w:type="dxa"/>
              <w:start w:w="80" w:type="dxa"/>
              <w:bottom w:w="70" w:type="dxa"/>
              <w:end w:w="80" w:type="dxa"/>
            </w:tcMar>
          </w:tcPr>
          <w:p>
            <w:r>
              <w:rPr>
                <w:b/>
                <w:sz w:val="18"/>
              </w:rPr>
              <w:t>app/services/fact_extraction_service.py</w:t>
            </w:r>
          </w:p>
        </w:tc>
        <w:tc>
          <w:tcPr>
            <w:tcW w:type="dxa" w:w="2592"/>
            <w:tcMar>
              <w:top w:w="70" w:type="dxa"/>
              <w:start w:w="80" w:type="dxa"/>
              <w:bottom w:w="70" w:type="dxa"/>
              <w:end w:w="80" w:type="dxa"/>
            </w:tcMar>
          </w:tcPr>
          <w:p>
            <w:r>
              <w:rPr>
                <w:sz w:val="18"/>
              </w:rPr>
              <w:t>Create</w:t>
            </w:r>
          </w:p>
        </w:tc>
        <w:tc>
          <w:tcPr>
            <w:tcW w:type="dxa" w:w="3456"/>
            <w:tcMar>
              <w:top w:w="70" w:type="dxa"/>
              <w:start w:w="80" w:type="dxa"/>
              <w:bottom w:w="70" w:type="dxa"/>
              <w:end w:w="80" w:type="dxa"/>
            </w:tcMar>
          </w:tcPr>
          <w:p>
            <w:r>
              <w:rPr>
                <w:sz w:val="18"/>
              </w:rPr>
              <w:t>Bounded LLM node for issue/operation classification and explicit fact extraction.</w:t>
            </w:r>
          </w:p>
        </w:tc>
      </w:tr>
      <w:tr>
        <w:tc>
          <w:tcPr>
            <w:tcW w:type="dxa" w:w="3312"/>
            <w:tcMar>
              <w:top w:w="70" w:type="dxa"/>
              <w:start w:w="80" w:type="dxa"/>
              <w:bottom w:w="70" w:type="dxa"/>
              <w:end w:w="80" w:type="dxa"/>
            </w:tcMar>
          </w:tcPr>
          <w:p>
            <w:r>
              <w:rPr>
                <w:b/>
                <w:sz w:val="18"/>
              </w:rPr>
              <w:t>app/services/policy_rules.py</w:t>
            </w:r>
          </w:p>
        </w:tc>
        <w:tc>
          <w:tcPr>
            <w:tcW w:type="dxa" w:w="2592"/>
            <w:tcMar>
              <w:top w:w="70" w:type="dxa"/>
              <w:start w:w="80" w:type="dxa"/>
              <w:bottom w:w="70" w:type="dxa"/>
              <w:end w:w="80" w:type="dxa"/>
            </w:tcMar>
          </w:tcPr>
          <w:p>
            <w:r>
              <w:rPr>
                <w:sz w:val="18"/>
              </w:rPr>
              <w:t>Create</w:t>
            </w:r>
          </w:p>
        </w:tc>
        <w:tc>
          <w:tcPr>
            <w:tcW w:type="dxa" w:w="3456"/>
            <w:tcMar>
              <w:top w:w="70" w:type="dxa"/>
              <w:start w:w="80" w:type="dxa"/>
              <w:bottom w:w="70" w:type="dxa"/>
              <w:end w:w="80" w:type="dxa"/>
            </w:tcMar>
          </w:tcPr>
          <w:p>
            <w:r>
              <w:rPr>
                <w:sz w:val="18"/>
              </w:rPr>
              <w:t>Pure Python hard rules for escalation, confidence caps, fact gates, and live-fetch triggers.</w:t>
            </w:r>
          </w:p>
        </w:tc>
      </w:tr>
      <w:tr>
        <w:tc>
          <w:tcPr>
            <w:tcW w:type="dxa" w:w="3312"/>
            <w:tcMar>
              <w:top w:w="70" w:type="dxa"/>
              <w:start w:w="80" w:type="dxa"/>
              <w:bottom w:w="70" w:type="dxa"/>
              <w:end w:w="80" w:type="dxa"/>
            </w:tcMar>
          </w:tcPr>
          <w:p>
            <w:r>
              <w:rPr>
                <w:b/>
                <w:sz w:val="18"/>
              </w:rPr>
              <w:t>app/services/live_retrieval_service.py</w:t>
            </w:r>
          </w:p>
        </w:tc>
        <w:tc>
          <w:tcPr>
            <w:tcW w:type="dxa" w:w="2592"/>
            <w:tcMar>
              <w:top w:w="70" w:type="dxa"/>
              <w:start w:w="80" w:type="dxa"/>
              <w:bottom w:w="70" w:type="dxa"/>
              <w:end w:w="80" w:type="dxa"/>
            </w:tcMar>
          </w:tcPr>
          <w:p>
            <w:r>
              <w:rPr>
                <w:sz w:val="18"/>
              </w:rPr>
              <w:t>Create</w:t>
            </w:r>
          </w:p>
        </w:tc>
        <w:tc>
          <w:tcPr>
            <w:tcW w:type="dxa" w:w="3456"/>
            <w:tcMar>
              <w:top w:w="70" w:type="dxa"/>
              <w:start w:w="80" w:type="dxa"/>
              <w:bottom w:w="70" w:type="dxa"/>
              <w:end w:w="80" w:type="dxa"/>
            </w:tcMar>
          </w:tcPr>
          <w:p>
            <w:r>
              <w:rPr>
                <w:sz w:val="18"/>
              </w:rPr>
              <w:t>Allowlisted search/fetch/normalize/chunk for live official sources.</w:t>
            </w:r>
          </w:p>
        </w:tc>
      </w:tr>
      <w:tr>
        <w:tc>
          <w:tcPr>
            <w:tcW w:type="dxa" w:w="3312"/>
            <w:tcMar>
              <w:top w:w="70" w:type="dxa"/>
              <w:start w:w="80" w:type="dxa"/>
              <w:bottom w:w="70" w:type="dxa"/>
              <w:end w:w="80" w:type="dxa"/>
            </w:tcMar>
          </w:tcPr>
          <w:p>
            <w:r>
              <w:rPr>
                <w:b/>
                <w:sz w:val="18"/>
              </w:rPr>
              <w:t>app/services/query_service.py</w:t>
            </w:r>
          </w:p>
        </w:tc>
        <w:tc>
          <w:tcPr>
            <w:tcW w:type="dxa" w:w="2592"/>
            <w:tcMar>
              <w:top w:w="70" w:type="dxa"/>
              <w:start w:w="80" w:type="dxa"/>
              <w:bottom w:w="70" w:type="dxa"/>
              <w:end w:w="80" w:type="dxa"/>
            </w:tcMar>
          </w:tcPr>
          <w:p>
            <w:r>
              <w:rPr>
                <w:sz w:val="18"/>
              </w:rPr>
              <w:t>Modify</w:t>
            </w:r>
          </w:p>
        </w:tc>
        <w:tc>
          <w:tcPr>
            <w:tcW w:type="dxa" w:w="3456"/>
            <w:tcMar>
              <w:top w:w="70" w:type="dxa"/>
              <w:start w:w="80" w:type="dxa"/>
              <w:bottom w:w="70" w:type="dxa"/>
              <w:end w:w="80" w:type="dxa"/>
            </w:tcMar>
          </w:tcPr>
          <w:p>
            <w:r>
              <w:rPr>
                <w:sz w:val="18"/>
              </w:rPr>
              <w:t>Load current matter state, run the state machine, persist updated state and citations.</w:t>
            </w:r>
          </w:p>
        </w:tc>
      </w:tr>
      <w:tr>
        <w:tc>
          <w:tcPr>
            <w:tcW w:type="dxa" w:w="3312"/>
            <w:tcMar>
              <w:top w:w="70" w:type="dxa"/>
              <w:start w:w="80" w:type="dxa"/>
              <w:bottom w:w="70" w:type="dxa"/>
              <w:end w:w="80" w:type="dxa"/>
            </w:tcMar>
          </w:tcPr>
          <w:p>
            <w:r>
              <w:rPr>
                <w:b/>
                <w:sz w:val="18"/>
              </w:rPr>
              <w:t>app/services/retrieval_service.py</w:t>
            </w:r>
          </w:p>
        </w:tc>
        <w:tc>
          <w:tcPr>
            <w:tcW w:type="dxa" w:w="2592"/>
            <w:tcMar>
              <w:top w:w="70" w:type="dxa"/>
              <w:start w:w="80" w:type="dxa"/>
              <w:bottom w:w="70" w:type="dxa"/>
              <w:end w:w="80" w:type="dxa"/>
            </w:tcMar>
          </w:tcPr>
          <w:p>
            <w:r>
              <w:rPr>
                <w:sz w:val="18"/>
              </w:rPr>
              <w:t>Modify lightly</w:t>
            </w:r>
          </w:p>
        </w:tc>
        <w:tc>
          <w:tcPr>
            <w:tcW w:type="dxa" w:w="3456"/>
            <w:tcMar>
              <w:top w:w="70" w:type="dxa"/>
              <w:start w:w="80" w:type="dxa"/>
              <w:bottom w:w="70" w:type="dxa"/>
              <w:end w:w="80" w:type="dxa"/>
            </w:tcMar>
          </w:tcPr>
          <w:p>
            <w:r>
              <w:rPr>
                <w:sz w:val="18"/>
              </w:rPr>
              <w:t>Continue local hybrid retrieval and expose source-family debug information.</w:t>
            </w:r>
          </w:p>
        </w:tc>
      </w:tr>
      <w:tr>
        <w:tc>
          <w:tcPr>
            <w:tcW w:type="dxa" w:w="3312"/>
            <w:tcMar>
              <w:top w:w="70" w:type="dxa"/>
              <w:start w:w="80" w:type="dxa"/>
              <w:bottom w:w="70" w:type="dxa"/>
              <w:end w:w="80" w:type="dxa"/>
            </w:tcMar>
          </w:tcPr>
          <w:p>
            <w:r>
              <w:rPr>
                <w:b/>
                <w:sz w:val="18"/>
              </w:rPr>
              <w:t>app/services/reasoning_service.py</w:t>
            </w:r>
          </w:p>
        </w:tc>
        <w:tc>
          <w:tcPr>
            <w:tcW w:type="dxa" w:w="2592"/>
            <w:tcMar>
              <w:top w:w="70" w:type="dxa"/>
              <w:start w:w="80" w:type="dxa"/>
              <w:bottom w:w="70" w:type="dxa"/>
              <w:end w:w="80" w:type="dxa"/>
            </w:tcMar>
          </w:tcPr>
          <w:p>
            <w:r>
              <w:rPr>
                <w:sz w:val="18"/>
              </w:rPr>
              <w:t>Refactor, not replace</w:t>
            </w:r>
          </w:p>
        </w:tc>
        <w:tc>
          <w:tcPr>
            <w:tcW w:type="dxa" w:w="3456"/>
            <w:tcMar>
              <w:top w:w="70" w:type="dxa"/>
              <w:start w:w="80" w:type="dxa"/>
              <w:bottom w:w="70" w:type="dxa"/>
              <w:end w:w="80" w:type="dxa"/>
            </w:tcMar>
          </w:tcPr>
          <w:p>
            <w:r>
              <w:rPr>
                <w:sz w:val="18"/>
              </w:rPr>
              <w:t>Narrow it to bounded nodes: evidence extraction, sufficiency judge, answer drafting.</w:t>
            </w:r>
          </w:p>
        </w:tc>
      </w:tr>
      <w:tr>
        <w:tc>
          <w:tcPr>
            <w:tcW w:type="dxa" w:w="3312"/>
            <w:tcMar>
              <w:top w:w="70" w:type="dxa"/>
              <w:start w:w="80" w:type="dxa"/>
              <w:bottom w:w="70" w:type="dxa"/>
              <w:end w:w="80" w:type="dxa"/>
            </w:tcMar>
          </w:tcPr>
          <w:p>
            <w:r>
              <w:rPr>
                <w:b/>
                <w:sz w:val="18"/>
              </w:rPr>
              <w:t>app/schemas/query.py</w:t>
            </w:r>
          </w:p>
        </w:tc>
        <w:tc>
          <w:tcPr>
            <w:tcW w:type="dxa" w:w="2592"/>
            <w:tcMar>
              <w:top w:w="70" w:type="dxa"/>
              <w:start w:w="80" w:type="dxa"/>
              <w:bottom w:w="70" w:type="dxa"/>
              <w:end w:w="80" w:type="dxa"/>
            </w:tcMar>
          </w:tcPr>
          <w:p>
            <w:r>
              <w:rPr>
                <w:sz w:val="18"/>
              </w:rPr>
              <w:t>Extend if needed</w:t>
            </w:r>
          </w:p>
        </w:tc>
        <w:tc>
          <w:tcPr>
            <w:tcW w:type="dxa" w:w="3456"/>
            <w:tcMar>
              <w:top w:w="70" w:type="dxa"/>
              <w:start w:w="80" w:type="dxa"/>
              <w:bottom w:w="70" w:type="dxa"/>
              <w:end w:w="80" w:type="dxa"/>
            </w:tcMar>
          </w:tcPr>
          <w:p>
            <w:r>
              <w:rPr>
                <w:sz w:val="18"/>
              </w:rPr>
              <w:t>Expose live-fetch debug fields and state-machine outputs where helpful for testing.</w:t>
            </w:r>
          </w:p>
        </w:tc>
      </w:tr>
      <w:tr>
        <w:tc>
          <w:tcPr>
            <w:tcW w:type="dxa" w:w="3312"/>
            <w:tcMar>
              <w:top w:w="70" w:type="dxa"/>
              <w:start w:w="80" w:type="dxa"/>
              <w:bottom w:w="70" w:type="dxa"/>
              <w:end w:w="80" w:type="dxa"/>
            </w:tcMar>
          </w:tcPr>
          <w:p>
            <w:r>
              <w:rPr>
                <w:b/>
                <w:sz w:val="18"/>
              </w:rPr>
              <w:t>app/db/models.py</w:t>
            </w:r>
          </w:p>
        </w:tc>
        <w:tc>
          <w:tcPr>
            <w:tcW w:type="dxa" w:w="2592"/>
            <w:tcMar>
              <w:top w:w="70" w:type="dxa"/>
              <w:start w:w="80" w:type="dxa"/>
              <w:bottom w:w="70" w:type="dxa"/>
              <w:end w:w="80" w:type="dxa"/>
            </w:tcMar>
          </w:tcPr>
          <w:p>
            <w:r>
              <w:rPr>
                <w:sz w:val="18"/>
              </w:rPr>
              <w:t>No required change for v1</w:t>
            </w:r>
          </w:p>
        </w:tc>
        <w:tc>
          <w:tcPr>
            <w:tcW w:type="dxa" w:w="3456"/>
            <w:tcMar>
              <w:top w:w="70" w:type="dxa"/>
              <w:start w:w="80" w:type="dxa"/>
              <w:bottom w:w="70" w:type="dxa"/>
              <w:end w:w="80" w:type="dxa"/>
            </w:tcMar>
          </w:tcPr>
          <w:p>
            <w:r>
              <w:rPr>
                <w:sz w:val="18"/>
              </w:rPr>
              <w:t>Keep live retrieval ephemeral first; add cache tables later if needed.</w:t>
            </w:r>
          </w:p>
        </w:tc>
      </w:tr>
    </w:tbl>
    <w:p>
      <w:pPr>
        <w:pStyle w:val="Heading1"/>
      </w:pPr>
      <w:r>
        <w:t>9. Acceptance criteria for the next patch</w:t>
      </w:r>
    </w:p>
    <w:p>
      <w:r>
        <w:t>The patch should be considered successful only if the workflow is not merely present in code, but actually changes behavior in a measurable, auditable way.</w:t>
      </w:r>
    </w:p>
    <w:p>
      <w:pPr>
        <w:ind w:left="259" w:hanging="230"/>
      </w:pPr>
      <w:r>
        <w:rPr>
          <w:sz w:val="21"/>
        </w:rPr>
        <w:t>• The backend persists and updates conversation_state, carried_intake_facts, latest_question, last_contextualized_question, and conversation_history reliably across turns.</w:t>
      </w:r>
    </w:p>
    <w:p>
      <w:pPr>
        <w:ind w:left="259" w:hanging="230"/>
      </w:pPr>
      <w:r>
        <w:rPr>
          <w:sz w:val="21"/>
        </w:rPr>
        <w:t>• For a follow-up turn such as “Can I still apply for review?”, the effective question includes the earlier refusal context and date, rather than behaving as a fresh one-turn query.</w:t>
      </w:r>
    </w:p>
    <w:p>
      <w:pPr>
        <w:ind w:left="259" w:hanging="230"/>
      </w:pPr>
      <w:r>
        <w:rPr>
          <w:sz w:val="21"/>
        </w:rPr>
        <w:t>• When local evidence is weak, the workflow triggers live retrieval only from allowlisted domains and records that decision in retrieval debug.</w:t>
      </w:r>
    </w:p>
    <w:p>
      <w:pPr>
        <w:ind w:left="259" w:hanging="230"/>
      </w:pPr>
      <w:r>
        <w:rPr>
          <w:sz w:val="21"/>
        </w:rPr>
        <w:t>• If decisive facts are missing, the assistant asks targeted follow-up questions instead of giving a confident but generic answer.</w:t>
      </w:r>
    </w:p>
    <w:p>
      <w:pPr>
        <w:ind w:left="259" w:hanging="230"/>
      </w:pPr>
      <w:r>
        <w:rPr>
          <w:sz w:val="21"/>
        </w:rPr>
        <w:t>• Confidence is capped appropriately. No “high” confidence when the system is clearly operating on partial evidence or “general only” guidance.</w:t>
      </w:r>
    </w:p>
    <w:p>
      <w:pPr>
        <w:ind w:left="259" w:hanging="230"/>
      </w:pPr>
      <w:r>
        <w:rPr>
          <w:sz w:val="21"/>
        </w:rPr>
        <w:t>• Substantive legal answers remain citation-backed, and court cases do not outrank legislation and official guidance in ordinary user answers.</w:t>
      </w:r>
    </w:p>
    <w:p>
      <w:pPr>
        <w:pStyle w:val="Heading1"/>
      </w:pPr>
      <w:r>
        <w:t>10. Recommended implementation order</w:t>
      </w:r>
    </w:p>
    <w:p>
      <w:r>
        <w:t>The next patch should be sequenced so that each phase gives you a stable checkpoint to test before moving deeper into reasoning complexity.</w:t>
      </w:r>
    </w:p>
    <w:p>
      <w:pPr>
        <w:ind w:left="259" w:hanging="230"/>
      </w:pPr>
      <w:r>
        <w:rPr>
          <w:sz w:val="21"/>
        </w:rPr>
        <w:t>1. Stabilize and keep the current working multi-turn backend as a restore point.</w:t>
      </w:r>
    </w:p>
    <w:p>
      <w:pPr>
        <w:ind w:left="259" w:hanging="230"/>
      </w:pPr>
      <w:r>
        <w:rPr>
          <w:sz w:val="21"/>
        </w:rPr>
        <w:t>2. Introduce MatterState / state JSON models and a state_machine.py skeleton.</w:t>
      </w:r>
    </w:p>
    <w:p>
      <w:pPr>
        <w:ind w:left="259" w:hanging="230"/>
      </w:pPr>
      <w:r>
        <w:rPr>
          <w:sz w:val="21"/>
        </w:rPr>
        <w:t>3. Add the sufficiency gate and policy_rules.py before touching full lawyer-style answer drafting.</w:t>
      </w:r>
    </w:p>
    <w:p>
      <w:pPr>
        <w:ind w:left="259" w:hanging="230"/>
      </w:pPr>
      <w:r>
        <w:rPr>
          <w:sz w:val="21"/>
        </w:rPr>
        <w:t>4. Add live_retrieval_service.py with allowlisted official domains and ephemeral live context only.</w:t>
      </w:r>
    </w:p>
    <w:p>
      <w:pPr>
        <w:ind w:left="259" w:hanging="230"/>
      </w:pPr>
      <w:r>
        <w:rPr>
          <w:sz w:val="21"/>
        </w:rPr>
        <w:t>5. Wire the workflow in query_service.py: contextualize → local retrieval → sufficiency gate → optional live retrieval → evidence extraction → policy rules → answer drafting → persist.</w:t>
      </w:r>
    </w:p>
    <w:p>
      <w:pPr>
        <w:ind w:left="259" w:hanging="230"/>
      </w:pPr>
      <w:r>
        <w:rPr>
          <w:sz w:val="21"/>
        </w:rPr>
        <w:t>6. Test on three high-value scenarios: student refusal review rights, current Genuine Student requirement, and bridging travel.</w:t>
      </w:r>
    </w:p>
    <w:p>
      <w:pPr>
        <w:ind w:left="259" w:hanging="230"/>
      </w:pPr>
      <w:r>
        <w:rPr>
          <w:sz w:val="21"/>
        </w:rPr>
        <w:t>7. Only after the combined workflow is stable, redesign the lawyer-style answer sections (short answer, why legally, practical risks, cleaner pathway, missing facts, need lawyer review).</w:t>
      </w:r>
    </w:p>
    <w:tbl>
      <w:tblPr>
        <w:tblW w:type="auto" w:w="0"/>
        <w:jc w:val="center"/>
        <w:tblLayout w:type="fixed"/>
        <w:tblLook w:firstColumn="1" w:firstRow="1" w:lastColumn="0" w:lastRow="0" w:noHBand="0" w:noVBand="1" w:val="04A0"/>
      </w:tblPr>
      <w:tblGrid>
        <w:gridCol w:w="9000"/>
      </w:tblGrid>
      <w:tr>
        <w:tc>
          <w:tcPr>
            <w:tcW w:type="dxa" w:w="9936"/>
            <w:shd w:fill="EDF6EC"/>
            <w:tcMar>
              <w:top w:w="110" w:type="dxa"/>
              <w:start w:w="130" w:type="dxa"/>
              <w:bottom w:w="110" w:type="dxa"/>
              <w:end w:w="130" w:type="dxa"/>
            </w:tcMar>
          </w:tcPr>
          <w:p>
            <w:r>
              <w:rPr>
                <w:b/>
                <w:color w:val="275835"/>
                <w:sz w:val="22"/>
              </w:rPr>
              <w:t>Implementation principle: do not let the LLM own the whole control flow. Let the workflow decide when to gather facts, when to retrieve locally, when to fetch live official material, when to ask follow-up questions, and when to escalate. Let the model do only the bounded reasoning work inside those gates.</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Immigration AI project — combined reasoning + live retrieval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3396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339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