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3864"/>
          <w:sz w:val="40"/>
        </w:rPr>
        <w:t>AI 辅助使用声明与提示词披露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05050"/>
          <w:sz w:val="21"/>
        </w:rPr>
        <w:t>Midterm Project · 牧原股份(002714.SZ) · Fall 2026</w:t>
      </w:r>
    </w:p>
    <w:p>
      <w:pPr>
        <w:pStyle w:val="Heading1"/>
        <w:spacing w:before="160"/>
      </w:pPr>
      <w:r>
        <w:rPr>
          <w:rFonts w:ascii="Microsoft YaHei" w:hAnsi="Microsoft YaHei" w:eastAsia="Microsoft YaHei" w:cs="Microsoft YaHei"/>
          <w:b/>
          <w:color w:val="1F3864"/>
          <w:sz w:val="26"/>
        </w:rPr>
        <w:t>一、题目要求（Task 0 相关）</w:t>
      </w:r>
    </w:p>
    <w:p>
      <w:pPr>
        <w:spacing w:after="80" w:line="312" w:lineRule="auto"/>
      </w:pPr>
      <w:r>
        <w:rPr>
          <w:rFonts w:ascii="Microsoft YaHei" w:hAnsi="Microsoft YaHei" w:eastAsia="Microsoft YaHei" w:cs="Microsoft YaHei"/>
          <w:b w:val="0"/>
          <w:sz w:val="21"/>
        </w:rPr>
        <w:t>题目明确指出：</w:t>
      </w:r>
      <w:r>
        <w:rPr>
          <w:rFonts w:ascii="Microsoft YaHei" w:hAnsi="Microsoft YaHei" w:eastAsia="Microsoft YaHei" w:cs="Microsoft YaHei"/>
          <w:b/>
          <w:sz w:val="21"/>
        </w:rPr>
        <w:t>若在任务中使用 AI agent（如 ChatGPT 等），必须披露所使用的提示词（prompt）</w:t>
      </w:r>
      <w:r>
        <w:rPr>
          <w:rFonts w:ascii="Microsoft YaHei" w:hAnsi="Microsoft YaHei" w:eastAsia="Microsoft YaHei" w:cs="Microsoft YaHei"/>
          <w:b w:val="0"/>
          <w:sz w:val="21"/>
        </w:rPr>
        <w:t>。本项目在「文献综述 / 参考来源调研」（Task 0）环节使用了 AI agent 辅助检索与信息整理，按题目要求如实披露如下。分析代码、回测与结论部分均为小组成员自行完成，AI 不参与最终数值与结论的生成。</w:t>
      </w:r>
    </w:p>
    <w:p>
      <w:pPr>
        <w:pStyle w:val="Heading1"/>
        <w:spacing w:before="160"/>
      </w:pPr>
      <w:r>
        <w:rPr>
          <w:rFonts w:ascii="Microsoft YaHei" w:hAnsi="Microsoft YaHei" w:eastAsia="Microsoft YaHei" w:cs="Microsoft YaHei"/>
          <w:b/>
          <w:color w:val="1F3864"/>
          <w:sz w:val="26"/>
        </w:rPr>
        <w:t>二、使用环节与披露提示词</w:t>
      </w:r>
    </w:p>
    <w:p>
      <w:pPr>
        <w:spacing w:after="80" w:line="312" w:lineRule="auto"/>
      </w:pPr>
      <w:r>
        <w:rPr>
          <w:rFonts w:ascii="Microsoft YaHei" w:hAnsi="Microsoft YaHei" w:eastAsia="Microsoft YaHei" w:cs="Microsoft YaHei"/>
          <w:b/>
          <w:sz w:val="21"/>
        </w:rPr>
        <w:t>使用环节</w:t>
      </w:r>
      <w:r>
        <w:rPr>
          <w:rFonts w:ascii="Microsoft YaHei" w:hAnsi="Microsoft YaHei" w:eastAsia="Microsoft YaHei" w:cs="Microsoft YaHei"/>
          <w:b w:val="0"/>
          <w:sz w:val="21"/>
        </w:rPr>
        <w:t>：Task 0 的参考来源调研——收集同花顺 AI 诊股、通联数据智能诊股、券商研报与学术文献四类来源。小组成员先撰写提示词，再交给 AI agent 执行，返回结果经小组成员逐条核对后写入报告第 1 章与附录 A。</w:t>
      </w:r>
    </w:p>
    <w:p>
      <w:pPr>
        <w:spacing w:after="80" w:line="312" w:lineRule="auto"/>
      </w:pPr>
      <w:r>
        <w:rPr>
          <w:rFonts w:ascii="Microsoft YaHei" w:hAnsi="Microsoft YaHei" w:eastAsia="Microsoft YaHei" w:cs="Microsoft YaHei"/>
          <w:b/>
          <w:sz w:val="21"/>
        </w:rPr>
        <w:t>披露提示词（原文）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r>
        <w:rPr>
          <w:rFonts w:ascii="Microsoft YaHei" w:hAnsi="Microsoft YaHei" w:eastAsia="Microsoft YaHei" w:cs="Microsoft YaHei"/>
          <w:b/>
          <w:color w:val="1E6B3A"/>
          <w:sz w:val="19"/>
        </w:rPr>
        <w:t>提示词 1：Task 0 参考来源调研（文献综述）</w:t>
      </w:r>
    </w:p>
    <w:p>
      <w:pPr>
        <w:spacing w:after="120"/>
        <w:ind w:left="120"/>
        <w:shd w:val="clear" w:color="auto" w:fill="F4F6F8"/>
      </w:pPr>
      <w:r>
        <w:rPr>
          <w:rFonts w:ascii="Consolas" w:hAnsi="Consolas" w:eastAsia="Consolas" w:cs="Consolas"/>
          <w:color w:val="262B33"/>
          <w:sz w:val="18"/>
        </w:rPr>
        <w:t>请帮我完成 Midterm Project 的 Task 0 参考来源调研，标的为牧原股份(002714.SZ)：</w:t>
        <w:br/>
      </w:r>
      <w:r>
        <w:rPr>
          <w:rFonts w:ascii="Consolas" w:hAnsi="Consolas" w:eastAsia="Consolas" w:cs="Consolas"/>
          <w:color w:val="262B33"/>
          <w:sz w:val="18"/>
        </w:rPr>
        <w:br/>
      </w:r>
      <w:r>
        <w:rPr>
          <w:rFonts w:ascii="Consolas" w:hAnsi="Consolas" w:eastAsia="Consolas" w:cs="Consolas"/>
          <w:color w:val="262B33"/>
          <w:sz w:val="18"/>
        </w:rPr>
        <w:t>1. 打开同花顺「牛叉诊股」页面(doctor.10jqka.com.cn/002714)，记录其五维评分</w:t>
        <w:br/>
      </w:r>
      <w:r>
        <w:rPr>
          <w:rFonts w:ascii="Consolas" w:hAnsi="Consolas" w:eastAsia="Consolas" w:cs="Consolas"/>
          <w:color w:val="262B33"/>
          <w:sz w:val="18"/>
        </w:rPr>
        <w:t xml:space="preserve">   （技术面/基本面/资金面/消息面/行业面）与结论措辞，标注诊断日期；</w:t>
        <w:br/>
      </w:r>
      <w:r>
        <w:rPr>
          <w:rFonts w:ascii="Consolas" w:hAnsi="Consolas" w:eastAsia="Consolas" w:cs="Consolas"/>
          <w:color w:val="262B33"/>
          <w:sz w:val="18"/>
        </w:rPr>
        <w:t>2. 搜索 2-3 家券商（如开源、兴业、华泰、天风、长江）对牧原股份的最新研报，</w:t>
        <w:br/>
      </w:r>
      <w:r>
        <w:rPr>
          <w:rFonts w:ascii="Consolas" w:hAnsi="Consolas" w:eastAsia="Consolas" w:cs="Consolas"/>
          <w:color w:val="262B33"/>
          <w:sz w:val="18"/>
        </w:rPr>
        <w:t xml:space="preserve">   提取：评级、2026-2028 盈利预测、完全成本、出栏量、目标价等关键数字，</w:t>
        <w:br/>
      </w:r>
      <w:r>
        <w:rPr>
          <w:rFonts w:ascii="Consolas" w:hAnsi="Consolas" w:eastAsia="Consolas" w:cs="Consolas"/>
          <w:color w:val="262B33"/>
          <w:sz w:val="18"/>
        </w:rPr>
        <w:t xml:space="preserve">   并给出每一篇研报的可访问链接；</w:t>
        <w:br/>
      </w:r>
      <w:r>
        <w:rPr>
          <w:rFonts w:ascii="Consolas" w:hAnsi="Consolas" w:eastAsia="Consolas" w:cs="Consolas"/>
          <w:color w:val="262B33"/>
          <w:sz w:val="18"/>
        </w:rPr>
        <w:t>3. 提供 4 篇学术文献的完整引用信息（含 DOI 或可访问链接）：</w:t>
        <w:br/>
      </w:r>
      <w:r>
        <w:rPr>
          <w:rFonts w:ascii="Consolas" w:hAnsi="Consolas" w:eastAsia="Consolas" w:cs="Consolas"/>
          <w:color w:val="262B33"/>
          <w:sz w:val="18"/>
        </w:rPr>
        <w:t xml:space="preserve">   Murphy(1999)、Jegadeesh &amp; Titman(1993)、Novy-Marx(2013)、Sloan(1996)；</w:t>
        <w:br/>
      </w:r>
      <w:r>
        <w:rPr>
          <w:rFonts w:ascii="Consolas" w:hAnsi="Consolas" w:eastAsia="Consolas" w:cs="Consolas"/>
          <w:color w:val="262B33"/>
          <w:sz w:val="18"/>
        </w:rPr>
        <w:t>4. 所有来源链接必须是真实可访问的；不确定的信息请标注「存疑」，</w:t>
        <w:br/>
      </w:r>
      <w:r>
        <w:rPr>
          <w:rFonts w:ascii="Consolas" w:hAnsi="Consolas" w:eastAsia="Consolas" w:cs="Consolas"/>
          <w:color w:val="262B33"/>
          <w:sz w:val="18"/>
        </w:rPr>
        <w:t xml:space="preserve">   不要编造数字。输出格式：每类来源一个小节，带链接列表。</w:t>
      </w:r>
    </w:p>
    <w:p>
      <w:pPr>
        <w:pStyle w:val="Heading1"/>
        <w:spacing w:before="160"/>
      </w:pPr>
      <w:r>
        <w:rPr>
          <w:rFonts w:ascii="Microsoft YaHei" w:hAnsi="Microsoft YaHei" w:eastAsia="Microsoft YaHei" w:cs="Microsoft YaHei"/>
          <w:b/>
          <w:color w:val="1F3864"/>
          <w:sz w:val="26"/>
        </w:rPr>
        <w:t>三、小组成员的核对说明</w:t>
      </w:r>
    </w:p>
    <w:p>
      <w:pPr>
        <w:spacing w:after="80" w:line="312" w:lineRule="auto"/>
      </w:pPr>
      <w:r>
        <w:rPr>
          <w:rFonts w:ascii="Microsoft YaHei" w:hAnsi="Microsoft YaHei" w:eastAsia="Microsoft YaHei" w:cs="Microsoft YaHei"/>
          <w:b w:val="0"/>
          <w:sz w:val="21"/>
        </w:rPr>
        <w:t>AI agent 返回的调研结果，小组成员做了以下核对后才写入报告：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/>
          <w:sz w:val="21"/>
        </w:rPr>
        <w:t>数字核对</w:t>
      </w:r>
      <w:r>
        <w:rPr>
          <w:rFonts w:ascii="Microsoft YaHei" w:hAnsi="Microsoft YaHei" w:eastAsia="Microsoft YaHei" w:cs="Microsoft YaHei"/>
          <w:b w:val="0"/>
          <w:sz w:val="21"/>
        </w:rPr>
        <w:t>：开源/兴业/华泰研报中的 2025 年报与 2026 中报数字（营收 594.10 亿、归母 -60.78 亿、完全成本 11.5-12 元/kg 等）与我们从 CSMAR 下载的财务报表数据逐一比对，全部一致；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/>
          <w:sz w:val="21"/>
        </w:rPr>
        <w:t>链接核对</w:t>
      </w:r>
      <w:r>
        <w:rPr>
          <w:rFonts w:ascii="Microsoft YaHei" w:hAnsi="Microsoft YaHei" w:eastAsia="Microsoft YaHei" w:cs="Microsoft YaHei"/>
          <w:b w:val="0"/>
          <w:sz w:val="21"/>
        </w:rPr>
        <w:t>：下方文献与研报链接均来自可访问的公开来源（期刊 DOI / 券商官网 / 财经门户），可经浏览器或学校 WebVPN 打开；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/>
          <w:sz w:val="21"/>
        </w:rPr>
        <w:t>观点核对</w:t>
      </w:r>
      <w:r>
        <w:rPr>
          <w:rFonts w:ascii="Microsoft YaHei" w:hAnsi="Microsoft YaHei" w:eastAsia="Microsoft YaHei" w:cs="Microsoft YaHei"/>
          <w:b w:val="0"/>
          <w:sz w:val="21"/>
        </w:rPr>
        <w:t>：同花顺/通联两家 AI 诊股工具的评分与措辞按诊断日期如实引用，未做修饰。</w:t>
      </w:r>
    </w:p>
    <w:p>
      <w:pPr>
        <w:pStyle w:val="Heading1"/>
        <w:spacing w:before="160"/>
      </w:pPr>
      <w:r>
        <w:rPr>
          <w:rFonts w:ascii="Microsoft YaHei" w:hAnsi="Microsoft YaHei" w:eastAsia="Microsoft YaHei" w:cs="Microsoft YaHei"/>
          <w:b/>
          <w:color w:val="1F3864"/>
          <w:sz w:val="26"/>
        </w:rPr>
        <w:t>四、本项目引用的全部来源（真实链接）</w:t>
      </w:r>
    </w:p>
    <w:p>
      <w:pPr>
        <w:pStyle w:val="Heading2"/>
        <w:spacing w:before="100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4.1 零售 AI 诊股工具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同花顺「牛叉诊股」牧原股份：https://doctor.10jqka.com.cn/002714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同花顺个股频道（行情与资金流）：https://stockpage.10jqka.com.cn/002714/index/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通联数据「智能诊股」（华安证券终端）：https://huaanweb.wmcloud.com/stockDiagnose?hasPermission=true&amp;stockId=002714&amp;stockName=%E7%89%A7%E5%8E%9F%E8%82%A1%E4%BB%BD</w:t>
      </w:r>
    </w:p>
    <w:p>
      <w:pPr>
        <w:pStyle w:val="Heading2"/>
        <w:spacing w:before="100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4.2 券商研报（公开转载 / 研报平台）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开源证券《周期底部业绩承压，养殖屠宰双轮驱动成效显著》(2026-08-26，新浪转载)：https://stock.finance.sina.com.cn/stock/go.php/vReport_Show/kind/search/rptid/841057415649/index.phtml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华泰证券《成本与一体化优势扩大》(2026-03-30，洞见研报)：https://www.djyanbao.com/report/detail?id=4505717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《成本优势凸显 猪周期回暖价值重估》(2026-08-21，中财网)：https://cfi.net.cn/p20260821000426.html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东方财富 F10 盈利预测页（31 家机构一致预期，含兴业/西南等分机构预测）：https://emweb.eastmoney.com/PC_HSF10/ProfitForecast/Index?type=web&amp;code=SZ002714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《猪价低迷业绩承压 降本增效蓄力穿越周期》(2026-08，格隆汇)：https://www.gelonghui.com/news/5292347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《牧原股份首次覆盖报告》(2026-07，发现报告)：https://www.fxbaogao.com/detail/5561921</w:t>
      </w:r>
    </w:p>
    <w:p>
      <w:pPr>
        <w:pStyle w:val="Heading2"/>
        <w:spacing w:before="100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4.3 市场资讯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经济观察网《9月30日牧原股份主力资金净流入 当前估值处历史低位》(2026-10-01)：https://jg-mvvm.eeo.com.cn/article/info?id=010de96e82af4260b95f52ad26babb36</w:t>
      </w:r>
    </w:p>
    <w:p>
      <w:pPr>
        <w:pStyle w:val="Heading2"/>
        <w:spacing w:before="100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4.4 学术文献（官方 DOI 永久链接；全文可经学校 WebVPN 访问 ScienceDirect/Wiley/JSTOR）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Murphy, J. J. (1999). Technical Analysis of the Financial Markets. Wiley.（Wiley 出版社页）：https://www.wiley.com/en-us/Technical+Analysis+of+the+Financial+Markets%3A+A+Complete+Guide+to+Trading+Methods+and+Applications-p-9780735200661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Jegadeesh, N. &amp; Titman, S. (1993). Returns to Buying Winners and Selling Losers: Implications for Stock Market Efficiency. Journal of Finance, 48(1), 65-91. DOI：https://doi.org/10.1111/j.1540-6261.1993.tb04702.x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Novy-Marx, R. (2013). The Other Side of Value: The Gross Profitability Premium. Journal of Financial Economics, 108(1), 1-28. DOI：https://doi.org/10.1016/j.jfineco.2013.05.003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Sloan, R. G. (1996). Do Stock Prices Fully Reflect Information in Accruals and Cash Flows about Future Earnings? The Accounting Review, 71(3), 289-315. DOI：https://doi.org/10.2307/248290</w:t>
      </w:r>
    </w:p>
    <w:p>
      <w:pPr>
        <w:pStyle w:val="ListBullet"/>
        <w:spacing w:after="20" w:line="300" w:lineRule="auto"/>
      </w:pPr>
      <w:r>
        <w:rPr>
          <w:rFonts w:ascii="Microsoft YaHei" w:hAnsi="Microsoft YaHei" w:eastAsia="Microsoft YaHei" w:cs="Microsoft YaHei"/>
          <w:b w:val="0"/>
          <w:sz w:val="21"/>
        </w:rPr>
        <w:t>Fama, E. F. &amp; French, K. R. (1992). The Cross-Section of Expected Stock Returns. Journal of Finance, 47(2), 427-465. DOI：https://doi.org/10.1111/j.1540-6261.1992.tb04398.x</w:t>
      </w:r>
    </w:p>
    <w:p>
      <w:pPr>
        <w:spacing w:after="80" w:line="312" w:lineRule="auto"/>
      </w:pPr>
      <w:r>
        <w:rPr>
          <w:rFonts w:ascii="Microsoft YaHei" w:hAnsi="Microsoft YaHei" w:eastAsia="Microsoft YaHei" w:cs="Microsoft YaHei"/>
          <w:b w:val="0"/>
          <w:color w:val="505050"/>
          <w:sz w:val="19"/>
        </w:rPr>
        <w:t>注：部分学术期刊站点（Wiley/ScienceDirect）对自动访问有反爬限制，DOI 链接本身有效；浏览器直接打开或经学校 WebVPN 均可正常访问原文。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