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3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34" w:type="dxa"/>
          <w:bottom w:w="0" w:type="dxa"/>
          <w:right w:w="34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4" w:type="dxa"/>
            <w:bottom w:w="0" w:type="dxa"/>
            <w:right w:w="34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3"/>
        <w:tblW w:w="8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3"/>
        <w:tblW w:w="8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/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/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3"/>
        <w:tblW w:w="8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3"/>
        <w:tblW w:w="8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1125"/>
        <w:gridCol w:w="1405"/>
        <w:gridCol w:w="2387"/>
        <w:gridCol w:w="3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3" w:hRule="atLeast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          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8CEA1E"/>
    <w:rsid w:val="016F4280"/>
    <w:rsid w:val="01927F47"/>
    <w:rsid w:val="02660FA6"/>
    <w:rsid w:val="02B6527D"/>
    <w:rsid w:val="03DD6FCF"/>
    <w:rsid w:val="05210AE8"/>
    <w:rsid w:val="05E769C9"/>
    <w:rsid w:val="0605043B"/>
    <w:rsid w:val="08421F6D"/>
    <w:rsid w:val="08844B2A"/>
    <w:rsid w:val="0A3E3EAB"/>
    <w:rsid w:val="0C955807"/>
    <w:rsid w:val="0CB61D91"/>
    <w:rsid w:val="0D464369"/>
    <w:rsid w:val="0DB409F5"/>
    <w:rsid w:val="0DEE65AC"/>
    <w:rsid w:val="0EB13CB5"/>
    <w:rsid w:val="0F3B2377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B2C7A13"/>
    <w:rsid w:val="1B8F5A19"/>
    <w:rsid w:val="1E390B15"/>
    <w:rsid w:val="1EE7D569"/>
    <w:rsid w:val="1F072AEE"/>
    <w:rsid w:val="1FAE057F"/>
    <w:rsid w:val="1FB9E0FD"/>
    <w:rsid w:val="1FD72A1E"/>
    <w:rsid w:val="2073362B"/>
    <w:rsid w:val="20820530"/>
    <w:rsid w:val="2154053E"/>
    <w:rsid w:val="219D2B8D"/>
    <w:rsid w:val="23A94469"/>
    <w:rsid w:val="23BF7711"/>
    <w:rsid w:val="24276259"/>
    <w:rsid w:val="24FD0C21"/>
    <w:rsid w:val="25710F8D"/>
    <w:rsid w:val="259676C3"/>
    <w:rsid w:val="27466BCE"/>
    <w:rsid w:val="296F6CA5"/>
    <w:rsid w:val="29BF4E64"/>
    <w:rsid w:val="2B3B6B84"/>
    <w:rsid w:val="2CAE5D87"/>
    <w:rsid w:val="2D0210E4"/>
    <w:rsid w:val="2DBF1B7C"/>
    <w:rsid w:val="2E856F7F"/>
    <w:rsid w:val="2F391D1E"/>
    <w:rsid w:val="2F77A7BC"/>
    <w:rsid w:val="2FDF7CFA"/>
    <w:rsid w:val="2FF4C9CC"/>
    <w:rsid w:val="309A2164"/>
    <w:rsid w:val="30E019C1"/>
    <w:rsid w:val="30FE3B39"/>
    <w:rsid w:val="313F1AA3"/>
    <w:rsid w:val="31C00626"/>
    <w:rsid w:val="33602717"/>
    <w:rsid w:val="33EF3314"/>
    <w:rsid w:val="35941D23"/>
    <w:rsid w:val="35E5295E"/>
    <w:rsid w:val="36507765"/>
    <w:rsid w:val="37972896"/>
    <w:rsid w:val="37CD1D12"/>
    <w:rsid w:val="37DF3E3B"/>
    <w:rsid w:val="37F73B6F"/>
    <w:rsid w:val="38E265EF"/>
    <w:rsid w:val="394A14A8"/>
    <w:rsid w:val="3A56CAB8"/>
    <w:rsid w:val="3ACB5912"/>
    <w:rsid w:val="3D5250DF"/>
    <w:rsid w:val="3D5751DB"/>
    <w:rsid w:val="3DBF6FD3"/>
    <w:rsid w:val="3DDF2AD5"/>
    <w:rsid w:val="3DFFF629"/>
    <w:rsid w:val="3E083144"/>
    <w:rsid w:val="3EAF264F"/>
    <w:rsid w:val="3EFE5F4F"/>
    <w:rsid w:val="3F3874BF"/>
    <w:rsid w:val="3F7BA462"/>
    <w:rsid w:val="3F7D0419"/>
    <w:rsid w:val="3F876183"/>
    <w:rsid w:val="3F9F517B"/>
    <w:rsid w:val="3FAB0B2F"/>
    <w:rsid w:val="3FBE68CE"/>
    <w:rsid w:val="3FFB4901"/>
    <w:rsid w:val="40592909"/>
    <w:rsid w:val="42117A10"/>
    <w:rsid w:val="426C1E97"/>
    <w:rsid w:val="42C376F5"/>
    <w:rsid w:val="43BFE65E"/>
    <w:rsid w:val="44803A8D"/>
    <w:rsid w:val="4494321F"/>
    <w:rsid w:val="44F64161"/>
    <w:rsid w:val="46C92F6B"/>
    <w:rsid w:val="47317E50"/>
    <w:rsid w:val="48492DD3"/>
    <w:rsid w:val="48896B80"/>
    <w:rsid w:val="4A0749E0"/>
    <w:rsid w:val="4B3F824C"/>
    <w:rsid w:val="4BD81B39"/>
    <w:rsid w:val="4C807C01"/>
    <w:rsid w:val="4E4955A2"/>
    <w:rsid w:val="4E9F6F34"/>
    <w:rsid w:val="4EE957FB"/>
    <w:rsid w:val="4F4653FD"/>
    <w:rsid w:val="4F693DE7"/>
    <w:rsid w:val="4F7D25F6"/>
    <w:rsid w:val="4FA86E02"/>
    <w:rsid w:val="4FBDEFAC"/>
    <w:rsid w:val="4FF9B191"/>
    <w:rsid w:val="4FFFF493"/>
    <w:rsid w:val="506056FC"/>
    <w:rsid w:val="50F315DD"/>
    <w:rsid w:val="51C42DFA"/>
    <w:rsid w:val="53DA03F2"/>
    <w:rsid w:val="543B135F"/>
    <w:rsid w:val="55BB769D"/>
    <w:rsid w:val="56C77C50"/>
    <w:rsid w:val="5779764C"/>
    <w:rsid w:val="57E776B2"/>
    <w:rsid w:val="58FBFDAE"/>
    <w:rsid w:val="59673956"/>
    <w:rsid w:val="5BD7AE8C"/>
    <w:rsid w:val="5BEF1D62"/>
    <w:rsid w:val="5BEFD16F"/>
    <w:rsid w:val="5C8A0DC8"/>
    <w:rsid w:val="5CD21A5C"/>
    <w:rsid w:val="5CDE88CA"/>
    <w:rsid w:val="5D71349C"/>
    <w:rsid w:val="5DCCF7A9"/>
    <w:rsid w:val="5DD9C1FB"/>
    <w:rsid w:val="5DF73AF4"/>
    <w:rsid w:val="5DF7626D"/>
    <w:rsid w:val="5F5588A4"/>
    <w:rsid w:val="5F6E5B06"/>
    <w:rsid w:val="5FEB6615"/>
    <w:rsid w:val="5FFCD7F1"/>
    <w:rsid w:val="60632F76"/>
    <w:rsid w:val="607910EF"/>
    <w:rsid w:val="615604F6"/>
    <w:rsid w:val="617A0662"/>
    <w:rsid w:val="61AC31DA"/>
    <w:rsid w:val="65826E09"/>
    <w:rsid w:val="658F4CE3"/>
    <w:rsid w:val="65DFF780"/>
    <w:rsid w:val="665F46F0"/>
    <w:rsid w:val="66C5E42B"/>
    <w:rsid w:val="671A0556"/>
    <w:rsid w:val="68067873"/>
    <w:rsid w:val="68AA626A"/>
    <w:rsid w:val="6938741B"/>
    <w:rsid w:val="6AC7CC92"/>
    <w:rsid w:val="6B90138F"/>
    <w:rsid w:val="6C3D4F3B"/>
    <w:rsid w:val="6CA832AF"/>
    <w:rsid w:val="6CF52EE2"/>
    <w:rsid w:val="6D5918CA"/>
    <w:rsid w:val="6EFD1B82"/>
    <w:rsid w:val="6EFF9FE2"/>
    <w:rsid w:val="6F4E133D"/>
    <w:rsid w:val="6F778864"/>
    <w:rsid w:val="6FFABE8E"/>
    <w:rsid w:val="6FFB56F4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4D44721"/>
    <w:rsid w:val="74E340C4"/>
    <w:rsid w:val="75F5242E"/>
    <w:rsid w:val="76423197"/>
    <w:rsid w:val="76FFEAEB"/>
    <w:rsid w:val="77B77E41"/>
    <w:rsid w:val="77E5C491"/>
    <w:rsid w:val="77F70206"/>
    <w:rsid w:val="78FB1F24"/>
    <w:rsid w:val="79733540"/>
    <w:rsid w:val="797A6599"/>
    <w:rsid w:val="798B64D5"/>
    <w:rsid w:val="79C74A9A"/>
    <w:rsid w:val="79E319F1"/>
    <w:rsid w:val="7A7F7927"/>
    <w:rsid w:val="7B762A49"/>
    <w:rsid w:val="7B7E5D4E"/>
    <w:rsid w:val="7BBA0112"/>
    <w:rsid w:val="7BBD180B"/>
    <w:rsid w:val="7BC311C4"/>
    <w:rsid w:val="7C7C4CEE"/>
    <w:rsid w:val="7CE359F9"/>
    <w:rsid w:val="7CFF21A6"/>
    <w:rsid w:val="7D5FC8B1"/>
    <w:rsid w:val="7D6D8C2E"/>
    <w:rsid w:val="7D7D0FC1"/>
    <w:rsid w:val="7DAA7D84"/>
    <w:rsid w:val="7DCB42D8"/>
    <w:rsid w:val="7DE45A1D"/>
    <w:rsid w:val="7DF388BC"/>
    <w:rsid w:val="7DFF5D4D"/>
    <w:rsid w:val="7E47C90E"/>
    <w:rsid w:val="7E790FEA"/>
    <w:rsid w:val="7EDB9FC0"/>
    <w:rsid w:val="7EDDACD4"/>
    <w:rsid w:val="7EEDCCE6"/>
    <w:rsid w:val="7F7D467F"/>
    <w:rsid w:val="7FC164F8"/>
    <w:rsid w:val="7FCFB901"/>
    <w:rsid w:val="7FDD4846"/>
    <w:rsid w:val="7FDE63E7"/>
    <w:rsid w:val="7FDF5451"/>
    <w:rsid w:val="7FDFDD81"/>
    <w:rsid w:val="7FF706B7"/>
    <w:rsid w:val="7FF74079"/>
    <w:rsid w:val="7FFCED78"/>
    <w:rsid w:val="7FFD85D9"/>
    <w:rsid w:val="87DA68B4"/>
    <w:rsid w:val="95EFCD3B"/>
    <w:rsid w:val="9BDF24F9"/>
    <w:rsid w:val="9EFF3E92"/>
    <w:rsid w:val="A147CE08"/>
    <w:rsid w:val="B2EE356D"/>
    <w:rsid w:val="BBE5A847"/>
    <w:rsid w:val="BE5FEBAE"/>
    <w:rsid w:val="BE6BCCC2"/>
    <w:rsid w:val="BE9E2C4F"/>
    <w:rsid w:val="BEFF512C"/>
    <w:rsid w:val="BF3D0F04"/>
    <w:rsid w:val="BF9DA143"/>
    <w:rsid w:val="BFAE6FF6"/>
    <w:rsid w:val="BFB67069"/>
    <w:rsid w:val="BFBB2198"/>
    <w:rsid w:val="BFF7741D"/>
    <w:rsid w:val="C65E2F9B"/>
    <w:rsid w:val="C69BC693"/>
    <w:rsid w:val="C6FB7B93"/>
    <w:rsid w:val="C777CF34"/>
    <w:rsid w:val="CBBDCE87"/>
    <w:rsid w:val="CC7D9060"/>
    <w:rsid w:val="CE3ED0A4"/>
    <w:rsid w:val="CFDFFE99"/>
    <w:rsid w:val="D0BE63DD"/>
    <w:rsid w:val="D57D0DA0"/>
    <w:rsid w:val="D5D7DCE4"/>
    <w:rsid w:val="D6EF2F7C"/>
    <w:rsid w:val="D7FAE815"/>
    <w:rsid w:val="D7FB5294"/>
    <w:rsid w:val="D8FF01C3"/>
    <w:rsid w:val="DAEFCC78"/>
    <w:rsid w:val="DB9720AE"/>
    <w:rsid w:val="DC7F95B1"/>
    <w:rsid w:val="DDDC55C6"/>
    <w:rsid w:val="DEDF8700"/>
    <w:rsid w:val="DEE53378"/>
    <w:rsid w:val="DEEB874E"/>
    <w:rsid w:val="DF7F7447"/>
    <w:rsid w:val="E7AF7C0F"/>
    <w:rsid w:val="E7BF0CB5"/>
    <w:rsid w:val="EDF900B9"/>
    <w:rsid w:val="EE5D821C"/>
    <w:rsid w:val="EEEF9960"/>
    <w:rsid w:val="EEFF8AD1"/>
    <w:rsid w:val="EF3EE3C5"/>
    <w:rsid w:val="EF5E1FA2"/>
    <w:rsid w:val="EFDC2563"/>
    <w:rsid w:val="EFF2FEE6"/>
    <w:rsid w:val="EFF5B209"/>
    <w:rsid w:val="F2CF8D57"/>
    <w:rsid w:val="F35AE508"/>
    <w:rsid w:val="F6C6FFEE"/>
    <w:rsid w:val="F6FCB22B"/>
    <w:rsid w:val="F7533826"/>
    <w:rsid w:val="F7BF83E4"/>
    <w:rsid w:val="F7EA4F65"/>
    <w:rsid w:val="F7EEE370"/>
    <w:rsid w:val="F7F5CCF9"/>
    <w:rsid w:val="F7F6327C"/>
    <w:rsid w:val="F7FFFCFA"/>
    <w:rsid w:val="F9DECA2B"/>
    <w:rsid w:val="FB6DABBA"/>
    <w:rsid w:val="FB7F4637"/>
    <w:rsid w:val="FB9E9F3C"/>
    <w:rsid w:val="FB9EF2A9"/>
    <w:rsid w:val="FB9F4F4D"/>
    <w:rsid w:val="FBCF425F"/>
    <w:rsid w:val="FBEE6929"/>
    <w:rsid w:val="FBF3A85A"/>
    <w:rsid w:val="FC7C3CD2"/>
    <w:rsid w:val="FC7DB780"/>
    <w:rsid w:val="FC8CEA1E"/>
    <w:rsid w:val="FD7A2EF4"/>
    <w:rsid w:val="FDA64357"/>
    <w:rsid w:val="FDD6349C"/>
    <w:rsid w:val="FDF6A77E"/>
    <w:rsid w:val="FE7F2D0F"/>
    <w:rsid w:val="FE7FBA87"/>
    <w:rsid w:val="FEAD9E58"/>
    <w:rsid w:val="FEBB4ED6"/>
    <w:rsid w:val="FED735F4"/>
    <w:rsid w:val="FEE3F92C"/>
    <w:rsid w:val="FEF6ED3A"/>
    <w:rsid w:val="FEFE8387"/>
    <w:rsid w:val="FFB74575"/>
    <w:rsid w:val="FFCDA2E9"/>
    <w:rsid w:val="FFD573AC"/>
    <w:rsid w:val="FFD70A83"/>
    <w:rsid w:val="FFEE723C"/>
    <w:rsid w:val="FFEF7347"/>
    <w:rsid w:val="FFF70836"/>
    <w:rsid w:val="FFFE8D19"/>
    <w:rsid w:val="FF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2750</Words>
  <Characters>3844</Characters>
  <Lines>0</Lines>
  <Paragraphs>0</Paragraphs>
  <TotalTime>0</TotalTime>
  <ScaleCrop>false</ScaleCrop>
  <LinksUpToDate>false</LinksUpToDate>
  <CharactersWithSpaces>3876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2022-03-29T23:18:00Z</dcterms:created>
  <dc:creator>zhou</dc:creator>
  <cp:lastModifiedBy>Zine</cp:lastModifiedBy>
  <dcterms:modified xsi:type="dcterms:W3CDTF">2022-05-06T14:02:41Z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D365AF89AAA44BC695CEBBE55F33CB2B</vt:lpwstr>
  </property>
</Properties>
</file>