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vertAlign w:val="baseline"/>
          <w:lang w:eastAsia="zh-CN"/>
        </w:rPr>
      </w:pPr>
      <w:r>
        <w:rPr>
          <w:rFonts w:hint="eastAsia" w:ascii="黑体" w:hAnsi="黑体" w:eastAsia="黑体" w:cs="黑体"/>
          <w:b/>
          <w:bCs/>
          <w:vertAlign w:val="baseline"/>
          <w:lang w:eastAsia="zh-CN"/>
        </w:rPr>
        <w:t>各试验岩土参数取值汇总</w:t>
      </w:r>
    </w:p>
    <w:tbl>
      <w:tblPr>
        <w:tblStyle w:val="7"/>
        <w:tblW w:w="793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28" w:type="dxa"/>
          <w:bottom w:w="28" w:type="dxa"/>
          <w:right w:w="28" w:type="dxa"/>
        </w:tblCellMar>
      </w:tblPr>
      <w:tblGrid>
        <w:gridCol w:w="567"/>
        <w:gridCol w:w="1701"/>
        <w:gridCol w:w="1701"/>
        <w:gridCol w:w="1701"/>
        <w:gridCol w:w="2267"/>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类别</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测试名称</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参数取值</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测试点数取样个数</w:t>
            </w:r>
          </w:p>
        </w:tc>
        <w:tc>
          <w:tcPr>
            <w:tcW w:w="22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修正要求</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原位</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岩石地基载荷试验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最小值</w:t>
            </w:r>
            <w:r>
              <w:rPr>
                <w:rFonts w:hint="default" w:ascii="Times New Roman" w:hAnsi="Times New Roman" w:cs="Times New Roman"/>
                <w:sz w:val="16"/>
                <w:szCs w:val="20"/>
                <w:vertAlign w:val="baseline"/>
                <w:lang w:val="en-US" w:eastAsia="zh-CN"/>
              </w:rPr>
              <w:t>(特征值)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浅层平板载荷试验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深层平板载荷试验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圆锥动力触探试验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土层连续贯入</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标准贯入试验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一般垂直间距，</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1～1.5米一个测点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剔除异常值，不进行杆长校正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十字板剪切试验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峰值强度</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单点或多点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长期强度为峰值强度的</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60%～70%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抽水试验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1～3个降深</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室内</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单轴抗压强度试验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6个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含水量试验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2个平行试验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eastAsia="zh-CN"/>
              </w:rPr>
              <w:t>测定的差值：当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&lt;10%时为0.5%；当10%≤</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≤40%时为1.0%；当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&gt;30%时为2.0%。</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对层状和网状构造的冻土最大允许值另有规定</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击实试验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最大干密度峰值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5个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承载比试验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3个平行试验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变异系数大于</w:t>
            </w:r>
            <w:r>
              <w:rPr>
                <w:rFonts w:hint="default" w:ascii="Times New Roman" w:hAnsi="Times New Roman" w:cs="Times New Roman"/>
                <w:sz w:val="16"/>
                <w:szCs w:val="20"/>
                <w:vertAlign w:val="baseline"/>
                <w:lang w:val="en-US" w:eastAsia="zh-CN"/>
              </w:rPr>
              <w:t>12%</w:t>
            </w:r>
            <w:r>
              <w:rPr>
                <w:rFonts w:hint="eastAsia" w:ascii="Times New Roman" w:hAnsi="Times New Roman" w:cs="Times New Roman"/>
                <w:sz w:val="16"/>
                <w:szCs w:val="20"/>
                <w:vertAlign w:val="baseline"/>
                <w:lang w:val="en-US" w:eastAsia="zh-CN"/>
              </w:rPr>
              <w:t>，去掉偏离大值后取平均值；变异系数小于12%直接取平均值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其他各土工试验</w:t>
            </w:r>
          </w:p>
        </w:tc>
        <w:tc>
          <w:tcPr>
            <w:tcW w:w="5669" w:type="dxa"/>
            <w:gridSpan w:val="3"/>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eastAsia="zh-CN"/>
              </w:rPr>
              <w:t>力学指标采用标准值，因为力学指标计算的结果都有一个可靠度的问题，例如：抗剪强度指标</w:t>
            </w:r>
            <w:r>
              <w:rPr>
                <w:rFonts w:hint="default" w:ascii="Times New Roman" w:hAnsi="Times New Roman" w:cs="Times New Roman"/>
                <w:i/>
                <w:iCs/>
                <w:sz w:val="16"/>
                <w:szCs w:val="20"/>
                <w:vertAlign w:val="baseline"/>
                <w:lang w:val="en-US" w:eastAsia="zh-CN"/>
              </w:rPr>
              <w:t>c</w:t>
            </w:r>
            <w:r>
              <w:rPr>
                <w:rFonts w:hint="default" w:ascii="Times New Roman" w:hAnsi="Times New Roman" w:cs="Times New Roman"/>
                <w:sz w:val="16"/>
                <w:szCs w:val="20"/>
                <w:vertAlign w:val="subscript"/>
                <w:lang w:val="en-US" w:eastAsia="zh-CN"/>
              </w:rPr>
              <w:t>k</w:t>
            </w:r>
            <w:r>
              <w:rPr>
                <w:rFonts w:hint="default" w:ascii="Times New Roman" w:hAnsi="Times New Roman" w:cs="Times New Roman"/>
                <w:sz w:val="16"/>
                <w:szCs w:val="20"/>
                <w:vertAlign w:val="baseline"/>
                <w:lang w:val="en-US" w:eastAsia="zh-CN"/>
              </w:rPr>
              <w:t>、</w:t>
            </w:r>
            <w:r>
              <w:rPr>
                <w:rFonts w:hint="default" w:ascii="Times New Roman" w:hAnsi="Times New Roman" w:cs="Times New Roman"/>
                <w:i/>
                <w:iCs/>
                <w:sz w:val="16"/>
                <w:szCs w:val="20"/>
                <w:vertAlign w:val="baseline"/>
                <w:lang w:val="en-US" w:eastAsia="zh-CN"/>
              </w:rPr>
              <w:t>φ</w:t>
            </w:r>
            <w:r>
              <w:rPr>
                <w:rFonts w:hint="default" w:ascii="Times New Roman" w:hAnsi="Times New Roman" w:cs="Times New Roman"/>
                <w:sz w:val="16"/>
                <w:szCs w:val="20"/>
                <w:vertAlign w:val="subscript"/>
                <w:lang w:val="en-US" w:eastAsia="zh-CN"/>
              </w:rPr>
              <w:t>k</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评价指标采用平均值，因为评价指标不参与计算，只做评价用，例如：含水率</w:t>
            </w:r>
            <w:r>
              <w:rPr>
                <w:rFonts w:hint="eastAsia" w:ascii="Times New Roman" w:hAnsi="Times New Roman" w:cs="Times New Roman"/>
                <w:i/>
                <w:iCs/>
                <w:sz w:val="16"/>
                <w:szCs w:val="20"/>
                <w:vertAlign w:val="baseline"/>
                <w:lang w:val="en-US" w:eastAsia="zh-CN"/>
              </w:rPr>
              <w:t>w</w:t>
            </w:r>
            <w:r>
              <w:rPr>
                <w:rFonts w:hint="eastAsia" w:ascii="Times New Roman" w:hAnsi="Times New Roman" w:cs="Times New Roman"/>
                <w:sz w:val="16"/>
                <w:szCs w:val="20"/>
                <w:vertAlign w:val="baseline"/>
                <w:lang w:val="en-US" w:eastAsia="zh-CN"/>
              </w:rPr>
              <w:t>、标贯击数</w:t>
            </w:r>
            <w:r>
              <w:rPr>
                <w:rFonts w:hint="eastAsia" w:ascii="Times New Roman" w:hAnsi="Times New Roman" w:cs="Times New Roman"/>
                <w:i/>
                <w:iCs/>
                <w:sz w:val="16"/>
                <w:szCs w:val="20"/>
                <w:vertAlign w:val="baseline"/>
                <w:lang w:val="en-US" w:eastAsia="zh-CN"/>
              </w:rPr>
              <w:t>N</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val="en-US" w:eastAsia="zh-CN"/>
              </w:rPr>
              <w:t>沉降计算采用的压缩性指标用平均值，例如孔隙比</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baseline"/>
                <w:lang w:val="en-US" w:eastAsia="zh-CN"/>
              </w:rPr>
              <w:t>、压缩系数</w:t>
            </w:r>
            <w:r>
              <w:rPr>
                <w:rFonts w:hint="eastAsia" w:ascii="Times New Roman" w:hAnsi="Times New Roman" w:cs="Times New Roman"/>
                <w:i/>
                <w:iCs/>
                <w:sz w:val="16"/>
                <w:szCs w:val="20"/>
                <w:vertAlign w:val="baseline"/>
                <w:lang w:val="en-US" w:eastAsia="zh-CN"/>
              </w:rPr>
              <w:t>a</w:t>
            </w:r>
            <w:r>
              <w:rPr>
                <w:rFonts w:hint="eastAsia" w:ascii="Times New Roman" w:hAnsi="Times New Roman" w:cs="Times New Roman"/>
                <w:sz w:val="16"/>
                <w:szCs w:val="20"/>
                <w:vertAlign w:val="subscript"/>
                <w:lang w:val="en-US" w:eastAsia="zh-CN"/>
              </w:rPr>
              <w:t>v</w:t>
            </w:r>
            <w:r>
              <w:rPr>
                <w:rFonts w:hint="eastAsia" w:ascii="Times New Roman" w:hAnsi="Times New Roman" w:cs="Times New Roman"/>
                <w:sz w:val="16"/>
                <w:szCs w:val="20"/>
                <w:vertAlign w:val="baseline"/>
                <w:lang w:val="en-US" w:eastAsia="zh-CN"/>
              </w:rPr>
              <w:t>、压缩模量</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subscript"/>
                <w:lang w:val="en-US" w:eastAsia="zh-CN"/>
              </w:rPr>
              <w:t>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sz w:val="16"/>
                <w:szCs w:val="20"/>
                <w:vertAlign w:val="baseline"/>
                <w:lang w:eastAsia="zh-CN"/>
              </w:rPr>
            </w:pPr>
            <w:r>
              <w:rPr>
                <w:rFonts w:hint="eastAsia" w:ascii="Times New Roman" w:hAnsi="Times New Roman" w:cs="Times New Roman"/>
                <w:b/>
                <w:bCs/>
                <w:sz w:val="16"/>
                <w:szCs w:val="20"/>
                <w:vertAlign w:val="baseline"/>
                <w:lang w:eastAsia="zh-CN"/>
              </w:rPr>
              <w:t>工程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sz w:val="16"/>
                <w:szCs w:val="20"/>
                <w:vertAlign w:val="baseline"/>
                <w:lang w:eastAsia="zh-CN"/>
              </w:rPr>
            </w:pPr>
            <w:r>
              <w:rPr>
                <w:rFonts w:hint="eastAsia" w:ascii="Times New Roman" w:hAnsi="Times New Roman" w:cs="Times New Roman"/>
                <w:b/>
                <w:bCs/>
                <w:sz w:val="16"/>
                <w:szCs w:val="20"/>
                <w:vertAlign w:val="baseline"/>
                <w:lang w:eastAsia="zh-CN"/>
              </w:rPr>
              <w:t>检测</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单桩竖向抗压、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抗拔载荷试验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3根以上取平均值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eastAsia" w:ascii="Times New Roman" w:hAnsi="Times New Roman" w:cs="Times New Roman"/>
                <w:sz w:val="16"/>
                <w:szCs w:val="20"/>
                <w:vertAlign w:val="baseline"/>
                <w:lang w:val="en-US" w:eastAsia="zh-CN"/>
              </w:rPr>
              <w:t>3根及以下取小值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单桩水平载荷试验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钻芯法</w:t>
            </w:r>
            <w:r>
              <w:rPr>
                <w:rFonts w:hint="eastAsia" w:ascii="Times New Roman" w:hAnsi="Times New Roman" w:cs="Times New Roman"/>
                <w:sz w:val="16"/>
                <w:szCs w:val="20"/>
                <w:vertAlign w:val="baseline"/>
                <w:lang w:val="en-US" w:eastAsia="zh-CN"/>
              </w:rPr>
              <w:t>(岩芯试样抗压强度试验)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每组取平均值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每孔取小值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每孔取多组</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每组取</w:t>
            </w:r>
            <w:r>
              <w:rPr>
                <w:rFonts w:hint="eastAsia" w:ascii="Times New Roman" w:hAnsi="Times New Roman" w:cs="Times New Roman"/>
                <w:sz w:val="16"/>
                <w:szCs w:val="20"/>
                <w:vertAlign w:val="baseline"/>
                <w:lang w:val="en-US" w:eastAsia="zh-CN"/>
              </w:rPr>
              <w:t>3块</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土钉、锚杆抗拔试验</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xml:space="preserve">≥ </w:t>
            </w:r>
            <w:r>
              <w:rPr>
                <w:rFonts w:hint="eastAsia" w:ascii="Times New Roman" w:hAnsi="Times New Roman" w:cs="Times New Roman"/>
                <w:sz w:val="16"/>
                <w:szCs w:val="20"/>
                <w:vertAlign w:val="baseline"/>
                <w:lang w:val="en-US" w:eastAsia="zh-CN"/>
              </w:rPr>
              <w:t>3根</w:t>
            </w:r>
          </w:p>
        </w:tc>
        <w:tc>
          <w:tcPr>
            <w:tcW w:w="2267"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textAlignment w:val="auto"/>
      </w:pPr>
      <w:r>
        <w:br w:type="page"/>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5"/>
        <w:gridCol w:w="766"/>
        <w:gridCol w:w="72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有无</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val="en-US" w:eastAsia="zh-CN"/>
              </w:rPr>
            </w:pPr>
            <w:r>
              <w:rPr>
                <w:rFonts w:hint="eastAsia"/>
                <w:b/>
                <w:bCs/>
                <w:color w:val="000000"/>
                <w:sz w:val="18"/>
                <w:szCs w:val="18"/>
                <w:vertAlign w:val="baseline"/>
                <w:lang w:val="en-US" w:eastAsia="zh-CN"/>
              </w:rPr>
              <w:t>地面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b/>
                <w:bCs/>
                <w:color w:val="000000"/>
                <w:sz w:val="18"/>
                <w:szCs w:val="18"/>
                <w:vertAlign w:val="baseline"/>
                <w:lang w:val="en-US" w:eastAsia="zh-CN"/>
              </w:rPr>
            </w:pPr>
            <w:r>
              <w:rPr>
                <w:rFonts w:hint="eastAsia"/>
                <w:b/>
                <w:bCs/>
                <w:color w:val="000000"/>
                <w:sz w:val="18"/>
                <w:szCs w:val="18"/>
                <w:vertAlign w:val="baseline"/>
                <w:lang w:val="en-US" w:eastAsia="zh-CN"/>
              </w:rPr>
              <w:t>标高</w:t>
            </w:r>
          </w:p>
        </w:tc>
        <w:tc>
          <w:tcPr>
            <w:tcW w:w="644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计算公式（其中高度变化系数</w:t>
            </w:r>
            <m:oMath>
              <m:r>
                <m:rPr>
                  <m:sty m:val="bi"/>
                </m:rPr>
                <w:rPr>
                  <w:rFonts w:hint="default" w:ascii="DejaVu Math TeX Gyre" w:hAnsi="DejaVu Math TeX Gyre"/>
                  <w:color w:val="000000"/>
                  <w:sz w:val="18"/>
                  <w:szCs w:val="18"/>
                  <w:vertAlign w:val="baseline"/>
                </w:rPr>
                <m:t>δ</m:t>
              </m:r>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2</m:t>
                  </m:r>
                  <m:ctrlPr>
                    <w:rPr>
                      <w:rFonts w:hint="default" w:ascii="DejaVu Math TeX Gyre" w:hAnsi="DejaVu Math TeX Gyre"/>
                      <w:b/>
                      <w:bCs/>
                      <w:color w:val="000000"/>
                      <w:sz w:val="18"/>
                      <w:szCs w:val="18"/>
                      <w:vertAlign w:val="baseline"/>
                      <w:lang w:val="en-US" w:eastAsia="zh-CN"/>
                    </w:rPr>
                  </m:ctrlPr>
                </m:sub>
              </m:sSub>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1</m:t>
                  </m:r>
                  <m:ctrlPr>
                    <w:rPr>
                      <w:rFonts w:hint="default" w:ascii="DejaVu Math TeX Gyre" w:hAnsi="DejaVu Math TeX Gyre"/>
                      <w:b/>
                      <w:bCs/>
                      <w:color w:val="000000"/>
                      <w:sz w:val="18"/>
                      <w:szCs w:val="18"/>
                      <w:vertAlign w:val="baseline"/>
                      <w:lang w:val="en-US" w:eastAsia="zh-CN"/>
                    </w:rPr>
                  </m:ctrlPr>
                </m:sub>
              </m:sSub>
            </m:oMath>
            <w:r>
              <w:rPr>
                <w:rFonts w:hint="eastAsia" w:hAnsi="DejaVu Math TeX Gyre"/>
                <w:b/>
                <w:bCs/>
                <w:i w:val="0"/>
                <w:color w:val="000000"/>
                <w:sz w:val="18"/>
                <w:szCs w:val="18"/>
                <w:vertAlign w:val="baseline"/>
                <w:lang w:val="en-US" w:eastAsia="zh-CN"/>
              </w:rPr>
              <w:t>、</w:t>
            </w:r>
            <w:r>
              <w:rPr>
                <w:rFonts w:hint="eastAsia" w:hAnsi="DejaVu Math TeX Gyre" w:cstheme="minorBidi"/>
                <w:b/>
                <w:bCs/>
                <w:i w:val="0"/>
                <w:color w:val="000000"/>
                <w:kern w:val="2"/>
                <w:sz w:val="18"/>
                <w:szCs w:val="18"/>
                <w:vertAlign w:val="baseline"/>
                <w:lang w:val="en-US" w:eastAsia="zh-CN" w:bidi="ar-SA"/>
              </w:rPr>
              <w:t>振动下沉修正系数</w:t>
            </w:r>
            <m:oMath>
              <m:r>
                <m:rPr>
                  <m:sty m:val="bi"/>
                </m:rPr>
                <w:rPr>
                  <w:rFonts w:hint="default" w:ascii="DejaVu Math TeX Gyre" w:hAnsi="DejaVu Math TeX Gyre" w:cstheme="minorBidi"/>
                  <w:color w:val="000000"/>
                  <w:kern w:val="2"/>
                  <w:sz w:val="18"/>
                  <w:szCs w:val="18"/>
                  <w:vertAlign w:val="baseline"/>
                  <w:lang w:val="en-US" w:eastAsia="zh-CN" w:bidi="ar-SA"/>
                </w:rPr>
                <m:t>ξ</m:t>
              </m:r>
            </m:oMath>
            <w:r>
              <w:rPr>
                <w:rFonts w:hint="eastAsia" w:hAnsi="DejaVu Math TeX Gyre" w:cstheme="minorBidi"/>
                <w:b/>
                <w:bCs/>
                <w:i w:val="0"/>
                <w:color w:val="000000"/>
                <w:kern w:val="2"/>
                <w:sz w:val="18"/>
                <w:szCs w:val="18"/>
                <w:vertAlign w:val="baseline"/>
                <w:lang w:val="en-US" w:eastAsia="zh-CN" w:bidi="ar-SA"/>
              </w:rPr>
              <w:t>、桩间土平均挤密系数</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oMath>
            <w:r>
              <w:rPr>
                <w:rFonts w:hint="eastAsia"/>
                <w:b/>
                <w:bCs/>
                <w:color w:val="000000"/>
                <w:sz w:val="18"/>
                <w:szCs w:val="18"/>
                <w:vertAlign w:val="baseline"/>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val="en-US" w:eastAsia="zh-CN"/>
              </w:rPr>
            </w:pP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r>
                    <m:rPr>
                      <m:sty m:val="b"/>
                    </m:rPr>
                    <w:rPr>
                      <w:rFonts w:hint="default" w:ascii="DejaVu Math TeX Gyre" w:hAnsi="DejaVu Math TeX Gyre" w:cstheme="minorBidi"/>
                      <w:color w:val="000000"/>
                      <w:kern w:val="2"/>
                      <w:sz w:val="18"/>
                      <w:szCs w:val="18"/>
                      <w:vertAlign w:val="baseline"/>
                      <w:lang w:val="en-US" w:eastAsia="zh-CN" w:bidi="ar-SA"/>
                    </w:rPr>
                    <m:t>max</m:t>
                  </m:r>
                  <m:ctrlPr>
                    <w:rPr>
                      <w:rFonts w:ascii="DejaVu Math TeX Gyre" w:hAnsi="DejaVu Math TeX Gyre" w:cstheme="minorBidi"/>
                      <w:b/>
                      <w:bCs/>
                      <w:i/>
                      <w:iCs/>
                      <w:color w:val="000000"/>
                      <w:kern w:val="2"/>
                      <w:sz w:val="18"/>
                      <w:szCs w:val="18"/>
                      <w:vertAlign w:val="baseline"/>
                      <w:lang w:val="en-US"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d2</m:t>
                  </m:r>
                  <m:ctrlPr>
                    <w:rPr>
                      <w:rFonts w:ascii="DejaVu Math TeX Gyre" w:hAnsi="DejaVu Math TeX Gyre" w:cstheme="minorBidi"/>
                      <w:b/>
                      <w:bCs/>
                      <w:i/>
                      <w:iCs/>
                      <w:color w:val="000000"/>
                      <w:kern w:val="2"/>
                      <w:sz w:val="18"/>
                      <w:szCs w:val="18"/>
                      <w:vertAlign w:val="baseline"/>
                      <w:lang w:val="en-US" w:bidi="ar-SA"/>
                    </w:rPr>
                  </m:ctrlPr>
                </m:sub>
              </m:sSub>
            </m:oMath>
            <w:r>
              <w:rPr>
                <w:rFonts w:hint="eastAsia" w:hAnsi="DejaVu Math TeX Gyre" w:cstheme="minorBidi"/>
                <w:b/>
                <w:bCs/>
                <w:i w:val="0"/>
                <w:iCs/>
                <w:color w:val="000000"/>
                <w:kern w:val="2"/>
                <w:sz w:val="18"/>
                <w:szCs w:val="18"/>
                <w:vertAlign w:val="baseline"/>
                <w:lang w:val="en-US" w:eastAsia="zh-CN" w:bidi="ar-SA"/>
              </w:rPr>
              <w:t>，</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bidi="ar-SA"/>
                        </w:rPr>
                        <m:t>ρ</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ctrlPr>
                    <w:rPr>
                      <w:rFonts w:hint="default" w:ascii="DejaVu Math TeX Gyre" w:hAnsi="DejaVu Math TeX Gyre" w:cstheme="minorBidi"/>
                      <w:b/>
                      <w:bCs/>
                      <w:i/>
                      <w:iCs/>
                      <w:color w:val="000000"/>
                      <w:kern w:val="2"/>
                      <w:sz w:val="18"/>
                      <w:szCs w:val="18"/>
                      <w:vertAlign w:val="baseline"/>
                      <w:lang w:val="en-US" w:eastAsia="zh-CN"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d1</m:t>
                  </m:r>
                  <m:ctrlPr>
                    <w:rPr>
                      <w:rFonts w:ascii="DejaVu Math TeX Gyre" w:hAnsi="DejaVu Math TeX Gyre" w:cstheme="minorBidi"/>
                      <w:b/>
                      <w:bCs/>
                      <w:i/>
                      <w:iCs/>
                      <w:color w:val="000000"/>
                      <w:kern w:val="2"/>
                      <w:sz w:val="18"/>
                      <w:szCs w:val="18"/>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无</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continue"/>
            <w:tcBorders>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p>
        </w:tc>
        <w:tc>
          <w:tcPr>
            <w:tcW w:w="680" w:type="dxa"/>
            <w:tcBorders>
              <w:top w:val="single" w:color="auto" w:sz="4" w:space="0"/>
              <w:left w:val="single" w:color="auto" w:sz="4" w:space="0"/>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eastAsia"/>
                <w:color w:val="000000"/>
                <w:sz w:val="18"/>
                <w:szCs w:val="18"/>
                <w:vertAlign w:val="baseline"/>
                <w:lang w:val="en-US" w:eastAsia="zh-CN"/>
              </w:rPr>
              <w:t>H变化</w:t>
            </w:r>
          </w:p>
        </w:tc>
        <w:tc>
          <w:tcPr>
            <w:tcW w:w="6444" w:type="dxa"/>
            <w:tcBorders>
              <w:top w:val="single" w:color="auto" w:sz="4" w:space="0"/>
              <w:left w:val="single" w:color="auto" w:sz="4" w:space="0"/>
              <w:bottom w:val="single" w:color="auto" w:sz="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6"/>
                <w:szCs w:val="16"/>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color w:val="000000"/>
                <w:sz w:val="18"/>
                <w:szCs w:val="18"/>
                <w:vertAlign w:val="baseline"/>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b/>
                <w:bCs/>
                <w:color w:val="000000"/>
                <w:sz w:val="18"/>
                <w:szCs w:val="18"/>
                <w:vertAlign w:val="baseline"/>
              </w:rPr>
            </w:pPr>
            <w:r>
              <w:rPr>
                <w:rFonts w:hint="eastAsia"/>
                <w:b/>
                <w:bCs/>
                <w:color w:val="000000"/>
                <w:sz w:val="18"/>
                <w:szCs w:val="18"/>
                <w:vertAlign w:val="baseline"/>
                <w:lang w:eastAsia="zh-CN"/>
              </w:rPr>
              <w:t>预钻孔</w:t>
            </w:r>
          </w:p>
        </w:tc>
        <w:tc>
          <w:tcPr>
            <w:tcW w:w="680" w:type="dxa"/>
            <w:tcBorders>
              <w:top w:val="single" w:color="auto" w:sz="2" w:space="0"/>
              <w:left w:val="single" w:color="auto" w:sz="4" w:space="0"/>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2" w:space="0"/>
              <w:left w:val="single" w:color="auto" w:sz="4" w:space="0"/>
              <w:bottom w:val="single" w:color="auto" w:sz="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8"/>
                <w:szCs w:val="18"/>
                <w:vertAlign w:val="baseline"/>
              </w:rPr>
            </w:pPr>
          </w:p>
        </w:tc>
        <w:tc>
          <w:tcPr>
            <w:tcW w:w="680" w:type="dxa"/>
            <w:tcBorders>
              <w:top w:val="single" w:color="auto" w:sz="2"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eastAsia"/>
                <w:color w:val="000000"/>
                <w:sz w:val="18"/>
                <w:szCs w:val="18"/>
                <w:vertAlign w:val="baseline"/>
                <w:lang w:val="en-US" w:eastAsia="zh-CN"/>
              </w:rPr>
              <w:t>H变化</w:t>
            </w:r>
          </w:p>
        </w:tc>
        <w:tc>
          <w:tcPr>
            <w:tcW w:w="6444" w:type="dxa"/>
            <w:tcBorders>
              <w:top w:val="single" w:color="auto" w:sz="2"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3"/>
                <w:szCs w:val="13"/>
                <w:vertAlign w:val="baseline"/>
                <w:lang w:val="en-US" w:eastAsia="zh-CN"/>
              </w:rPr>
            </w:pPr>
            <m:oMathPara>
              <m:oMath>
                <m:r>
                  <m:rPr/>
                  <w:rPr>
                    <w:rFonts w:hint="default" w:ascii="DejaVu Math TeX Gyre" w:hAnsi="DejaVu Math TeX Gyre"/>
                    <w:color w:val="000000"/>
                    <w:sz w:val="13"/>
                    <w:szCs w:val="13"/>
                    <w:vertAlign w:val="baseline"/>
                    <w:lang w:val="en-US" w:eastAsia="zh-CN"/>
                  </w:rPr>
                  <m:t>s</m:t>
                </m:r>
                <m:r>
                  <m:rPr>
                    <m:sty m:val="p"/>
                  </m:rPr>
                  <w:rPr>
                    <w:rFonts w:hint="default"/>
                    <w:color w:val="000000"/>
                    <w:sz w:val="13"/>
                    <w:szCs w:val="13"/>
                    <w:vertAlign w:val="baseline"/>
                    <w:lang w:val="en-US" w:eastAsia="zh-CN"/>
                  </w:rPr>
                  <m:t>=</m:t>
                </m:r>
                <m:r>
                  <m:rPr>
                    <m:sty m:val="p"/>
                  </m:rPr>
                  <w:rPr>
                    <w:rFonts w:hint="default" w:ascii="DejaVu Math TeX Gyre" w:hAnsi="DejaVu Math TeX Gyre" w:cstheme="minorBidi"/>
                    <w:color w:val="000000"/>
                    <w:kern w:val="2"/>
                    <w:sz w:val="13"/>
                    <w:szCs w:val="13"/>
                    <w:vertAlign w:val="baseline"/>
                    <w:lang w:val="en-US" w:eastAsia="zh-CN" w:bidi="ar-SA"/>
                  </w:rPr>
                  <m:t>0.95</m:t>
                </m:r>
                <m:r>
                  <m:rPr/>
                  <w:rPr>
                    <w:rFonts w:hint="default" w:ascii="DejaVu Math TeX Gyre" w:hAnsi="DejaVu Math TeX Gyre" w:cstheme="minorBidi"/>
                    <w:color w:val="000000"/>
                    <w:kern w:val="2"/>
                    <w:sz w:val="13"/>
                    <w:szCs w:val="13"/>
                    <w:vertAlign w:val="baseline"/>
                    <w:lang w:val="en-US" w:eastAsia="zh-CN" w:bidi="ar-SA"/>
                  </w:rPr>
                  <m:t>ξ</m:t>
                </m:r>
                <m:rad>
                  <m:radPr>
                    <m:degHide m:val="1"/>
                    <m:ctrlPr>
                      <w:rPr>
                        <w:rFonts w:hint="default" w:ascii="DejaVu Math TeX Gyre" w:hAnsi="DejaVu Math TeX Gyre" w:cstheme="minorBidi"/>
                        <w:b w:val="0"/>
                        <w:i/>
                        <w:iCs/>
                        <w:color w:val="000000"/>
                        <w:kern w:val="2"/>
                        <w:sz w:val="13"/>
                        <w:szCs w:val="13"/>
                        <w:vertAlign w:val="baseline"/>
                        <w:lang w:val="en-US" w:eastAsia="zh-CN" w:bidi="ar-SA"/>
                      </w:rPr>
                    </m:ctrlPr>
                  </m:radPr>
                  <m:deg>
                    <m:ctrlPr>
                      <w:rPr>
                        <w:rFonts w:hint="default" w:ascii="DejaVu Math TeX Gyre" w:hAnsi="DejaVu Math TeX Gyre" w:cstheme="minorBidi"/>
                        <w:b w:val="0"/>
                        <w:i/>
                        <w:iCs/>
                        <w:color w:val="000000"/>
                        <w:kern w:val="2"/>
                        <w:sz w:val="13"/>
                        <w:szCs w:val="13"/>
                        <w:vertAlign w:val="baseline"/>
                        <w:lang w:val="en-US" w:eastAsia="zh-CN" w:bidi="ar-SA"/>
                      </w:rPr>
                    </m:ctrlPr>
                  </m:deg>
                  <m:e>
                    <m:f>
                      <m:fPr>
                        <m:ctrlPr>
                          <w:rPr>
                            <w:rFonts w:hint="default" w:ascii="DejaVu Math TeX Gyre" w:hAnsi="DejaVu Math TeX Gyre" w:cstheme="minorBidi"/>
                            <w:b w:val="0"/>
                            <w:i/>
                            <w:iCs/>
                            <w:color w:val="000000"/>
                            <w:kern w:val="2"/>
                            <w:sz w:val="13"/>
                            <w:szCs w:val="13"/>
                            <w:vertAlign w:val="baseline"/>
                            <w:lang w:val="en-US" w:eastAsia="zh-CN" w:bidi="ar-SA"/>
                          </w:rPr>
                        </m:ctrlPr>
                      </m:fPr>
                      <m:num>
                        <m:sSup>
                          <m:sSupPr>
                            <m:ctrlPr>
                              <w:rPr>
                                <w:rFonts w:hint="default" w:ascii="DejaVu Math TeX Gyre" w:hAnsi="DejaVu Math TeX Gyre" w:cs="Times New Roman"/>
                                <w:color w:val="000000"/>
                                <w:kern w:val="2"/>
                                <w:sz w:val="13"/>
                                <w:szCs w:val="13"/>
                                <w:vertAlign w:val="baseline"/>
                                <w:lang w:val="en-US" w:eastAsia="zh-CN" w:bidi="ar-SA"/>
                              </w:rPr>
                            </m:ctrlPr>
                          </m:s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color w:val="000000"/>
                                <w:kern w:val="2"/>
                                <w:sz w:val="13"/>
                                <w:szCs w:val="13"/>
                                <w:vertAlign w:val="baseline"/>
                                <w:lang w:val="en-US" w:eastAsia="zh-CN" w:bidi="ar-SA"/>
                              </w:rPr>
                            </m:ctrlPr>
                          </m:e>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color w:val="000000"/>
                                <w:kern w:val="2"/>
                                <w:sz w:val="13"/>
                                <w:szCs w:val="13"/>
                                <w:vertAlign w:val="baseline"/>
                                <w:lang w:val="en-US" w:eastAsia="zh-CN" w:bidi="ar-SA"/>
                              </w:rPr>
                            </m:ctrlPr>
                          </m:sup>
                        </m:s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ctrlPr>
                          <w:rPr>
                            <w:rFonts w:hint="default" w:ascii="DejaVu Math TeX Gyre" w:hAnsi="DejaVu Math TeX Gyre" w:cstheme="minorBidi"/>
                            <w:b w:val="0"/>
                            <w:i/>
                            <w:iCs/>
                            <w:color w:val="000000"/>
                            <w:kern w:val="2"/>
                            <w:sz w:val="13"/>
                            <w:szCs w:val="13"/>
                            <w:vertAlign w:val="baseline"/>
                            <w:lang w:val="en-US" w:eastAsia="zh-CN" w:bidi="ar-SA"/>
                          </w:rPr>
                        </m:ctrlPr>
                      </m:num>
                      <m:den>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ctrlPr>
                          <w:rPr>
                            <w:rFonts w:hint="default" w:ascii="DejaVu Math TeX Gyre" w:hAnsi="DejaVu Math TeX Gyre" w:cstheme="minorBidi"/>
                            <w:b w:val="0"/>
                            <w:i/>
                            <w:iCs/>
                            <w:color w:val="000000"/>
                            <w:kern w:val="2"/>
                            <w:sz w:val="13"/>
                            <w:szCs w:val="13"/>
                            <w:vertAlign w:val="baseline"/>
                            <w:lang w:val="en-US" w:eastAsia="zh-CN" w:bidi="ar-SA"/>
                          </w:rPr>
                        </m:ctrlPr>
                      </m:den>
                    </m:f>
                    <m:ctrlPr>
                      <w:rPr>
                        <w:rFonts w:hint="default" w:ascii="DejaVu Math TeX Gyre" w:hAnsi="DejaVu Math TeX Gyre" w:cstheme="minorBidi"/>
                        <w:b w:val="0"/>
                        <w:i/>
                        <w:iCs/>
                        <w:color w:val="000000"/>
                        <w:kern w:val="2"/>
                        <w:sz w:val="13"/>
                        <w:szCs w:val="13"/>
                        <w:vertAlign w:val="baseline"/>
                        <w:lang w:val="en-US" w:eastAsia="zh-CN" w:bidi="ar-SA"/>
                      </w:rPr>
                    </m:ctrlPr>
                  </m:e>
                </m:rad>
                <m:r>
                  <m:rPr>
                    <m:sty m:val="p"/>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num>
                      <m:den>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r>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ctrlPr>
                          <w:rPr>
                            <w:rFonts w:hint="default" w:ascii="DejaVu Math TeX Gyre" w:hAnsi="DejaVu Math TeX Gyre" w:cstheme="minorBidi"/>
                            <w:i/>
                            <w:iCs/>
                            <w:color w:val="000000"/>
                            <w:kern w:val="2"/>
                            <w:sz w:val="13"/>
                            <w:szCs w:val="13"/>
                            <w:vertAlign w:val="baseline"/>
                            <w:lang w:val="en-US" w:eastAsia="zh-CN" w:bidi="ar-SA"/>
                          </w:rPr>
                        </m:ctrlPr>
                      </m:num>
                      <m:den>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olor w:val="000000"/>
                    <w:sz w:val="13"/>
                    <w:szCs w:val="13"/>
                    <w:vertAlign w:val="baseline"/>
                    <w:lang w:val="en-US" w:eastAsia="zh-CN"/>
                  </w:rPr>
                  <m:t>s=0.89ξ</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oMath>
            </m:oMathPara>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8"/>
          <w:szCs w:val="21"/>
          <w:lang w:val="en-US" w:eastAsia="zh-CN"/>
        </w:rPr>
      </w:pPr>
      <w:r>
        <w:rPr>
          <w:rFonts w:hint="default" w:ascii="Times New Roman" w:hAnsi="Times New Roman" w:cs="Times New Roman"/>
          <w:sz w:val="18"/>
          <w:szCs w:val="21"/>
          <w:lang w:val="en-US" w:eastAsia="zh-CN"/>
        </w:rPr>
        <w:t>内摩擦角</w:t>
      </w:r>
      <w:r>
        <w:rPr>
          <w:rFonts w:hint="default" w:ascii="Times New Roman" w:hAnsi="Times New Roman" w:cs="Times New Roman"/>
          <w:i/>
          <w:iCs/>
          <w:sz w:val="18"/>
          <w:szCs w:val="21"/>
          <w:lang w:val="en-US" w:eastAsia="zh-CN"/>
        </w:rPr>
        <w:t>φ</w:t>
      </w:r>
      <w:r>
        <w:rPr>
          <w:rFonts w:hint="default" w:ascii="Times New Roman" w:hAnsi="Times New Roman" w:cs="Times New Roman"/>
          <w:sz w:val="18"/>
          <w:szCs w:val="21"/>
          <w:lang w:val="en-US" w:eastAsia="zh-CN"/>
        </w:rPr>
        <w:t>与</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a</w:t>
      </w:r>
      <w:r>
        <w:rPr>
          <w:rFonts w:hint="default" w:ascii="Times New Roman" w:hAnsi="Times New Roman" w:cs="Times New Roman"/>
          <w:sz w:val="18"/>
          <w:szCs w:val="21"/>
          <w:lang w:val="en-US" w:eastAsia="zh-CN"/>
        </w:rPr>
        <w:t>、</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p</w:t>
      </w:r>
      <w:r>
        <w:rPr>
          <w:rFonts w:hint="default" w:ascii="Times New Roman" w:hAnsi="Times New Roman" w:cs="Times New Roman"/>
          <w:sz w:val="18"/>
          <w:szCs w:val="21"/>
          <w:lang w:val="en-US" w:eastAsia="zh-CN"/>
        </w:rPr>
        <w:t>对应关系表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7" w:type="dxa"/>
          <w:left w:w="57" w:type="dxa"/>
          <w:bottom w:w="0" w:type="dxa"/>
          <w:right w:w="57" w:type="dxa"/>
        </w:tblCellMar>
      </w:tblPr>
      <w:tblGrid>
        <w:gridCol w:w="798"/>
        <w:gridCol w:w="798"/>
        <w:gridCol w:w="798"/>
        <w:gridCol w:w="798"/>
        <w:gridCol w:w="798"/>
        <w:gridCol w:w="798"/>
        <w:gridCol w:w="798"/>
        <w:gridCol w:w="798"/>
        <w:gridCol w:w="798"/>
        <w:gridCol w:w="798"/>
        <w:gridCol w:w="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12"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φ</w:t>
            </w:r>
          </w:p>
        </w:tc>
        <w:tc>
          <w:tcPr>
            <w:tcW w:w="798" w:type="dxa"/>
            <w:tcBorders>
              <w:top w:val="single" w:color="auto" w:sz="12"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10°</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11°</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12°</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13°</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14°</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15°</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16°</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17°</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18°</w:t>
            </w:r>
          </w:p>
        </w:tc>
        <w:tc>
          <w:tcPr>
            <w:tcW w:w="807"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0.704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0.656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0.610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0.589</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0.568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0.548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0.528</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1.525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1.761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1.826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1.894</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1.965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w:t>
            </w:r>
            <w:r>
              <w:rPr>
                <w:rFonts w:hint="default" w:ascii="Times New Roman" w:hAnsi="Times New Roman" w:cs="Times New Roman"/>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29</w:t>
            </w:r>
            <w:r>
              <w:rPr>
                <w:rFonts w:hint="default" w:ascii="Times New Roman" w:hAnsi="Times New Roman" w:cs="Times New Roman"/>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0.455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0.422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0.406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0.376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0.361</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2.040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2.117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2.464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2.663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2.770</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38</w:t>
            </w:r>
            <w:r>
              <w:rPr>
                <w:rFonts w:hint="default" w:ascii="Times New Roman" w:hAnsi="Times New Roman" w:cs="Times New Roman"/>
                <w:b/>
                <w:bCs/>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40</w:t>
            </w:r>
            <w:r>
              <w:rPr>
                <w:rFonts w:hint="default" w:ascii="Times New Roman" w:hAnsi="Times New Roman" w:cs="Times New Roman"/>
                <w:b/>
                <w:bCs/>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45</w:t>
            </w:r>
            <w:r>
              <w:rPr>
                <w:rFonts w:hint="default" w:ascii="Times New Roman" w:hAnsi="Times New Roman" w:cs="Times New Roman"/>
                <w:b/>
                <w:b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0.307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0.295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0.260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0.217</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3.000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3.124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3.255</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3.392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3.537</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3.690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3.852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4.204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4.599</w:t>
            </w:r>
          </w:p>
        </w:tc>
        <w:tc>
          <w:tcPr>
            <w:tcW w:w="80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5.828</w:t>
            </w:r>
          </w:p>
        </w:tc>
      </w:tr>
    </w:tbl>
    <w:p>
      <w:pPr>
        <w:spacing w:line="240" w:lineRule="auto"/>
        <w:rPr>
          <w:rFonts w:hint="eastAsia" w:eastAsiaTheme="minorEastAsia"/>
          <w:lang w:eastAsia="zh-CN"/>
        </w:rPr>
      </w:pPr>
      <w:r>
        <w:rPr>
          <w:rFonts w:hint="eastAsia" w:eastAsiaTheme="minorEastAsia"/>
          <w:lang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989"/>
        <w:gridCol w:w="2717"/>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p>
        </w:tc>
        <w:tc>
          <w:tcPr>
            <w:tcW w:w="38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382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eastAsia="zh-CN"/>
              </w:rPr>
            </w:pPr>
            <w:r>
              <w:rPr>
                <w:rFonts w:hint="default" w:ascii="Times New Roman" w:hAnsi="Times New Roman" w:cs="Times New Roman"/>
                <w:b/>
                <w:bCs/>
                <w:color w:val="000000"/>
                <w:sz w:val="16"/>
                <w:szCs w:val="16"/>
                <w:vertAlign w:val="baseline"/>
                <w:lang w:eastAsia="zh-CN"/>
              </w:rPr>
              <w:t>被动土压力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①黏性土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②</w:t>
            </w:r>
            <w:r>
              <w:rPr>
                <w:rFonts w:hint="default" w:ascii="Times New Roman" w:hAnsi="Times New Roman" w:cs="Times New Roman"/>
                <w:b/>
                <w:bCs/>
                <w:color w:val="000000"/>
                <w:sz w:val="16"/>
                <w:szCs w:val="16"/>
                <w:vertAlign w:val="baseline"/>
                <w:lang w:eastAsia="zh-CN"/>
              </w:rPr>
              <w:t>无</w:t>
            </w:r>
            <w:r>
              <w:rPr>
                <w:rFonts w:hint="default" w:ascii="Times New Roman" w:hAnsi="Times New Roman" w:cs="Times New Roman"/>
                <w:b/>
                <w:bCs/>
                <w:color w:val="000000"/>
                <w:sz w:val="16"/>
                <w:szCs w:val="16"/>
                <w:vertAlign w:val="baseline"/>
                <w:lang w:val="en-US" w:eastAsia="zh-CN"/>
              </w:rPr>
              <w:t>黏</w:t>
            </w:r>
            <w:r>
              <w:rPr>
                <w:rFonts w:hint="default" w:ascii="Times New Roman" w:hAnsi="Times New Roman" w:cs="Times New Roman"/>
                <w:b/>
                <w:bCs/>
                <w:color w:val="000000"/>
                <w:sz w:val="16"/>
                <w:szCs w:val="16"/>
                <w:vertAlign w:val="baseline"/>
                <w:lang w:eastAsia="zh-CN"/>
              </w:rPr>
              <w:t>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G</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通用公式：</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sSup>
                        <m:sSupPr>
                          <m:ctrlPr>
                            <w:rPr>
                              <w:rFonts w:hint="default" w:ascii="Cambria Math" w:hAnsi="Cambria Math" w:cs="Times New Roman"/>
                              <w:iCs/>
                              <w:color w:val="000000"/>
                              <w:kern w:val="2"/>
                              <w:sz w:val="20"/>
                              <w:szCs w:val="20"/>
                              <w:vertAlign w:val="baseline"/>
                              <w:lang w:val="en-US" w:bidi="ar-SA"/>
                            </w:rPr>
                          </m:ctrlPr>
                        </m:sSupPr>
                        <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简化公式</w:t>
            </w:r>
            <w:r>
              <w:rPr>
                <w:rFonts w:hint="default" w:ascii="Times New Roman" w:hAnsi="Times New Roman" w:cs="Times New Roman"/>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val="en-US" w:eastAsia="zh-CN"/>
              </w:rPr>
              <w:t>简化公式2：</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i w:val="0"/>
                <w:color w:val="000000"/>
                <w:kern w:val="2"/>
                <w:sz w:val="16"/>
                <w:szCs w:val="16"/>
                <w:vertAlign w:val="baseline"/>
                <w:lang w:val="en-US" w:eastAsia="zh-CN" w:bidi="ar-SA"/>
              </w:rPr>
              <w:t>朗金条件</w:t>
            </w:r>
            <w:r>
              <w:rPr>
                <w:rFonts w:hint="default" w:ascii="Times New Roman" w:hAnsi="Times New Roman" w:cs="Times New Roman"/>
                <w:color w:val="000000"/>
                <w:sz w:val="16"/>
                <w:szCs w:val="16"/>
                <w:vertAlign w:val="baseline"/>
                <w:lang w:val="en-US" w:eastAsia="zh-CN"/>
              </w:rPr>
              <w:t>：</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r>
                <m:rPr/>
                <w:rPr>
                  <w:rFonts w:hint="default" w:ascii="Cambria Math" w:hAnsi="Cambria Math" w:cs="Times New Roman"/>
                  <w:color w:val="000000"/>
                  <w:kern w:val="2"/>
                  <w:sz w:val="20"/>
                  <w:szCs w:val="20"/>
                  <w:vertAlign w:val="baseline"/>
                  <w:lang w:val="en-US" w:eastAsia="zh-CN" w:bidi="ar-SA"/>
                </w:rPr>
                <m:t>bH</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L</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color w:val="000000"/>
                            <w:kern w:val="2"/>
                            <w:sz w:val="16"/>
                            <w:szCs w:val="16"/>
                            <w:vertAlign w:val="baseline"/>
                            <w:lang w:val="en-US" w:eastAsia="zh-CN" w:bidi="ar-SA"/>
                          </w:rPr>
                        </m:ctrlPr>
                      </m:e>
                    </m:func>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θ−β</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特殊1.1</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&gt;45°+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kern w:val="2"/>
                <w:sz w:val="16"/>
                <w:szCs w:val="16"/>
                <w:vertAlign w:val="baseline"/>
                <w:lang w:val="en-US" w:eastAsia="zh-CN" w:bidi="ar-SA"/>
                <w:oMath/>
              </w:rPr>
            </w:pPr>
            <w:r>
              <w:rPr>
                <w:rFonts w:hint="default" w:ascii="Times New Roman" w:hAnsi="Times New Roman" w:cs="Times New Roman"/>
                <w:sz w:val="16"/>
                <w:szCs w:val="16"/>
                <w:lang w:val="en-US" w:eastAsia="zh-CN"/>
              </w:rPr>
              <w:t>岩质边坡：边坡6.2.8、地规6.7.3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826"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&lt;45°+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i w:val="0"/>
                <w:iCs w:val="0"/>
                <w:color w:val="000000"/>
                <w:sz w:val="16"/>
                <w:szCs w:val="16"/>
                <w:vertAlign w:val="baseline"/>
                <w:lang w:val="en-US" w:eastAsia="zh-CN"/>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i w:val="0"/>
                <w:iCs w:val="0"/>
                <w:color w:val="000000"/>
                <w:sz w:val="16"/>
                <w:szCs w:val="16"/>
                <w:vertAlign w:val="baseline"/>
                <w:lang w:val="en-US" w:eastAsia="zh-CN"/>
              </w:rPr>
              <w:t>无黏性土：（1）填土内：沿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的滑裂面，用</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i w:val="0"/>
                <w:color w:val="000000"/>
                <w:kern w:val="2"/>
                <w:sz w:val="16"/>
                <w:szCs w:val="16"/>
                <w:vertAlign w:val="baseline"/>
                <w:lang w:val="en-US" w:eastAsia="zh-CN" w:bidi="ar-SA"/>
              </w:rPr>
              <w:t>，库仑理论/楔体公式②</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val="0"/>
                <w:color w:val="000000"/>
                <w:sz w:val="16"/>
                <w:szCs w:val="16"/>
                <w:vertAlign w:val="baseline"/>
                <w:lang w:val="en-US" w:eastAsia="zh-CN"/>
                <w:oMath/>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 xml:space="preserve">   （2）填土与岩石交接界面：</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特殊1.3</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w:r>
              <w:rPr>
                <w:rFonts w:hint="default" w:ascii="Times New Roman" w:hAnsi="Times New Roman" w:cs="Times New Roman"/>
                <w:b/>
                <w:bCs/>
                <w:i w:val="0"/>
                <w:iCs w:val="0"/>
                <w:color w:val="000000"/>
                <w:kern w:val="2"/>
                <w:sz w:val="16"/>
                <w:szCs w:val="16"/>
                <w:vertAlign w:val="baseline"/>
                <w:lang w:val="en-US" w:eastAsia="zh-CN" w:bidi="ar-SA"/>
              </w:rPr>
              <w:t>无</w:t>
            </w: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iCs w:val="0"/>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bidi="ar-SA"/>
                </w:rPr>
                <m:t>θ</m:t>
              </m:r>
            </m:oMath>
            <w:r>
              <w:rPr>
                <w:rFonts w:hint="default" w:ascii="Times New Roman" w:hAnsi="Times New Roman" w:cs="Times New Roman"/>
                <w:i w:val="0"/>
                <w:color w:val="000000"/>
                <w:kern w:val="2"/>
                <w:sz w:val="16"/>
                <w:szCs w:val="16"/>
                <w:vertAlign w:val="baseline"/>
                <w:lang w:val="en-US" w:eastAsia="zh-CN" w:bidi="ar-SA"/>
              </w:rPr>
              <w:t>的滑裂面，楔体公式②</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（2）</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的滑裂面，楔体公式②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kern w:val="2"/>
                <w:sz w:val="16"/>
                <w:szCs w:val="16"/>
                <w:vertAlign w:val="baseline"/>
                <w:lang w:val="en-US" w:eastAsia="zh-CN" w:bidi="ar-SA"/>
              </w:rPr>
            </w:pP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α=90</m:t>
                </m:r>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δ</m:t>
                </m:r>
                <m:r>
                  <m:rPr>
                    <m:sty m:val="bi"/>
                  </m:rPr>
                  <w:rPr>
                    <w:rFonts w:hint="default" w:ascii="DejaVu Math TeX Gyre" w:hAnsi="DejaVu Math TeX Gyre" w:cs="Times New Roman"/>
                    <w:color w:val="000000"/>
                    <w:kern w:val="2"/>
                    <w:sz w:val="13"/>
                    <w:szCs w:val="13"/>
                    <w:vertAlign w:val="baseline"/>
                    <w:lang w:val="en-US" w:eastAsia="zh-CN" w:bidi="ar-SA"/>
                  </w:rPr>
                  <m:t>=0)</m:t>
                </m:r>
              </m:oMath>
            </m:oMathPara>
          </w:p>
        </w:tc>
        <w:tc>
          <w:tcPr>
            <w:tcW w:w="102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i w:val="0"/>
                <w:color w:val="000000"/>
                <w:kern w:val="2"/>
                <w:sz w:val="16"/>
                <w:szCs w:val="16"/>
                <w:vertAlign w:val="baseline"/>
                <w:lang w:val="en-US" w:eastAsia="zh-CN" w:bidi="ar-SA"/>
              </w:rPr>
            </w:pPr>
            <m:oMathPara>
              <m:oMath>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iCs w:val="0"/>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2c</m:t>
                    </m:r>
                    <m:ctrlPr>
                      <w:rPr>
                        <w:rFonts w:hint="default" w:ascii="Cambria Math" w:hAnsi="Cambria Math" w:cs="Times New Roman"/>
                        <w:i/>
                        <w:iCs w:val="0"/>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rPr>
                      <m:t>γ</m:t>
                    </m:r>
                    <m:rad>
                      <m:radPr>
                        <m:degHide m:val="1"/>
                        <m:ctrlPr>
                          <w:rPr>
                            <w:rFonts w:hint="default" w:ascii="Cambria Math" w:hAnsi="Cambria Math" w:cs="Times New Roman"/>
                            <w:i/>
                            <w:iCs w:val="0"/>
                            <w:color w:val="000000"/>
                            <w:sz w:val="16"/>
                            <w:szCs w:val="16"/>
                            <w:vertAlign w:val="baseline"/>
                            <w:lang w:val="en-US"/>
                          </w:rPr>
                        </m:ctrlPr>
                      </m:radPr>
                      <m:deg>
                        <m:ctrlPr>
                          <w:rPr>
                            <w:rFonts w:hint="default" w:ascii="Cambria Math" w:hAnsi="Cambria Math" w:cs="Times New Roman"/>
                            <w:i/>
                            <w:iCs w:val="0"/>
                            <w:color w:val="000000"/>
                            <w:sz w:val="16"/>
                            <w:szCs w:val="16"/>
                            <w:vertAlign w:val="baseline"/>
                            <w:lang w:val="en-US"/>
                          </w:rPr>
                        </m:ctrlPr>
                      </m:deg>
                      <m:e>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ctrlPr>
                          <w:rPr>
                            <w:rFonts w:hint="default" w:ascii="Cambria Math" w:hAnsi="Cambria Math" w:cs="Times New Roman"/>
                            <w:i/>
                            <w:iCs w:val="0"/>
                            <w:color w:val="000000"/>
                            <w:sz w:val="16"/>
                            <w:szCs w:val="16"/>
                            <w:vertAlign w:val="baseline"/>
                            <w:lang w:val="en-US"/>
                          </w:rPr>
                        </m:ctrlPr>
                      </m:e>
                    </m:rad>
                    <m:ctrlPr>
                      <w:rPr>
                        <w:rFonts w:hint="default" w:ascii="Cambria Math" w:hAnsi="Cambria Math" w:cs="Times New Roman"/>
                        <w:i/>
                        <w:iCs w:val="0"/>
                        <w:color w:val="000000"/>
                        <w:sz w:val="16"/>
                        <w:szCs w:val="16"/>
                        <w:vertAlign w:val="baseline"/>
                        <w:lang w:val="en-US" w:eastAsia="zh-CN"/>
                      </w:rPr>
                    </m:ctrlPr>
                  </m:den>
                </m:f>
              </m:oMath>
            </m:oMathPara>
          </w:p>
        </w:tc>
        <w:tc>
          <w:tcPr>
            <w:tcW w:w="631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val="0"/>
                <w:color w:val="000000"/>
                <w:sz w:val="16"/>
                <w:szCs w:val="16"/>
                <w:vertAlign w:val="baseline"/>
                <w:lang w:val="en-US"/>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oMath>
          </w:p>
          <w:p>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color w:val="000000"/>
                <w:kern w:val="2"/>
                <w:sz w:val="16"/>
                <w:szCs w:val="16"/>
                <w:vertAlign w:val="baseline"/>
                <w:lang w:val="en-US" w:eastAsia="zh-CN" w:bidi="ar-SA"/>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γ</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6"/>
                <w:szCs w:val="16"/>
                <w:vertAlign w:val="baseline"/>
                <w:lang w:val="en-US" w:eastAsia="zh-CN" w:bidi="ar-SA"/>
              </w:rPr>
              <w:t xml:space="preserve">  </w:t>
            </w:r>
            <w:r>
              <w:rPr>
                <w:rFonts w:hint="eastAsia" w:ascii="Times New Roman" w:hAnsi="Times New Roman" w:cs="Times New Roman"/>
                <w:i w:val="0"/>
                <w:iCs/>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r>
              <w:rPr>
                <w:rFonts w:hint="default" w:ascii="Times New Roman" w:hAnsi="Times New Roman" w:cs="Times New Roman"/>
                <w:i w:val="0"/>
                <w:iCs/>
                <w:color w:val="000000"/>
                <w:kern w:val="2"/>
                <w:sz w:val="16"/>
                <w:szCs w:val="16"/>
                <w:vertAlign w:val="baseline"/>
                <w:lang w:val="en-US" w:eastAsia="zh-CN" w:bidi="ar-SA"/>
              </w:rPr>
              <w:t>，代入楔体公式①求解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(地震角</w:t>
            </w:r>
            <m:oMath>
              <m:r>
                <m:rPr>
                  <m:sty m:val="bi"/>
                </m:rPr>
                <w:rPr>
                  <w:rFonts w:hint="default" w:ascii="DejaVu Math TeX Gyre" w:hAnsi="DejaVu Math TeX Gyre" w:cs="Times New Roman"/>
                  <w:color w:val="000000"/>
                  <w:kern w:val="2"/>
                  <w:sz w:val="16"/>
                  <w:szCs w:val="16"/>
                  <w:vertAlign w:val="baseline"/>
                  <w:lang w:val="en-US" w:bidi="ar-SA"/>
                </w:rPr>
                <m:t>ρ</m:t>
              </m:r>
            </m:oMath>
            <w:r>
              <w:rPr>
                <w:rFonts w:hint="default" w:ascii="Times New Roman" w:hAnsi="Times New Roman" w:cs="Times New Roman"/>
                <w:b/>
                <w:bCs/>
                <w:i w:val="0"/>
                <w:iCs w:val="0"/>
                <w:color w:val="000000"/>
                <w:sz w:val="16"/>
                <w:szCs w:val="16"/>
                <w:vertAlign w:val="baseline"/>
                <w:lang w:val="en-US" w:eastAsia="zh-CN"/>
              </w:rPr>
              <w:t>)</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1"/>
                <w:szCs w:val="21"/>
                <w:vertAlign w:val="baseline"/>
                <w:lang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color w:val="000000"/>
                <w:sz w:val="21"/>
                <w:szCs w:val="21"/>
                <w:vertAlign w:val="baseline"/>
                <w:lang w:val="en-US"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水平分力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竖直分力</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x</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均布荷载</w:t>
            </w:r>
            <w:r>
              <w:rPr>
                <w:rFonts w:hint="default" w:ascii="Times New Roman" w:hAnsi="Times New Roman" w:cs="Times New Roman"/>
                <w:b/>
                <w:bCs/>
                <w:i/>
                <w:iCs/>
                <w:color w:val="000000"/>
                <w:sz w:val="16"/>
                <w:szCs w:val="16"/>
                <w:vertAlign w:val="baseline"/>
                <w:lang w:val="en-US" w:eastAsia="zh-CN"/>
              </w:rPr>
              <w:t>q</w:t>
            </w:r>
          </w:p>
        </w:tc>
        <w:tc>
          <w:tcPr>
            <w:tcW w:w="7653"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bidi="ar-SA"/>
                  </w:rPr>
                  <m:t>×</m:t>
                </m:r>
                <m:sSub>
                  <m:sSubPr>
                    <m:ctrlPr>
                      <w:rPr>
                        <w:rFonts w:hint="default" w:ascii="Cambria Math" w:hAnsi="Cambria Math" w:cs="Times New Roman"/>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H</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f>
                  <m:fPr>
                    <m:ctrlPr>
                      <w:rPr>
                        <w:rFonts w:hint="default" w:ascii="Cambria Math" w:hAnsi="Cambria Math" w:cs="Times New Roman"/>
                        <w:i/>
                        <w:iCs/>
                        <w:color w:val="000000"/>
                        <w:kern w:val="2"/>
                        <w:sz w:val="16"/>
                        <w:szCs w:val="16"/>
                        <w:vertAlign w:val="baseline"/>
                        <w:lang w:val="en-US" w:bidi="ar-SA"/>
                      </w:rPr>
                    </m:ctrlPr>
                  </m:fPr>
                  <m:num>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(α+β)</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(α+θ)</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
                        <w:iCs/>
                        <w:color w:val="000000"/>
                        <w:kern w:val="2"/>
                        <w:sz w:val="16"/>
                        <w:szCs w:val="16"/>
                        <w:vertAlign w:val="baseline"/>
                        <w:lang w:val="en-US" w:bidi="ar-SA"/>
                      </w:rPr>
                    </m:ctrlPr>
                  </m:num>
                  <m:den>
                    <m:func>
                      <m:funcPr>
                        <m:ctrlPr>
                          <w:rPr>
                            <w:rFonts w:hint="default" w:ascii="Cambria Math" w:hAnsi="Cambria Math" w:cs="Times New Roman"/>
                            <w:i/>
                            <w:iCs/>
                            <w:color w:val="000000"/>
                            <w:kern w:val="2"/>
                            <w:sz w:val="16"/>
                            <w:szCs w:val="16"/>
                            <w:vertAlign w:val="baseline"/>
                            <w:lang w:val="en-US" w:bidi="ar-SA"/>
                          </w:rPr>
                        </m:ctrlPr>
                      </m:funcPr>
                      <m:fName>
                        <m:sSup>
                          <m:sSupPr>
                            <m:ctrlPr>
                              <w:rPr>
                                <w:rFonts w:hint="default" w:ascii="Cambria Math" w:hAnsi="Cambria Math" w:cs="Times New Roman"/>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(θ−β)</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Cs/>
                        <w:color w:val="000000"/>
                        <w:kern w:val="2"/>
                        <w:sz w:val="16"/>
                        <w:szCs w:val="16"/>
                        <w:vertAlign w:val="baseline"/>
                        <w:lang w:val="en-US" w:bidi="ar-SA"/>
                      </w:rPr>
                    </m:ctrlPr>
                  </m:den>
                </m:f>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val="0"/>
                            <w:color w:val="000000"/>
                            <w:kern w:val="2"/>
                            <w:sz w:val="16"/>
                            <w:szCs w:val="16"/>
                            <w:vertAlign w:val="baseline"/>
                            <w:lang w:val="en-US" w:eastAsia="zh-CN" w:bidi="ar-SA"/>
                          </w:rPr>
                        </m:ctrlPr>
                      </m:e>
                    </m:func>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γ</m:t>
                    </m:r>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简化公式：</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eastAsia="zh-CN" w:bidi="ar-SA"/>
                </w:rPr>
                <m:t>+qH)</m:t>
              </m:r>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18"/>
          <w:szCs w:val="21"/>
          <w:lang w:val="en-US" w:eastAsia="zh-CN"/>
        </w:rPr>
      </w:pPr>
      <w:r>
        <w:rPr>
          <w:rFonts w:hint="eastAsia"/>
          <w:sz w:val="18"/>
          <w:szCs w:val="21"/>
          <w:lang w:val="en-US" w:eastAsia="zh-CN"/>
        </w:rPr>
        <w:t xml:space="preserve"> </w:t>
      </w:r>
      <w:r>
        <w:rPr>
          <w:rFonts w:hint="eastAsia"/>
          <w:sz w:val="18"/>
          <w:szCs w:val="21"/>
          <w:lang w:val="en-US" w:eastAsia="zh-CN"/>
        </w:rPr>
        <w:tab/>
      </w:r>
    </w:p>
    <w:p>
      <w:pPr>
        <w:spacing w:line="240" w:lineRule="auto"/>
        <w:rPr>
          <w:rFonts w:hint="default"/>
          <w:sz w:val="18"/>
          <w:szCs w:val="21"/>
          <w:lang w:val="en-US" w:eastAsia="zh-CN"/>
        </w:rPr>
      </w:pPr>
      <w:r>
        <w:rPr>
          <w:rFonts w:hint="default"/>
          <w:sz w:val="18"/>
          <w:szCs w:val="21"/>
          <w:lang w:val="en-US" w:eastAsia="zh-CN"/>
        </w:rPr>
        <w:br w:type="page"/>
      </w:r>
    </w:p>
    <w:tbl>
      <w:tblPr>
        <w:tblStyle w:val="7"/>
        <w:tblW w:w="708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fixed"/>
        <w:tblCellMar>
          <w:top w:w="28" w:type="dxa"/>
          <w:left w:w="57" w:type="dxa"/>
          <w:bottom w:w="28" w:type="dxa"/>
          <w:right w:w="57" w:type="dxa"/>
        </w:tblCellMar>
      </w:tblPr>
      <w:tblGrid>
        <w:gridCol w:w="926"/>
        <w:gridCol w:w="926"/>
        <w:gridCol w:w="927"/>
        <w:gridCol w:w="927"/>
        <w:gridCol w:w="3381"/>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113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水土分算</w:t>
            </w:r>
          </w:p>
        </w:tc>
        <w:tc>
          <w:tcPr>
            <w:tcW w:w="4235" w:type="dxa"/>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sz w:val="16"/>
                <w:szCs w:val="16"/>
                <w:vertAlign w:val="baseline"/>
                <w:lang w:val="en-US" w:eastAsia="zh-CN"/>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sz w:val="16"/>
                <w:szCs w:val="16"/>
                <w:vertAlign w:val="baseline"/>
                <w:lang w:val="en-US" w:eastAsia="zh-CN"/>
                <w:oMath/>
              </w:rPr>
            </w:pPr>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计算土压力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qH</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)H</m:t>
                </m:r>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计算力矩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i w:val="0"/>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i w:val="0"/>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i w:val="0"/>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q</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color w:val="000000"/>
                        <w:sz w:val="16"/>
                        <w:szCs w:val="16"/>
                        <w:vertAlign w:val="baseline"/>
                        <w:lang w:val="en-US" w:eastAsia="zh-CN"/>
                      </w:rPr>
                    </m:ctrlPr>
                  </m:fPr>
                  <m:num>
                    <m:sSup>
                      <m:sSupPr>
                        <m:ctrlPr>
                          <w:rPr>
                            <w:rFonts w:hint="default" w:ascii="Cambria Math" w:hAnsi="Cambria Math" w:cs="Times New Roman"/>
                            <w:i/>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H</m:t>
                        </m:r>
                        <m:ctrlPr>
                          <w:rPr>
                            <w:rFonts w:hint="default" w:ascii="Cambria Math" w:hAnsi="Cambria Math" w:cs="Times New Roman"/>
                            <w:i/>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sup>
                    </m:sSup>
                    <m:ctrlPr>
                      <w:rPr>
                        <w:rFonts w:hint="default" w:ascii="Cambria Math" w:hAnsi="Cambria Math" w:cs="Times New Roman"/>
                        <w:i/>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den>
                </m:f>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被动土压力</w:t>
            </w: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水土分算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计算土压力</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
                  <m:rPr/>
                  <w:rPr>
                    <w:rFonts w:hint="default" w:ascii="Cambria Math" w:hAnsi="Cambria Math" w:cs="Times New Roman"/>
                    <w:color w:val="000000"/>
                    <w:sz w:val="16"/>
                    <w:szCs w:val="16"/>
                    <w:vertAlign w:val="baseline"/>
                    <w:lang w:val="en-US" w:eastAsia="zh-CN"/>
                  </w:rPr>
                  <m:t>H</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计算力矩</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+c</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4552" w:type="dxa"/>
            <w:gridSpan w:val="4"/>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b/>
                <w:bCs/>
                <w:i w:val="0"/>
                <w:color w:val="000000"/>
                <w:kern w:val="2"/>
                <w:sz w:val="16"/>
                <w:szCs w:val="16"/>
                <w:vertAlign w:val="baseline"/>
                <w:lang w:val="en-US" w:eastAsia="zh-CN" w:bidi="ar-SA"/>
              </w:rPr>
              <w:t>土压力零点位置</w:t>
            </w:r>
            <m:oMath>
              <m:sSub>
                <m:sSubPr>
                  <m:ctrlPr>
                    <w:rPr>
                      <w:rFonts w:hint="default" w:ascii="DejaVu Math TeX Gyre" w:hAnsi="DejaVu Math TeX Gyre" w:cs="Times New Roman"/>
                      <w:b/>
                      <w:bCs/>
                      <w:i/>
                      <w:color w:val="000000"/>
                      <w:kern w:val="2"/>
                      <w:sz w:val="16"/>
                      <w:szCs w:val="16"/>
                      <w:vertAlign w:val="baseline"/>
                      <w:lang w:val="en-US" w:eastAsia="zh-CN"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b/>
                      <w:bCs/>
                      <w:i/>
                      <w:color w:val="000000"/>
                      <w:kern w:val="2"/>
                      <w:sz w:val="16"/>
                      <w:szCs w:val="16"/>
                      <w:vertAlign w:val="baseline"/>
                      <w:lang w:val="en-US" w:eastAsia="zh-CN" w:bidi="ar-SA"/>
                    </w:rPr>
                  </m:ctrlPr>
                </m:e>
                <m:sub>
                  <m:r>
                    <m:rPr>
                      <m:sty m:val="bi"/>
                    </m:rPr>
                    <w:rPr>
                      <w:rFonts w:hint="default" w:ascii="DejaVu Math TeX Gyre" w:hAnsi="DejaVu Math TeX Gyre" w:cs="Times New Roman"/>
                      <w:color w:val="000000"/>
                      <w:kern w:val="2"/>
                      <w:sz w:val="16"/>
                      <w:szCs w:val="16"/>
                      <w:vertAlign w:val="baseline"/>
                      <w:lang w:val="en-US" w:eastAsia="zh-CN" w:bidi="ar-SA"/>
                    </w:rPr>
                    <m:t>0</m:t>
                  </m:r>
                  <m:ctrlPr>
                    <w:rPr>
                      <w:rFonts w:hint="default" w:ascii="DejaVu Math TeX Gyre" w:hAnsi="DejaVu Math TeX Gyre" w:cs="Times New Roman"/>
                      <w:b/>
                      <w:bCs/>
                      <w:i/>
                      <w:color w:val="000000"/>
                      <w:kern w:val="2"/>
                      <w:sz w:val="16"/>
                      <w:szCs w:val="16"/>
                      <w:vertAlign w:val="baseline"/>
                      <w:lang w:val="en-US" w:eastAsia="zh-CN" w:bidi="ar-SA"/>
                    </w:rPr>
                  </m:ctrlPr>
                </m:sub>
              </m:sSub>
            </m:oMath>
          </w:p>
        </w:tc>
        <w:tc>
          <w:tcPr>
            <w:tcW w:w="4235" w:type="dxa"/>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2c</m:t>
                    </m:r>
                    <m:ctrlPr>
                      <w:rPr>
                        <w:rFonts w:hint="default" w:ascii="Cambria Math" w:hAnsi="Cambria Math" w:cs="Times New Roman"/>
                        <w:i/>
                        <w:color w:val="000000"/>
                        <w:kern w:val="2"/>
                        <w:sz w:val="16"/>
                        <w:szCs w:val="16"/>
                        <w:vertAlign w:val="baseline"/>
                        <w:lang w:val="en-US" w:eastAsia="zh-CN" w:bidi="ar-SA"/>
                      </w:rPr>
                    </m:ctrlPr>
                  </m:num>
                  <m:den>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Times New Roman"/>
                    <w:color w:val="000000"/>
                    <w:kern w:val="2"/>
                    <w:sz w:val="16"/>
                    <w:szCs w:val="16"/>
                    <w:vertAlign w:val="baseline"/>
                    <w:lang w:val="en-US" w:bidi="ar-SA"/>
                  </w:rPr>
                  <m:t>γ</m:t>
                </m:r>
              </m:oMath>
            </m:oMathPara>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自重湿陷量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m:t>
            </m:r>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一般：天然地面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挖、填方场地：设计地面</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zs</m:t>
            </m:r>
            <m:ctrlPr>
              <w:rPr>
                <w:rFonts w:hint="eastAsia" w:ascii="Cambria Math" w:hAnsi="Cambria Math" w:cstheme="minorEastAsia"/>
                <w:b/>
                <w:bCs/>
                <w:i w:val="0"/>
                <w:color w:val="000000"/>
                <w:sz w:val="16"/>
                <w:szCs w:val="16"/>
                <w:vertAlign w:val="baseline"/>
                <w:lang w:val="en-US" w:eastAsia="zh-CN"/>
              </w:rPr>
            </m:ctrlPr>
          </m:sub>
        </m:sSub>
        <m:r>
          <m:rPr>
            <m:sty m:val="b"/>
          </m:rPr>
          <w:rPr>
            <w:rFonts w:hint="default" w:ascii="Cambria Math" w:hAnsi="Cambria Math" w:cstheme="minorEastAsia"/>
            <w:color w:val="000000"/>
            <w:sz w:val="16"/>
            <w:szCs w:val="16"/>
            <w:vertAlign w:val="baseline"/>
            <w:lang w:val="en-US" w:eastAsia="zh-CN"/>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16"/>
        <w:gridCol w:w="1416"/>
        <w:gridCol w:w="1416"/>
        <w:gridCol w:w="1416"/>
        <w:gridCol w:w="14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5"/>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湿陷性黄土场地（计算至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m:oMathPara>
              <m:oMath>
                <m:sSub>
                  <m:sSubPr>
                    <m:ctrlPr>
                      <w:rPr>
                        <w:rFonts w:hint="default" w:ascii="DejaVu Math TeX Gyre" w:hAnsi="DejaVu Math TeX Gyre" w:cs="Times New Roman"/>
                        <w:b/>
                        <w:bCs/>
                        <w:i/>
                        <w:color w:val="000000"/>
                        <w:sz w:val="15"/>
                        <w:szCs w:val="15"/>
                        <w:vertAlign w:val="baseline"/>
                        <w:lang w:val="en-US"/>
                      </w:rPr>
                    </m:ctrlPr>
                  </m:sSubPr>
                  <m:e>
                    <m:r>
                      <m:rPr>
                        <m:sty m:val="bi"/>
                      </m:rPr>
                      <w:rPr>
                        <w:rFonts w:hint="default" w:ascii="DejaVu Math TeX Gyre" w:hAnsi="DejaVu Math TeX Gyre" w:cs="Times New Roman"/>
                        <w:color w:val="000000"/>
                        <w:sz w:val="15"/>
                        <w:szCs w:val="15"/>
                        <w:vertAlign w:val="baseline"/>
                        <w:lang w:val="en-US"/>
                      </w:rPr>
                      <m:t>β</m:t>
                    </m:r>
                    <m:ctrlPr>
                      <w:rPr>
                        <w:rFonts w:hint="default" w:ascii="DejaVu Math TeX Gyre" w:hAnsi="DejaVu Math TeX Gyre" w:cs="Times New Roman"/>
                        <w:b/>
                        <w:bCs/>
                        <w:i/>
                        <w:color w:val="000000"/>
                        <w:sz w:val="15"/>
                        <w:szCs w:val="15"/>
                        <w:vertAlign w:val="baseline"/>
                        <w:lang w:val="en-US"/>
                      </w:rPr>
                    </m:ctrlPr>
                  </m:e>
                  <m:sub>
                    <m:r>
                      <m:rPr>
                        <m:sty m:val="bi"/>
                      </m:rPr>
                      <w:rPr>
                        <w:rFonts w:hint="default" w:ascii="DejaVu Math TeX Gyre" w:hAnsi="DejaVu Math TeX Gyre" w:cs="Times New Roman"/>
                        <w:color w:val="000000"/>
                        <w:sz w:val="15"/>
                        <w:szCs w:val="15"/>
                        <w:vertAlign w:val="baseline"/>
                        <w:lang w:val="en-US" w:eastAsia="zh-CN"/>
                      </w:rPr>
                      <m:t>0</m:t>
                    </m:r>
                    <m:ctrlPr>
                      <w:rPr>
                        <w:rFonts w:hint="default" w:ascii="DejaVu Math TeX Gyre" w:hAnsi="DejaVu Math TeX Gyre" w:cs="Times New Roman"/>
                        <w:b/>
                        <w:bCs/>
                        <w:i/>
                        <w:color w:val="000000"/>
                        <w:sz w:val="15"/>
                        <w:szCs w:val="15"/>
                        <w:vertAlign w:val="baseline"/>
                        <w:lang w:val="en-US"/>
                      </w:rPr>
                    </m:ctrlPr>
                  </m:sub>
                </m:sSub>
              </m:oMath>
            </m:oMathPara>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Ⅰ陇西地区</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Ⅱ陇东-陕北-晋西</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Ⅲ关中地区</w:t>
            </w:r>
          </w:p>
        </w:tc>
        <w:tc>
          <w:tcPr>
            <w:tcW w:w="17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r>
              <w:rPr>
                <w:rFonts w:hint="eastAsia" w:ascii="Times New Roman" w:hAnsi="Times New Roman" w:cs="Times New Roman"/>
                <w:color w:val="000000"/>
                <w:sz w:val="15"/>
                <w:szCs w:val="15"/>
                <w:vertAlign w:val="baseline"/>
                <w:lang w:val="en-US" w:eastAsia="zh-CN"/>
              </w:rPr>
              <w:t>1.5</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1.2</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0.9</w:t>
            </w:r>
          </w:p>
        </w:tc>
        <w:tc>
          <w:tcPr>
            <w:tcW w:w="176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0.5</w:t>
            </w:r>
          </w:p>
        </w:tc>
      </w:tr>
    </w:tbl>
    <w:p>
      <w:pPr>
        <w:keepNext w:val="0"/>
        <w:keepLines w:val="0"/>
        <w:pageBreakBefore w:val="0"/>
        <w:widowControl w:val="0"/>
        <w:kinsoku/>
        <w:wordWrap/>
        <w:overflowPunct/>
        <w:topLinePunct w:val="0"/>
        <w:autoSpaceDE/>
        <w:autoSpaceDN/>
        <w:bidi w:val="0"/>
        <w:adjustRightInd/>
        <w:snapToGrid w:val="0"/>
        <w:spacing w:before="157" w:beforeLines="50"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总湿陷量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一般：基础底面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eastAsia" w:ascii="DejaVu Math TeX Gyre" w:hAnsi="DejaVu Math TeX Gyre" w:cstheme="minorEastAsia"/>
                    <w:color w:val="000000"/>
                    <w:sz w:val="16"/>
                    <w:szCs w:val="16"/>
                    <w:vertAlign w:val="baseline"/>
                    <w:lang w:val="en-US" w:eastAsia="zh-CN"/>
                  </w:rPr>
                  <m:t>初勘阶段、</m:t>
                </m:r>
                <m:r>
                  <m:rPr>
                    <m:sty m:val="b"/>
                  </m:rPr>
                  <w:rPr>
                    <w:rFonts w:hint="default" w:ascii="DejaVu Math TeX Gyre" w:hAnsi="DejaVu Math TeX Gyre" w:cstheme="minorEastAsia"/>
                    <w:color w:val="000000"/>
                    <w:sz w:val="16"/>
                    <w:szCs w:val="16"/>
                    <w:vertAlign w:val="baseline"/>
                    <w:lang w:val="en-US" w:eastAsia="zh-CN"/>
                  </w:rPr>
                  <m:t>基底标高不确定：自地面下1.5m</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 xml:space="preserve">，湿陷系数 </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s</m:t>
            </m:r>
            <m:ctrlPr>
              <w:rPr>
                <w:rFonts w:hint="eastAsia" w:ascii="Cambria Math" w:hAnsi="Cambria Math" w:cstheme="minorEastAsia"/>
                <w:b/>
                <w:bCs/>
                <w:color w:val="000000"/>
                <w:sz w:val="16"/>
                <w:szCs w:val="16"/>
                <w:vertAlign w:val="baseline"/>
                <w:lang w:val="en-US" w:eastAsia="zh-CN"/>
              </w:rPr>
            </m:ctrlPr>
          </m:sub>
        </m:sSub>
        <m:r>
          <m:rPr>
            <m:sty m:val="b"/>
          </m:rPr>
          <w:rPr>
            <w:rFonts w:ascii="Cambria Math" w:hAnsi="Cambria Math" w:cstheme="minorEastAsia"/>
            <w:color w:val="000000"/>
            <w:sz w:val="16"/>
            <w:szCs w:val="16"/>
            <w:vertAlign w:val="baseline"/>
            <w:lang w:val="en-US"/>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543"/>
        <w:gridCol w:w="780"/>
        <w:gridCol w:w="780"/>
        <w:gridCol w:w="1"/>
        <w:gridCol w:w="779"/>
        <w:gridCol w:w="780"/>
        <w:gridCol w:w="2"/>
        <w:gridCol w:w="778"/>
        <w:gridCol w:w="780"/>
        <w:gridCol w:w="3"/>
        <w:gridCol w:w="777"/>
        <w:gridCol w:w="7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hint="default" w:ascii="DejaVu Math TeX Gyre" w:hAnsi="DejaVu Math TeX Gyre" w:cs="Times New Roman"/>
                  <w:color w:val="000000"/>
                  <w:sz w:val="15"/>
                  <w:szCs w:val="15"/>
                  <w:vertAlign w:val="baseline"/>
                  <w:lang w:val="en-US" w:eastAsia="zh-CN"/>
                </w:rPr>
                <m:t>&gt;70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hAnsi="DejaVu Math TeX Gyre" w:cs="Times New Roman"/>
                <w:i w:val="0"/>
                <w:color w:val="000000"/>
                <w:kern w:val="2"/>
                <w:sz w:val="15"/>
                <w:szCs w:val="15"/>
                <w:vertAlign w:val="baseline"/>
                <w:lang w:val="en-US" w:eastAsia="zh-CN" w:bidi="ar-SA"/>
              </w:rPr>
              <w:t>计算深度：</w:t>
            </w:r>
            <m:oMath>
              <m:sSub>
                <m:sSubPr>
                  <m:ctrlPr>
                    <w:rPr>
                      <w:rFonts w:hint="default" w:ascii="DejaVu Math TeX Gyre" w:hAnsi="DejaVu Math TeX Gyre" w:cs="Times New Roman"/>
                      <w:i/>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z</m:t>
                  </m:r>
                  <m:ctrlPr>
                    <w:rPr>
                      <w:rFonts w:hint="default" w:ascii="DejaVu Math TeX Gyre" w:hAnsi="DejaVu Math TeX Gyre" w:cs="Times New Roman"/>
                      <w:i/>
                      <w:color w:val="000000"/>
                      <w:kern w:val="2"/>
                      <w:sz w:val="15"/>
                      <w:szCs w:val="15"/>
                      <w:vertAlign w:val="baseline"/>
                      <w:lang w:val="en-US" w:eastAsia="zh-CN" w:bidi="ar-SA"/>
                    </w:rPr>
                  </m:ctrlPr>
                </m:e>
                <m:sub>
                  <m:r>
                    <m:rPr>
                      <m:sty m:val="p"/>
                    </m:rPr>
                    <w:rPr>
                      <w:rFonts w:hint="eastAsia" w:ascii="DejaVu Math TeX Gyre" w:hAnsi="DejaVu Math TeX Gyre" w:cs="Times New Roman"/>
                      <w:color w:val="000000"/>
                      <w:kern w:val="2"/>
                      <w:sz w:val="15"/>
                      <w:szCs w:val="15"/>
                      <w:vertAlign w:val="baseline"/>
                      <w:lang w:val="en-US" w:eastAsia="zh-CN" w:bidi="ar-SA"/>
                    </w:rPr>
                    <m:t>总</m:t>
                  </m:r>
                  <m:ctrlPr>
                    <w:rPr>
                      <w:rFonts w:hint="default" w:ascii="DejaVu Math TeX Gyre" w:hAnsi="DejaVu Math TeX Gyre" w:cs="Times New Roman"/>
                      <w:i/>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nary>
                <m:naryPr>
                  <m:chr m:val="∑"/>
                  <m:limLoc m:val="undOvr"/>
                  <m:subHide m:val="1"/>
                  <m:supHide m:val="1"/>
                  <m:ctrlPr>
                    <w:rPr>
                      <w:rFonts w:hint="default" w:ascii="DejaVu Math TeX Gyre" w:hAnsi="DejaVu Math TeX Gyre" w:cs="Times New Roman"/>
                      <w:b w:val="0"/>
                      <w:bCs w:val="0"/>
                      <w:color w:val="000000"/>
                      <w:kern w:val="2"/>
                      <w:sz w:val="15"/>
                      <w:szCs w:val="15"/>
                      <w:vertAlign w:val="baseline"/>
                      <w:lang w:val="en-US" w:eastAsia="zh-CN" w:bidi="ar-SA"/>
                    </w:rPr>
                  </m:ctrlPr>
                </m:naryPr>
                <m:sub>
                  <m:ctrlPr>
                    <w:rPr>
                      <w:rFonts w:hint="default" w:ascii="DejaVu Math TeX Gyre" w:hAnsi="DejaVu Math TeX Gyre" w:cs="Times New Roman"/>
                      <w:b w:val="0"/>
                      <w:bCs w:val="0"/>
                      <w:color w:val="000000"/>
                      <w:kern w:val="2"/>
                      <w:sz w:val="15"/>
                      <w:szCs w:val="15"/>
                      <w:vertAlign w:val="baseline"/>
                      <w:lang w:val="en-US" w:eastAsia="zh-CN" w:bidi="ar-SA"/>
                    </w:rPr>
                  </m:ctrlPr>
                </m:sub>
                <m:sup>
                  <m:ctrlPr>
                    <w:rPr>
                      <w:rFonts w:hint="default" w:ascii="DejaVu Math TeX Gyre" w:hAnsi="DejaVu Math TeX Gyre" w:cs="Times New Roman"/>
                      <w:b w:val="0"/>
                      <w:bCs w:val="0"/>
                      <w:color w:val="000000"/>
                      <w:kern w:val="2"/>
                      <w:sz w:val="15"/>
                      <w:szCs w:val="15"/>
                      <w:vertAlign w:val="baseline"/>
                      <w:lang w:val="en-US" w:eastAsia="zh-CN" w:bidi="ar-SA"/>
                    </w:rPr>
                  </m:ctrlPr>
                </m:sup>
                <m:e>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取样</m:t>
                      </m:r>
                      <m:ctrlPr>
                        <w:rPr>
                          <w:rFonts w:hint="default" w:ascii="DejaVu Math TeX Gyre" w:hAnsi="DejaVu Math TeX Gyre" w:cs="Times New Roman"/>
                          <w:b w:val="0"/>
                          <w:bCs w:val="0"/>
                          <w:color w:val="000000"/>
                          <w:kern w:val="2"/>
                          <w:sz w:val="15"/>
                          <w:szCs w:val="15"/>
                          <w:vertAlign w:val="baseline"/>
                          <w:lang w:val="en-US" w:eastAsia="zh-CN" w:bidi="ar-SA"/>
                        </w:rPr>
                      </m:ctrlPr>
                    </m:sub>
                  </m:sSub>
                  <m:ctrlPr>
                    <w:rPr>
                      <w:rFonts w:hint="default" w:ascii="DejaVu Math TeX Gyre" w:hAnsi="DejaVu Math TeX Gyre" w:cs="Times New Roman"/>
                      <w:b w:val="0"/>
                      <w:bCs w:val="0"/>
                      <w:color w:val="000000"/>
                      <w:kern w:val="2"/>
                      <w:sz w:val="15"/>
                      <w:szCs w:val="15"/>
                      <w:vertAlign w:val="baseline"/>
                      <w:lang w:val="en-US" w:eastAsia="zh-CN" w:bidi="ar-SA"/>
                    </w:rPr>
                  </m:ctrlPr>
                </m:e>
              </m:nary>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基础</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+0.5m（一般</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非自重湿陷性黄土场地（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ascii="DejaVu Math TeX Gyre" w:hAnsi="DejaVu Math TeX Gyre" w:cs="Times New Roman"/>
                  <w:color w:val="000000"/>
                  <w:sz w:val="15"/>
                  <w:szCs w:val="15"/>
                  <w:vertAlign w:val="baseline"/>
                  <w:lang w:val="en-US"/>
                </w:rPr>
                <m:t>≤</m:t>
              </m:r>
              <m:r>
                <m:rPr/>
                <w:rPr>
                  <w:rFonts w:hint="default" w:ascii="DejaVu Math TeX Gyre" w:hAnsi="DejaVu Math TeX Gyre" w:cs="Times New Roman"/>
                  <w:color w:val="000000"/>
                  <w:sz w:val="15"/>
                  <w:szCs w:val="15"/>
                  <w:vertAlign w:val="baseline"/>
                  <w:lang w:val="en-US" w:eastAsia="zh-CN"/>
                </w:rPr>
                <m: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max</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基底下10m，地基压缩层深度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bl>
    <w:p>
      <w:pPr>
        <w:spacing w:line="240" w:lineRule="auto"/>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84"/>
        <w:gridCol w:w="1885"/>
        <w:gridCol w:w="1092"/>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 w:hRule="atLeast"/>
          <w:jc w:val="center"/>
        </w:trPr>
        <w:tc>
          <w:tcPr>
            <w:tcW w:w="1884"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885" w:type="dxa"/>
            <w:tcBorders>
              <w:top w:val="single" w:color="auto" w:sz="12"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2184" w:type="dxa"/>
            <w:gridSpan w:val="2"/>
            <w:tcBorders>
              <w:top w:val="single" w:color="auto" w:sz="12" w:space="0"/>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2184" w:type="dxa"/>
            <w:gridSpan w:val="2"/>
            <w:tcBorders>
              <w:top w:val="single" w:color="auto" w:sz="4" w:space="0"/>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1884" w:type="dxa"/>
            <w:vMerge w:val="continue"/>
            <w:tcBorders>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092" w:type="dxa"/>
            <w:vMerge w:val="continue"/>
            <w:tcBorders>
              <w:lef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12"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2184" w:type="dxa"/>
            <w:gridSpan w:val="2"/>
            <w:tcBorders>
              <w:top w:val="single" w:color="auto" w:sz="4" w:space="0"/>
              <w:left w:val="single" w:color="auto" w:sz="4" w:space="0"/>
              <w:bottom w:val="single" w:color="auto" w:sz="12"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6" w:type="dxa"/>
          <w:left w:w="6" w:type="dxa"/>
          <w:bottom w:w="6" w:type="dxa"/>
          <w:right w:w="6" w:type="dxa"/>
        </w:tblCellMar>
      </w:tblPr>
      <w:tblGrid>
        <w:gridCol w:w="349"/>
        <w:gridCol w:w="349"/>
        <w:gridCol w:w="350"/>
        <w:gridCol w:w="350"/>
        <w:gridCol w:w="350"/>
        <w:gridCol w:w="351"/>
        <w:gridCol w:w="351"/>
        <w:gridCol w:w="351"/>
        <w:gridCol w:w="350"/>
        <w:gridCol w:w="351"/>
        <w:gridCol w:w="351"/>
        <w:gridCol w:w="351"/>
        <w:gridCol w:w="351"/>
        <w:gridCol w:w="351"/>
        <w:gridCol w:w="351"/>
        <w:gridCol w:w="351"/>
        <w:gridCol w:w="351"/>
        <w:gridCol w:w="351"/>
        <w:gridCol w:w="351"/>
        <w:gridCol w:w="351"/>
        <w:gridCol w:w="351"/>
        <w:gridCol w:w="351"/>
        <w:gridCol w:w="351"/>
        <w:gridCol w:w="351"/>
        <w:gridCol w:w="3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DejaVu Math TeX Gyre" w:hAnsi="DejaVu Math TeX Gyre" w:cs="Times New Roman"/>
                        <w:b/>
                        <w:bCs w:val="0"/>
                        <w:color w:val="000000"/>
                        <w:kern w:val="2"/>
                        <w:sz w:val="13"/>
                        <w:szCs w:val="13"/>
                        <w:vertAlign w:val="baseline"/>
                        <w:lang w:val="en-US" w:eastAsia="zh-CN" w:bidi="ar-SA"/>
                      </w:rPr>
                    </m:ctrlPr>
                  </m:sSubPr>
                  <m:e>
                    <m:r>
                      <m:rPr>
                        <m:sty m:val="bi"/>
                      </m:rPr>
                      <w:rPr>
                        <w:rFonts w:hint="default" w:ascii="DejaVu Math TeX Gyre" w:hAnsi="DejaVu Math TeX Gyre" w:cs="Times New Roman"/>
                        <w:color w:val="000000"/>
                        <w:kern w:val="2"/>
                        <w:sz w:val="13"/>
                        <w:szCs w:val="13"/>
                        <w:vertAlign w:val="baseline"/>
                        <w:lang w:val="en-US" w:eastAsia="zh-CN" w:bidi="ar-SA"/>
                      </w:rPr>
                      <m:t>v</m:t>
                    </m:r>
                    <m:ctrlPr>
                      <w:rPr>
                        <w:rFonts w:hint="default" w:ascii="DejaVu Math TeX Gyre" w:hAnsi="DejaVu Math TeX Gyre" w:cs="Times New Roman"/>
                        <w:b/>
                        <w:bCs w:val="0"/>
                        <w:color w:val="000000"/>
                        <w:kern w:val="2"/>
                        <w:sz w:val="13"/>
                        <w:szCs w:val="13"/>
                        <w:vertAlign w:val="baseline"/>
                        <w:lang w:val="en-US" w:eastAsia="zh-CN" w:bidi="ar-SA"/>
                      </w:rPr>
                    </m:ctrlPr>
                  </m:e>
                  <m:sub>
                    <m:r>
                      <m:rPr>
                        <m:sty m:val="b"/>
                      </m:rPr>
                      <w:rPr>
                        <w:rFonts w:hint="default" w:ascii="DejaVu Math TeX Gyre" w:hAnsi="DejaVu Math TeX Gyre" w:cs="Times New Roman"/>
                        <w:color w:val="000000"/>
                        <w:kern w:val="2"/>
                        <w:sz w:val="13"/>
                        <w:szCs w:val="13"/>
                        <w:vertAlign w:val="baseline"/>
                        <w:lang w:val="en-US" w:eastAsia="zh-CN" w:bidi="ar-SA"/>
                      </w:rPr>
                      <m:t>se</m:t>
                    </m:r>
                    <m:ctrlPr>
                      <w:rPr>
                        <w:rFonts w:hint="default" w:ascii="DejaVu Math TeX Gyre" w:hAnsi="DejaVu Math TeX Gyre" w:cs="Times New Roman"/>
                        <w:b/>
                        <w:bCs w:val="0"/>
                        <w:color w:val="000000"/>
                        <w:kern w:val="2"/>
                        <w:sz w:val="13"/>
                        <w:szCs w:val="13"/>
                        <w:vertAlign w:val="baseline"/>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(m/s)</w:t>
            </w:r>
          </w:p>
        </w:tc>
        <w:tc>
          <w:tcPr>
            <w:tcW w:w="8326" w:type="dxa"/>
            <w:gridSpan w:val="23"/>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rPr>
            </w:pPr>
            <m:oMathPara>
              <m:oMathParaPr>
                <m:jc m:val="center"/>
              </m:oMathParaPr>
              <m:oMath>
                <m:sSub>
                  <m:sSubPr>
                    <m:ctrlPr>
                      <w:rPr>
                        <w:rFonts w:hint="default" w:ascii="DejaVu Math TeX Gyre" w:hAnsi="DejaVu Math TeX Gyre" w:cs="Times New Roman"/>
                        <w:b/>
                        <w:bCs w:val="0"/>
                        <w:color w:val="000000"/>
                        <w:sz w:val="13"/>
                        <w:szCs w:val="13"/>
                        <w:vertAlign w:val="baseline"/>
                        <w:lang w:val="en-US" w:eastAsia="zh-CN"/>
                      </w:rPr>
                    </m:ctrlPr>
                  </m:sSubPr>
                  <m:e>
                    <m:r>
                      <m:rPr>
                        <m:sty m:val="bi"/>
                      </m:rPr>
                      <w:rPr>
                        <w:rFonts w:hint="default" w:ascii="DejaVu Math TeX Gyre" w:hAnsi="DejaVu Math TeX Gyre" w:cs="Times New Roman"/>
                        <w:color w:val="000000"/>
                        <w:sz w:val="13"/>
                        <w:szCs w:val="13"/>
                        <w:vertAlign w:val="baseline"/>
                        <w:lang w:val="en-US" w:eastAsia="zh-CN"/>
                      </w:rPr>
                      <m:t>d</m:t>
                    </m:r>
                    <m:ctrlPr>
                      <w:rPr>
                        <w:rFonts w:hint="default" w:ascii="DejaVu Math TeX Gyre" w:hAnsi="DejaVu Math TeX Gyre" w:cs="Times New Roman"/>
                        <w:b/>
                        <w:bCs w:val="0"/>
                        <w:color w:val="000000"/>
                        <w:sz w:val="13"/>
                        <w:szCs w:val="13"/>
                        <w:vertAlign w:val="baseline"/>
                        <w:lang w:val="en-US" w:eastAsia="zh-CN"/>
                      </w:rPr>
                    </m:ctrlPr>
                  </m:e>
                  <m:sub>
                    <m:r>
                      <m:rPr>
                        <m:sty m:val="b"/>
                      </m:rPr>
                      <w:rPr>
                        <w:rFonts w:hint="default" w:ascii="DejaVu Math TeX Gyre" w:hAnsi="DejaVu Math TeX Gyre" w:cs="Times New Roman"/>
                        <w:color w:val="000000"/>
                        <w:sz w:val="13"/>
                        <w:szCs w:val="13"/>
                        <w:vertAlign w:val="baseline"/>
                        <w:lang w:val="en-US" w:eastAsia="zh-CN"/>
                      </w:rPr>
                      <m:t>ov</m:t>
                    </m:r>
                    <m:ctrlPr>
                      <w:rPr>
                        <w:rFonts w:hint="default" w:ascii="DejaVu Math TeX Gyre" w:hAnsi="DejaVu Math TeX Gyre" w:cs="Times New Roman"/>
                        <w:b/>
                        <w:bCs w:val="0"/>
                        <w:color w:val="000000"/>
                        <w:sz w:val="13"/>
                        <w:szCs w:val="13"/>
                        <w:vertAlign w:val="baseline"/>
                        <w:lang w:val="en-US" w:eastAsia="zh-CN"/>
                      </w:rPr>
                    </m:ctrlPr>
                  </m:sub>
                </m:sSub>
                <m:r>
                  <m:rPr>
                    <m:sty m:val="b"/>
                  </m:rPr>
                  <w:rPr>
                    <w:rFonts w:hint="eastAsia" w:ascii="DejaVu Math TeX Gyre" w:hAnsi="DejaVu Math TeX Gyre" w:cs="Times New Roman"/>
                    <w:color w:val="000000"/>
                    <w:sz w:val="13"/>
                    <w:szCs w:val="13"/>
                    <w:vertAlign w:val="baseline"/>
                    <w:lang w:val="en-US" w:eastAsia="zh-CN"/>
                  </w:rPr>
                  <m:t>（</m:t>
                </m:r>
                <m:r>
                  <m:rPr>
                    <m:sty m:val="b"/>
                  </m:rPr>
                  <w:rPr>
                    <w:rFonts w:hint="default" w:ascii="DejaVu Math TeX Gyre" w:hAnsi="DejaVu Math TeX Gyre" w:cs="Times New Roman"/>
                    <w:color w:val="000000"/>
                    <w:sz w:val="13"/>
                    <w:szCs w:val="13"/>
                    <w:vertAlign w:val="baseline"/>
                    <w:lang w:val="en-US" w:eastAsia="zh-CN"/>
                  </w:rPr>
                  <m:t>m</m:t>
                </m:r>
                <m:r>
                  <m:rPr>
                    <m:sty m:val="b"/>
                  </m:rPr>
                  <w:rPr>
                    <w:rFonts w:hint="eastAsia" w:ascii="DejaVu Math TeX Gyre" w:hAnsi="DejaVu Math TeX Gyre" w:cs="Times New Roman"/>
                    <w:color w:val="000000"/>
                    <w:sz w:val="13"/>
                    <w:szCs w:val="13"/>
                    <w:vertAlign w:val="baseline"/>
                    <w:lang w:val="en-US" w:eastAsia="zh-CN"/>
                  </w:rPr>
                  <m:t>）</m:t>
                </m:r>
              </m:oMath>
            </m:oMathPara>
          </w:p>
        </w:tc>
        <w:tc>
          <w:tcPr>
            <w:tcW w:w="383"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场地类别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&lt;2.0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48.0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90.0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110.0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≥120</w:t>
            </w:r>
          </w:p>
        </w:tc>
        <w:tc>
          <w:tcPr>
            <w:tcW w:w="383"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&gt;510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83"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275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83" w:type="dxa"/>
            <w:vMerge w:val="restart"/>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90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eastAsia="等线" w:cs="Times New Roman"/>
                <w:i w:val="0"/>
                <w:iCs w:val="0"/>
                <w:color w:val="000000"/>
                <w:kern w:val="0"/>
                <w:sz w:val="13"/>
                <w:szCs w:val="13"/>
                <w:u w:val="none"/>
                <w:lang w:val="en-US" w:eastAsia="zh-CN" w:bidi="ar"/>
              </w:rPr>
              <w:t>0.</w:t>
            </w:r>
            <w:r>
              <w:rPr>
                <w:rFonts w:hint="default" w:ascii="Times New Roman" w:hAnsi="Times New Roman" w:eastAsia="等线" w:cs="Times New Roman"/>
                <w:i w:val="0"/>
                <w:iCs w:val="0"/>
                <w:color w:val="000000"/>
                <w:kern w:val="0"/>
                <w:sz w:val="13"/>
                <w:szCs w:val="13"/>
                <w:u w:val="none"/>
                <w:lang w:val="en-US" w:eastAsia="zh-CN" w:bidi="ar"/>
              </w:rPr>
              <w:t>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0.83</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场地类别</w:t>
            </w:r>
          </w:p>
        </w:tc>
        <w:tc>
          <w:tcPr>
            <w:tcW w:w="724"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cs="Times New Roman" w:eastAsiaTheme="minorEastAsia"/>
                <w:b w:val="0"/>
                <w:bCs/>
                <w:color w:val="000000"/>
                <w:kern w:val="2"/>
                <w:sz w:val="13"/>
                <w:szCs w:val="13"/>
                <w:vertAlign w:val="baseline"/>
                <w:lang w:val="en-US" w:eastAsia="zh-CN" w:bidi="ar-SA"/>
              </w:rPr>
              <w:t>Ⅰ</w:t>
            </w:r>
          </w:p>
        </w:tc>
        <w:tc>
          <w:tcPr>
            <w:tcW w:w="2534" w:type="dxa"/>
            <w:gridSpan w:val="7"/>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896" w:type="dxa"/>
            <w:gridSpan w:val="8"/>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2172" w:type="dxa"/>
            <w:gridSpan w:val="6"/>
            <w:tcBorders>
              <w:top w:val="single" w:color="auto" w:sz="4" w:space="0"/>
              <w:left w:val="dotted" w:color="auto" w:sz="12"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38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阻尼比汇总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180"/>
        <w:gridCol w:w="1431"/>
        <w:gridCol w:w="1095"/>
        <w:gridCol w:w="1127"/>
        <w:gridCol w:w="1127"/>
        <w:gridCol w:w="11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类型</w:t>
            </w:r>
          </w:p>
        </w:tc>
        <w:tc>
          <w:tcPr>
            <w:tcW w:w="25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高度</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小震</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大震</w:t>
            </w:r>
          </w:p>
        </w:tc>
        <w:tc>
          <w:tcPr>
            <w:tcW w:w="112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出处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一般结构</w:t>
            </w:r>
          </w:p>
        </w:tc>
        <w:tc>
          <w:tcPr>
            <w:tcW w:w="25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无高度限制</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r>
              <w:rPr>
                <w:rFonts w:hint="eastAsia" w:ascii="Times New Roman" w:hAnsi="Times New Roman" w:cs="Times New Roman"/>
                <w:bCs/>
                <w:color w:val="000000"/>
                <w:kern w:val="2"/>
                <w:sz w:val="16"/>
                <w:szCs w:val="16"/>
                <w:vertAlign w:val="baseline"/>
                <w:lang w:val="en-US" w:eastAsia="zh-CN" w:bidi="ar-SA"/>
              </w:rPr>
              <w:t>0.07</w:t>
            </w:r>
          </w:p>
        </w:tc>
        <w:tc>
          <w:tcPr>
            <w:tcW w:w="11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高3.11.3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钢结构</w:t>
            </w:r>
          </w:p>
        </w:tc>
        <w:tc>
          <w:tcPr>
            <w:tcW w:w="1431"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偏心支撑</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框架部分倾覆力矩&gt;0.5总倾覆力矩</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0.045</w:t>
            </w:r>
          </w:p>
        </w:tc>
        <w:tc>
          <w:tcPr>
            <w:tcW w:w="1127"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抗8.2.2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0.035</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0.025</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其它</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w:t>
            </w:r>
          </w:p>
        </w:tc>
        <w:tc>
          <w:tcPr>
            <w:tcW w:w="1127"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混合结构</w:t>
            </w:r>
          </w:p>
        </w:tc>
        <w:tc>
          <w:tcPr>
            <w:tcW w:w="2526"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高11.3.5</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桥涵分类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984"/>
        <w:gridCol w:w="1984"/>
        <w:gridCol w:w="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桥涵分类</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多孔跨径总长</w:t>
            </w:r>
            <m:oMath>
              <m:r>
                <m:rPr>
                  <m:sty m:val="bi"/>
                </m:rPr>
                <w:rPr>
                  <w:rFonts w:hint="default" w:ascii="DejaVu Math TeX Gyre" w:hAnsi="DejaVu Math TeX Gyre" w:cs="Times New Roman"/>
                  <w:color w:val="000000"/>
                  <w:kern w:val="2"/>
                  <w:sz w:val="16"/>
                  <w:szCs w:val="16"/>
                  <w:vertAlign w:val="baseline"/>
                  <w:lang w:val="en-US" w:bidi="ar-SA"/>
                </w:rPr>
                <m:t>L</m:t>
              </m:r>
            </m:oMath>
            <w:r>
              <w:rPr>
                <w:rFonts w:hint="eastAsia" w:ascii="Times New Roman" w:hAnsi="Times New Roman" w:cs="Times New Roman"/>
                <w:b/>
                <w:bCs/>
                <w:color w:val="000000"/>
                <w:sz w:val="16"/>
                <w:szCs w:val="16"/>
                <w:vertAlign w:val="baseline"/>
                <w:lang w:val="en-US" w:eastAsia="zh-CN"/>
              </w:rPr>
              <w:t>（m）</w:t>
            </w:r>
          </w:p>
        </w:tc>
        <w:tc>
          <w:tcPr>
            <w:tcW w:w="29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单孔跨径</w:t>
            </w:r>
            <m:oMath>
              <m:sSub>
                <m:sSubPr>
                  <m:ctrlPr>
                    <w:rPr>
                      <w:rFonts w:hint="default" w:ascii="DejaVu Math TeX Gyre" w:hAnsi="DejaVu Math TeX Gyre" w:cs="Times New Roman"/>
                      <w:b/>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b/>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b/>
                      <w:i/>
                      <w:color w:val="000000"/>
                      <w:kern w:val="2"/>
                      <w:sz w:val="16"/>
                      <w:szCs w:val="16"/>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特大桥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L</m:t>
                </m:r>
                <m:r>
                  <m:rPr>
                    <m:sty m:val="p"/>
                  </m:rPr>
                  <w:rPr>
                    <w:rFonts w:hint="default" w:ascii="DejaVu Math TeX Gyre" w:hAnsi="DejaVu Math TeX Gyre" w:cs="Times New Roman"/>
                    <w:color w:val="000000"/>
                    <w:kern w:val="2"/>
                    <w:sz w:val="16"/>
                    <w:szCs w:val="16"/>
                    <w:vertAlign w:val="baseline"/>
                    <w:lang w:val="en-US" w:eastAsia="zh-CN" w:bidi="ar-SA"/>
                  </w:rPr>
                  <m:t>&gt;1000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&gt;150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100</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40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中桥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30&lt;L&lt;</m:t>
                </m:r>
                <m:r>
                  <m:rPr>
                    <m:sty m:val="p"/>
                  </m:rPr>
                  <w:rPr>
                    <w:rFonts w:hint="default" w:ascii="DejaVu Math TeX Gyre" w:hAnsi="DejaVu Math TeX Gyre" w:cs="Times New Roman"/>
                    <w:color w:val="000000"/>
                    <w:kern w:val="2"/>
                    <w:sz w:val="16"/>
                    <w:szCs w:val="16"/>
                    <w:vertAlign w:val="baseline"/>
                    <w:lang w:val="en-US" w:eastAsia="zh-CN" w:bidi="ar-SA"/>
                  </w:rPr>
                  <m:t>100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20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&lt;40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小桥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8</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3</m:t>
                </m:r>
                <m:r>
                  <m:rPr>
                    <m:sty m:val="p"/>
                  </m:rPr>
                  <w:rPr>
                    <w:rFonts w:hint="default" w:ascii="DejaVu Math TeX Gyre" w:hAnsi="DejaVu Math TeX Gyre" w:cs="Times New Roman"/>
                    <w:color w:val="000000"/>
                    <w:kern w:val="2"/>
                    <w:sz w:val="16"/>
                    <w:szCs w:val="16"/>
                    <w:vertAlign w:val="baseline"/>
                    <w:lang w:val="en-US" w:eastAsia="zh-CN" w:bidi="ar-SA"/>
                  </w:rPr>
                  <m:t>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5</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&lt;20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涵洞</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w:t>
            </w:r>
          </w:p>
        </w:tc>
        <w:tc>
          <w:tcPr>
            <w:tcW w:w="29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&lt;5</m:t>
                </m:r>
              </m:oMath>
            </m:oMathPara>
          </w:p>
        </w:tc>
      </w:tr>
    </w:tbl>
    <w:p>
      <w:pPr>
        <w:spacing w:line="240" w:lineRule="auto"/>
        <w:rPr>
          <w:rFonts w:hint="default"/>
          <w:sz w:val="18"/>
          <w:szCs w:val="21"/>
          <w:lang w:val="en-US" w:eastAsia="zh-CN"/>
        </w:rPr>
      </w:pPr>
      <w:r>
        <w:rPr>
          <w:rFonts w:hint="default"/>
          <w:sz w:val="18"/>
          <w:szCs w:val="21"/>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【《高层建筑岩土工程勘察标准》附录H.0.6条文说明】</w:t>
      </w:r>
      <w:r>
        <w:rPr>
          <w:rFonts w:hint="eastAsia" w:ascii="Times New Roman" w:hAnsi="Times New Roman" w:cs="Times New Roman"/>
          <w:b/>
          <w:bCs/>
          <w:color w:val="000000"/>
          <w:sz w:val="16"/>
          <w:szCs w:val="16"/>
          <w:vertAlign w:val="baseline"/>
          <w:lang w:val="en-US" w:eastAsia="zh-CN"/>
        </w:rPr>
        <w:t>独基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对于砂性土地基：</w:t>
      </w:r>
      <w:r>
        <w:rPr>
          <w:rFonts w:hint="eastAsia" w:ascii="Times New Roman" w:hAnsi="Times New Roman" w:cs="Times New Roman"/>
          <w:color w:val="000000"/>
          <w:sz w:val="16"/>
          <w:szCs w:val="16"/>
          <w:vertAlign w:val="baseline"/>
          <w:lang w:val="en-US" w:eastAsia="zh-CN"/>
        </w:rPr>
        <w:t>仅需进行基础尺寸修正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对于粘性土地基：</w:t>
      </w:r>
      <w:r>
        <w:rPr>
          <w:rFonts w:hint="eastAsia" w:ascii="Times New Roman" w:hAnsi="Times New Roman" w:cs="Times New Roman"/>
          <w:color w:val="000000"/>
          <w:sz w:val="16"/>
          <w:szCs w:val="16"/>
          <w:vertAlign w:val="baseline"/>
          <w:lang w:val="en-US" w:eastAsia="zh-CN"/>
        </w:rPr>
        <w:t>需进行基础尺寸和基础形状两项修正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根据实际基础尺寸，修正后的竖向地基土基床系数K</w:t>
      </w:r>
      <w:r>
        <w:rPr>
          <w:rFonts w:hint="eastAsia" w:ascii="Times New Roman" w:hAnsi="Times New Roman" w:cs="Times New Roman"/>
          <w:color w:val="000000"/>
          <w:sz w:val="16"/>
          <w:szCs w:val="16"/>
          <w:vertAlign w:val="subscript"/>
          <w:lang w:val="en-US" w:eastAsia="zh-CN"/>
        </w:rPr>
        <w:t>v1</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eastAsia"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r>
        <w:rPr>
          <w:rFonts w:hint="eastAsia" w:ascii="Times New Roman" w:hAnsi="Times New Roman" w:cs="Times New Roman"/>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879725" cy="526415"/>
            <wp:effectExtent l="0" t="0" r="15875" b="698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2879725" cy="5264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（2）基础形状修正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根据实际基础形状，修正后的竖向地基基床系数K</w:t>
      </w:r>
      <w:r>
        <w:rPr>
          <w:rFonts w:hint="eastAsia" w:ascii="Times New Roman" w:hAnsi="Times New Roman" w:cs="Times New Roman"/>
          <w:color w:val="000000"/>
          <w:sz w:val="16"/>
          <w:szCs w:val="16"/>
          <w:vertAlign w:val="subscript"/>
          <w:lang w:val="en-US" w:eastAsia="zh-CN"/>
        </w:rPr>
        <w:t>s</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default"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79725" cy="422275"/>
            <wp:effectExtent l="0" t="0" r="15875" b="1587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2879725" cy="422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b、l：基础尺寸(m)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地下水抗浮设防水位=勘察期间实测地下水位+地下水季节变化幅度(旱季勘察时变幅大值，雨季勘察时变幅小值)+意外补给可能带来的地下水升高值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地下水抗浮设防地下水埋深=勘察期间实测地下水埋深-地下水季节变化幅度(旱季勘察时变幅大值，雨季勘察时变幅小值)-意外补给可能带来的地下水升高值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pStyle w:val="2"/>
        <w:ind w:left="0" w:leftChars="0" w:firstLine="0" w:firstLineChars="0"/>
        <w:rPr>
          <w:rFonts w:hint="default"/>
          <w:lang w:val="en-US" w:eastAsia="zh-CN"/>
        </w:rPr>
      </w:pP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（《公路桥涵地基》）</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default"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zc</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(《铁路地质勘察》)</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063"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06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0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0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0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0.95（市区10km以内，近郊）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1（市区10km以外，郊外）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063"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0.95（市区20km以内，近郊）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1（市区20km以外，郊外）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type w:val="continuous"/>
          <w:pgSz w:w="11906" w:h="16838"/>
          <w:pgMar w:top="1440" w:right="1800" w:bottom="1440" w:left="1800" w:header="851" w:footer="992" w:gutter="0"/>
          <w:cols w:space="427" w:num="2"/>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浅层平板、深层平板、螺旋板载荷试验对比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03"/>
        <w:gridCol w:w="2328"/>
        <w:gridCol w:w="2328"/>
        <w:gridCol w:w="2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试验名称</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浅层平板载荷试验</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深层平板载荷试验</w:t>
            </w:r>
          </w:p>
        </w:tc>
        <w:tc>
          <w:tcPr>
            <w:tcW w:w="232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螺旋板载荷试验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适用范围</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适用于确定浅层地基土层承载力和变形参数</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适用于确定深层土及大直径桩的桩端土层承载力</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适用于确定深层土或地下水位以下的土层承载力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承压板大小</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承压板面积不应小于0.25m2，对于软土不应小于0.5m2</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承压板面积宜选用0.5m2</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承压板直径根据土性分别取0.160m或0.252m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边载条件</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无边载，且试验基坑宽度不应小于承压板宽度或直径的3倍</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试井直径应等于承压板直径</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承载力的确定</w:t>
            </w:r>
          </w:p>
        </w:tc>
        <w:tc>
          <w:tcPr>
            <w:tcW w:w="6984"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取比例界限和最大加载量一半两者的小值</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spacing w:line="240" w:lineRule="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drawing>
                <wp:inline distT="0" distB="0" distL="114300" distR="114300">
                  <wp:extent cx="2204085" cy="1979930"/>
                  <wp:effectExtent l="0" t="0" r="5715" b="1270"/>
                  <wp:docPr id="4" name="图片 4" descr="截图_选择区域_202206292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选择区域_20220629215555"/>
                          <pic:cNvPicPr>
                            <a:picLocks noChangeAspect="1"/>
                          </pic:cNvPicPr>
                        </pic:nvPicPr>
                        <pic:blipFill>
                          <a:blip r:embed="rId6"/>
                          <a:stretch>
                            <a:fillRect/>
                          </a:stretch>
                        </pic:blipFill>
                        <pic:spPr>
                          <a:xfrm>
                            <a:off x="0" y="0"/>
                            <a:ext cx="2204085" cy="1979930"/>
                          </a:xfrm>
                          <a:prstGeom prst="rect">
                            <a:avLst/>
                          </a:prstGeom>
                        </pic:spPr>
                      </pic:pic>
                    </a:graphicData>
                  </a:graphic>
                </wp:inline>
              </w:drawing>
            </w:r>
          </w:p>
        </w:tc>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松动土体压力计算《工程地质手册》P810</w:t>
            </w:r>
          </w:p>
          <w:p>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对粉细砂、淤泥或新回填土中的浅埋洞室，松动土体压力可按下式计算：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Ansi="DejaVu Math TeX Gyre" w:cs="Times New Roman"/>
                <w:i w:val="0"/>
                <w:color w:val="000000"/>
                <w:sz w:val="16"/>
                <w:szCs w:val="16"/>
                <w:vertAlign w:val="baseline"/>
                <w:lang w:val="en-US"/>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=b+ℎ</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r>
                      <m:rPr>
                        <m:sty m:val="p"/>
                      </m:rPr>
                      <w:rPr>
                        <w:rFonts w:hint="default"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对上覆土层较好的浅埋洞室，松动土体压力可按下式计算：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H[1−</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H</m:t>
                    </m:r>
                    <m:ctrlPr>
                      <w:rPr>
                        <w:rFonts w:hint="default" w:ascii="DejaVu Math TeX Gyre" w:hAnsi="DejaVu Math TeX Gyre" w:cs="Times New Roman"/>
                        <w:i/>
                        <w:color w:val="000000"/>
                        <w:sz w:val="16"/>
                        <w:szCs w:val="16"/>
                        <w:vertAlign w:val="baseline"/>
                        <w:lang w:val="en-US"/>
                      </w:rPr>
                    </m:ctrlPr>
                  </m:num>
                  <m:den>
                    <m:r>
                      <m:rPr/>
                      <w:rPr>
                        <w:rFonts w:hint="default" w:ascii="DejaVu Math TeX Gyre" w:hAnsi="DejaVu Math TeX Gyre" w:cs="Times New Roman"/>
                        <w:color w:val="000000"/>
                        <w:sz w:val="16"/>
                        <w:szCs w:val="16"/>
                        <w:vertAlign w:val="baseline"/>
                        <w:lang w:val="en-US"/>
                      </w:rPr>
                      <m:t>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ctrlPr>
                      <w:rPr>
                        <w:rFonts w:hint="default" w:ascii="DejaVu Math TeX Gyre" w:hAnsi="DejaVu Math TeX Gyre" w:cs="Times New Roman"/>
                        <w:i/>
                        <w:color w:val="000000"/>
                        <w:sz w:val="16"/>
                        <w:szCs w:val="16"/>
                        <w:vertAlign w:val="baseline"/>
                        <w:lang w:val="en-US"/>
                      </w:rPr>
                    </m:ctrlPr>
                  </m:den>
                </m:f>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c</m:t>
                    </m:r>
                    <m:ctrlPr>
                      <w:rPr>
                        <w:rFonts w:hint="default" w:ascii="DejaVu Math TeX Gyre" w:hAnsi="DejaVu Math TeX Gyre" w:cs="Times New Roman"/>
                        <w:i/>
                        <w:color w:val="000000"/>
                        <w:sz w:val="16"/>
                        <w:szCs w:val="16"/>
                        <w:vertAlign w:val="baseline"/>
                        <w:lang w:val="en-US"/>
                      </w:rPr>
                    </m:ctrlPr>
                  </m:num>
                  <m:den>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ascii="DejaVu Math TeX Gyre" w:hAnsi="DejaVu Math TeX Gyre" w:cs="Times New Roman"/>
                        <w:color w:val="000000"/>
                        <w:sz w:val="16"/>
                        <w:szCs w:val="16"/>
                        <w:vertAlign w:val="baseline"/>
                        <w:lang w:val="en-US"/>
                      </w:rPr>
                      <m:t>γ</m:t>
                    </m:r>
                    <m:ctrlPr>
                      <w:rPr>
                        <w:rFonts w:hint="default" w:ascii="DejaVu Math TeX Gyre" w:hAnsi="DejaVu Math TeX Gyre" w:cs="Times New Roman"/>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rPr>
                  <m:t>(1−2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DejaVu Math TeX Gyre" w:cs="Times New Roman"/>
                <w:i w:val="0"/>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drawing>
                <wp:inline distT="0" distB="0" distL="114300" distR="114300">
                  <wp:extent cx="1158875" cy="1979930"/>
                  <wp:effectExtent l="0" t="0" r="3175" b="1270"/>
                  <wp:docPr id="5" name="图片 5" descr="截图_选择区域_20220629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选择区域_20220629221620"/>
                          <pic:cNvPicPr>
                            <a:picLocks noChangeAspect="1"/>
                          </pic:cNvPicPr>
                        </pic:nvPicPr>
                        <pic:blipFill>
                          <a:blip r:embed="rId7"/>
                          <a:stretch>
                            <a:fillRect/>
                          </a:stretch>
                        </pic:blipFill>
                        <pic:spPr>
                          <a:xfrm>
                            <a:off x="0" y="0"/>
                            <a:ext cx="1158875" cy="1979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f>
                  <m:fPr>
                    <m:ctrlPr>
                      <w:rPr>
                        <w:rFonts w:ascii="DejaVu Math TeX Gyre" w:hAnsi="DejaVu Math TeX Gyre" w:cs="Times New Roman"/>
                        <w:bCs/>
                        <w:i/>
                        <w:color w:val="000000"/>
                        <w:sz w:val="16"/>
                        <w:szCs w:val="16"/>
                        <w:vertAlign w:val="baseline"/>
                        <w:lang w:val="en-US"/>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bCs/>
                            <w:i/>
                            <w:color w:val="000000"/>
                            <w:sz w:val="16"/>
                            <w:szCs w:val="16"/>
                            <w:vertAlign w:val="baseline"/>
                            <w:lang w:val="en-US"/>
                          </w:rPr>
                        </m:ctrlPr>
                      </m:sub>
                    </m:sSub>
                    <m:ctrlPr>
                      <w:rPr>
                        <w:rFonts w:ascii="DejaVu Math TeX Gyre" w:hAnsi="DejaVu Math TeX Gyre" w:cs="Times New Roman"/>
                        <w:bCs/>
                        <w:i/>
                        <w:color w:val="000000"/>
                        <w:sz w:val="16"/>
                        <w:szCs w:val="16"/>
                        <w:vertAlign w:val="baseline"/>
                        <w:lang w:val="en-US"/>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β</m:t>
                        </m:r>
                        <m:ctrlPr>
                          <w:rPr>
                            <w:rFonts w:ascii="DejaVu Math TeX Gyre" w:hAnsi="DejaVu Math TeX Gyre" w:cs="Times New Roman"/>
                            <w:bCs/>
                            <w:i/>
                            <w:color w:val="000000"/>
                            <w:sz w:val="16"/>
                            <w:szCs w:val="16"/>
                            <w:vertAlign w:val="baseline"/>
                            <w:lang w:val="en-US"/>
                          </w:rPr>
                        </m:ctrlPr>
                      </m:e>
                    </m:func>
                    <m:ctrlPr>
                      <w:rPr>
                        <w:rFonts w:ascii="DejaVu Math TeX Gyre" w:hAnsi="DejaVu Math TeX Gyre" w:cs="Times New Roman"/>
                        <w:bCs/>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eastAsia="zh-CN"/>
                  </w:rPr>
                  <m:t>=</m:t>
                </m:r>
                <m:f>
                  <m:fPr>
                    <m:ctrlPr>
                      <w:rPr>
                        <w:rFonts w:hint="default" w:ascii="DejaVu Math TeX Gyre" w:hAnsi="DejaVu Math TeX Gyre" w:cs="Times New Roman"/>
                        <w:bCs/>
                        <w:i/>
                        <w:color w:val="000000"/>
                        <w:sz w:val="16"/>
                        <w:szCs w:val="16"/>
                        <w:vertAlign w:val="baseline"/>
                        <w:lang w:val="en-US" w:eastAsia="zh-CN"/>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2</m:t>
                        </m:r>
                        <m:ctrlPr>
                          <w:rPr>
                            <w:rFonts w:ascii="DejaVu Math TeX Gyre" w:hAnsi="DejaVu Math TeX Gyre" w:cs="Times New Roman"/>
                            <w:bCs/>
                            <w:i/>
                            <w:color w:val="000000"/>
                            <w:sz w:val="16"/>
                            <w:szCs w:val="16"/>
                            <w:vertAlign w:val="baseline"/>
                            <w:lang w:val="en-US"/>
                          </w:rPr>
                        </m:ctrlPr>
                      </m:sub>
                    </m:sSub>
                    <m:ctrlPr>
                      <w:rPr>
                        <w:rFonts w:hint="default" w:ascii="DejaVu Math TeX Gyre" w:hAnsi="DejaVu Math TeX Gyre" w:cs="Times New Roman"/>
                        <w:bCs/>
                        <w:i/>
                        <w:color w:val="000000"/>
                        <w:sz w:val="16"/>
                        <w:szCs w:val="16"/>
                        <w:vertAlign w:val="baseline"/>
                        <w:lang w:val="en-US" w:eastAsia="zh-CN"/>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α</m:t>
                        </m:r>
                        <m:ctrlPr>
                          <w:rPr>
                            <w:rFonts w:ascii="DejaVu Math TeX Gyre" w:hAnsi="DejaVu Math TeX Gyre" w:cs="Times New Roman"/>
                            <w:bCs/>
                            <w:i/>
                            <w:color w:val="000000"/>
                            <w:sz w:val="16"/>
                            <w:szCs w:val="16"/>
                            <w:vertAlign w:val="baseline"/>
                            <w:lang w:val="en-US"/>
                          </w:rPr>
                        </m:ctrlPr>
                      </m:e>
                    </m:func>
                    <m:ctrlPr>
                      <w:rPr>
                        <w:rFonts w:hint="default" w:ascii="DejaVu Math TeX Gyre" w:hAnsi="DejaVu Math TeX Gyre" w:cs="Times New Roman"/>
                        <w:bCs/>
                        <w:i/>
                        <w:color w:val="000000"/>
                        <w:sz w:val="16"/>
                        <w:szCs w:val="16"/>
                        <w:vertAlign w:val="baseline"/>
                        <w:lang w:val="en-US" w:eastAsia="zh-CN"/>
                      </w:rPr>
                    </m:ctrlPr>
                  </m:den>
                </m:f>
              </m:oMath>
            </m:oMathPara>
          </w:p>
        </w:tc>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洞室分离块体的稳定性计算《工程地质手册》P809</w:t>
            </w:r>
          </w:p>
          <w:p>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洞壁块体的稳定性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256790" cy="720090"/>
                  <wp:effectExtent l="0" t="0" r="10160" b="3810"/>
                  <wp:docPr id="6" name="图片 6" descr="截图_选择区域_202206292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选择区域_20220629221832"/>
                          <pic:cNvPicPr>
                            <a:picLocks noChangeAspect="1"/>
                          </pic:cNvPicPr>
                        </pic:nvPicPr>
                        <pic:blipFill>
                          <a:blip r:embed="rId8"/>
                          <a:stretch>
                            <a:fillRect/>
                          </a:stretch>
                        </pic:blipFill>
                        <pic:spPr>
                          <a:xfrm>
                            <a:off x="0" y="0"/>
                            <a:ext cx="2256790" cy="720090"/>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洞顶块体的稳定性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315210" cy="899795"/>
                  <wp:effectExtent l="0" t="0" r="8890" b="14605"/>
                  <wp:docPr id="7" name="图片 7" descr="截图_选择区域_202206292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选择区域_20220629221843"/>
                          <pic:cNvPicPr>
                            <a:picLocks noChangeAspect="1"/>
                          </pic:cNvPicPr>
                        </pic:nvPicPr>
                        <pic:blipFill>
                          <a:blip r:embed="rId9"/>
                          <a:stretch>
                            <a:fillRect/>
                          </a:stretch>
                        </pic:blipFill>
                        <pic:spPr>
                          <a:xfrm>
                            <a:off x="0" y="0"/>
                            <a:ext cx="2315210" cy="899795"/>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稳定性判别标准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1159510" cy="288290"/>
                  <wp:effectExtent l="0" t="0" r="2540" b="16510"/>
                  <wp:docPr id="8" name="图片 8" descr="截图_选择区域_20220629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选择区域_20220629221849"/>
                          <pic:cNvPicPr>
                            <a:picLocks noChangeAspect="1"/>
                          </pic:cNvPicPr>
                        </pic:nvPicPr>
                        <pic:blipFill>
                          <a:blip r:embed="rId10"/>
                          <a:stretch>
                            <a:fillRect/>
                          </a:stretch>
                        </pic:blipFill>
                        <pic:spPr>
                          <a:xfrm>
                            <a:off x="0" y="0"/>
                            <a:ext cx="1159510" cy="28829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w:t>
      </w:r>
    </w:p>
    <w:tbl>
      <w:tblPr>
        <w:tblStyle w:val="7"/>
        <w:tblW w:w="566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6" w:type="dxa"/>
          <w:left w:w="6" w:type="dxa"/>
          <w:bottom w:w="6" w:type="dxa"/>
          <w:right w:w="6" w:type="dxa"/>
        </w:tblCellMar>
      </w:tblPr>
      <w:tblGrid>
        <w:gridCol w:w="676"/>
        <w:gridCol w:w="319"/>
        <w:gridCol w:w="254"/>
        <w:gridCol w:w="257"/>
        <w:gridCol w:w="572"/>
        <w:gridCol w:w="257"/>
        <w:gridCol w:w="641"/>
        <w:gridCol w:w="261"/>
        <w:gridCol w:w="641"/>
        <w:gridCol w:w="257"/>
        <w:gridCol w:w="468"/>
        <w:gridCol w:w="267"/>
        <w:gridCol w:w="254"/>
        <w:gridCol w:w="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90" w:hRule="atLeast"/>
          <w:jc w:val="center"/>
        </w:trPr>
        <w:tc>
          <w:tcPr>
            <w:tcW w:w="0" w:type="auto"/>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Cambria Math" w:hAnsi="Cambria Math" w:cs="Times New Roman"/>
                        <w:b/>
                        <w:bCs w:val="0"/>
                        <w:color w:val="000000"/>
                        <w:kern w:val="2"/>
                        <w:sz w:val="13"/>
                        <w:szCs w:val="13"/>
                        <w:vertAlign w:val="baseline"/>
                        <w:lang w:val="en-US" w:eastAsia="zh-CN" w:bidi="ar-SA"/>
                      </w:rPr>
                    </m:ctrlPr>
                  </m:sSubPr>
                  <m:e>
                    <m:r>
                      <m:rPr>
                        <m:sty m:val="bi"/>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bCs w:val="0"/>
                        <w:color w:val="000000"/>
                        <w:kern w:val="2"/>
                        <w:sz w:val="13"/>
                        <w:szCs w:val="13"/>
                        <w:vertAlign w:val="baseline"/>
                        <w:lang w:val="en-US" w:eastAsia="zh-CN" w:bidi="ar-SA"/>
                      </w:rPr>
                    </m:ctrlPr>
                  </m:e>
                  <m:sub>
                    <m:r>
                      <m:rPr>
                        <m:sty m:val="b"/>
                      </m:rPr>
                      <w:rPr>
                        <w:rFonts w:hint="default" w:ascii="Cambria Math" w:hAnsi="Cambria Math" w:cs="Times New Roman"/>
                        <w:color w:val="000000"/>
                        <w:kern w:val="2"/>
                        <w:sz w:val="13"/>
                        <w:szCs w:val="13"/>
                        <w:vertAlign w:val="baseline"/>
                        <w:lang w:val="en-US" w:eastAsia="zh-CN" w:bidi="ar-SA"/>
                      </w:rPr>
                      <m:t>se</m:t>
                    </m:r>
                    <m:ctrlPr>
                      <w:rPr>
                        <w:rFonts w:hint="default" w:ascii="Cambria Math" w:hAnsi="Cambria Math" w:cs="Times New Roman"/>
                        <w:b/>
                        <w:bCs w:val="0"/>
                        <w:color w:val="000000"/>
                        <w:kern w:val="2"/>
                        <w:sz w:val="13"/>
                        <w:szCs w:val="13"/>
                        <w:vertAlign w:val="baseline"/>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(m/s)</w:t>
            </w:r>
          </w:p>
        </w:tc>
        <w:tc>
          <w:tcPr>
            <w:tcW w:w="0" w:type="auto"/>
            <w:gridSpan w:val="1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oMath/>
              </w:rPr>
            </w:pPr>
            <m:oMathPara>
              <m:oMathParaPr>
                <m:jc m:val="center"/>
              </m:oMathParaPr>
              <m:oMath>
                <m:sSub>
                  <m:sSubPr>
                    <m:ctrlPr>
                      <w:rPr>
                        <w:rFonts w:hint="default" w:ascii="Cambria Math" w:hAnsi="Cambria Math" w:cs="Times New Roman"/>
                        <w:b/>
                        <w:bCs w:val="0"/>
                        <w:color w:val="000000"/>
                        <w:sz w:val="13"/>
                        <w:szCs w:val="13"/>
                        <w:vertAlign w:val="baseline"/>
                        <w:lang w:val="en-US" w:eastAsia="zh-CN"/>
                      </w:rPr>
                    </m:ctrlPr>
                  </m:sSubPr>
                  <m:e>
                    <m:r>
                      <m:rPr>
                        <m:sty m:val="bi"/>
                      </m:rPr>
                      <w:rPr>
                        <w:rFonts w:hint="default" w:ascii="Cambria Math" w:hAnsi="Cambria Math" w:cs="Times New Roman"/>
                        <w:color w:val="000000"/>
                        <w:sz w:val="13"/>
                        <w:szCs w:val="13"/>
                        <w:vertAlign w:val="baseline"/>
                        <w:lang w:val="en-US" w:eastAsia="zh-CN"/>
                      </w:rPr>
                      <m:t>d</m:t>
                    </m:r>
                    <m:ctrlPr>
                      <w:rPr>
                        <w:rFonts w:hint="default" w:ascii="Cambria Math" w:hAnsi="Cambria Math" w:cs="Times New Roman"/>
                        <w:b/>
                        <w:bCs w:val="0"/>
                        <w:color w:val="000000"/>
                        <w:sz w:val="13"/>
                        <w:szCs w:val="13"/>
                        <w:vertAlign w:val="baseline"/>
                        <w:lang w:val="en-US" w:eastAsia="zh-CN"/>
                      </w:rPr>
                    </m:ctrlPr>
                  </m:e>
                  <m:sub>
                    <m:r>
                      <m:rPr>
                        <m:sty m:val="b"/>
                      </m:rPr>
                      <w:rPr>
                        <w:rFonts w:hint="default" w:ascii="Cambria Math" w:hAnsi="Cambria Math" w:cs="Times New Roman"/>
                        <w:color w:val="000000"/>
                        <w:sz w:val="13"/>
                        <w:szCs w:val="13"/>
                        <w:vertAlign w:val="baseline"/>
                        <w:lang w:val="en-US" w:eastAsia="zh-CN"/>
                      </w:rPr>
                      <m:t>ov</m:t>
                    </m:r>
                    <m:ctrlPr>
                      <w:rPr>
                        <w:rFonts w:hint="default" w:ascii="Cambria Math" w:hAnsi="Cambria Math" w:cs="Times New Roman"/>
                        <w:b/>
                        <w:bCs w:val="0"/>
                        <w:color w:val="000000"/>
                        <w:sz w:val="13"/>
                        <w:szCs w:val="13"/>
                        <w:vertAlign w:val="baseline"/>
                        <w:lang w:val="en-US" w:eastAsia="zh-CN"/>
                      </w:rPr>
                    </m:ctrlPr>
                  </m:sub>
                </m:sSub>
                <m:r>
                  <m:rPr>
                    <m:sty m:val="b"/>
                  </m:rPr>
                  <w:rPr>
                    <w:rFonts w:hint="default" w:ascii="Cambria Math" w:hAnsi="Cambria Math" w:cs="Times New Roman"/>
                    <w:color w:val="000000"/>
                    <w:sz w:val="13"/>
                    <w:szCs w:val="13"/>
                    <w:vertAlign w:val="baseline"/>
                    <w:lang w:val="en-US" w:eastAsia="zh-CN"/>
                  </w:rPr>
                  <m:t>（m）</m:t>
                </m:r>
              </m:oMath>
            </m:oMathPara>
          </w:p>
        </w:tc>
        <w:tc>
          <w:tcPr>
            <w:tcW w:w="0" w:type="auto"/>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场地类别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&lt;2.55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2.55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3</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3.45~4.25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5.75~12.75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17.25~42.5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50</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57.5~68</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80</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92</w:t>
            </w:r>
          </w:p>
        </w:tc>
        <w:tc>
          <w:tcPr>
            <w:tcW w:w="0" w:type="auto"/>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&gt;575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vMerge w:val="continue"/>
            <w:tcBorders>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500</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vMerge w:val="restart"/>
            <w:tcBorders>
              <w:top w:val="dotted"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楷体" w:cs="Times New Roman"/>
                <w:b w:val="0"/>
                <w:bCs/>
                <w:color w:val="000000"/>
                <w:kern w:val="2"/>
                <w:sz w:val="13"/>
                <w:szCs w:val="13"/>
                <w:vertAlign w:val="baseline"/>
                <w:lang w:val="en-US" w:eastAsia="zh-CN" w:bidi="ar-SA"/>
              </w:rPr>
              <w:t>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287.5~425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250</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172.5~212.5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150</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vMerge w:val="restart"/>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127.5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0.65</w:t>
            </w:r>
          </w:p>
        </w:tc>
        <w:tc>
          <w:tcPr>
            <w:tcW w:w="0" w:type="auto"/>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&lt;127.5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0.65</w:t>
            </w:r>
          </w:p>
        </w:tc>
        <w:tc>
          <w:tcPr>
            <w:tcW w:w="0" w:type="auto"/>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default" w:ascii="Times New Roman" w:hAnsi="Times New Roman" w:cs="Times New Roman"/>
                <w:b/>
                <w:bCs/>
                <w:color w:val="000000"/>
                <w:kern w:val="2"/>
                <w:sz w:val="13"/>
                <w:szCs w:val="13"/>
                <w:vertAlign w:val="baseline"/>
                <w:lang w:val="en-US" w:eastAsia="zh-CN" w:bidi="ar-SA"/>
              </w:rPr>
              <w:t>场地类别</w:t>
            </w:r>
          </w:p>
        </w:tc>
        <w:tc>
          <w:tcPr>
            <w:tcW w:w="0" w:type="auto"/>
            <w:gridSpan w:val="2"/>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c>
          <w:tcPr>
            <w:tcW w:w="1952" w:type="dxa"/>
            <w:gridSpan w:val="5"/>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1604" w:type="dxa"/>
            <w:gridSpan w:val="4"/>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0" w:type="auto"/>
            <w:tcBorders>
              <w:top w:val="single" w:color="auto" w:sz="4" w:space="0"/>
              <w:left w:val="dotted" w:color="auto" w:sz="12"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0" w:type="auto"/>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pPr>
      <w:r>
        <w:drawing>
          <wp:inline distT="0" distB="0" distL="114300" distR="114300">
            <wp:extent cx="2879725" cy="765810"/>
            <wp:effectExtent l="0" t="0" r="15875"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2879725" cy="7658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按相对变形值确定天然地基及人工地基承载力特征值</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959"/>
        <w:gridCol w:w="1725"/>
        <w:gridCol w:w="15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地基类型</w:t>
            </w:r>
          </w:p>
        </w:tc>
        <w:tc>
          <w:tcPr>
            <w:tcW w:w="1725"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地基土性质</w:t>
            </w:r>
          </w:p>
        </w:tc>
        <w:tc>
          <w:tcPr>
            <w:tcW w:w="156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特征值对应的变形值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天然地基</w:t>
            </w: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高压缩性土</w:t>
            </w:r>
          </w:p>
        </w:tc>
        <w:tc>
          <w:tcPr>
            <w:tcW w:w="15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0.015</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中压缩性土</w:t>
            </w:r>
          </w:p>
        </w:tc>
        <w:tc>
          <w:tcPr>
            <w:tcW w:w="15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0.012</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低压缩性土和砂性土</w:t>
            </w:r>
          </w:p>
        </w:tc>
        <w:tc>
          <w:tcPr>
            <w:tcW w:w="15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人工地基</w:t>
            </w:r>
          </w:p>
        </w:tc>
        <w:tc>
          <w:tcPr>
            <w:tcW w:w="1725"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中、低压缩性土</w:t>
            </w:r>
          </w:p>
        </w:tc>
        <w:tc>
          <w:tcPr>
            <w:tcW w:w="156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71"/>
        <w:gridCol w:w="1980"/>
        <w:gridCol w:w="1668"/>
        <w:gridCol w:w="16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98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3336"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3336"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66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668"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66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668"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668"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3336"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pStyle w:val="2"/>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r>
        <w:rPr>
          <w:rFonts w:hint="default"/>
          <w:lang w:val="en-US" w:eastAsia="zh-CN"/>
        </w:rPr>
        <w:br w:type="page"/>
      </w:r>
    </w:p>
    <w:p>
      <w:pPr>
        <w:pStyle w:val="2"/>
        <w:spacing w:line="240" w:lineRule="auto"/>
        <w:ind w:left="0" w:leftChars="0" w:firstLine="0" w:firstLineChars="0"/>
        <w:rPr>
          <w:rFonts w:hint="eastAsia" w:eastAsiaTheme="minorEastAsia"/>
          <w:lang w:val="en-US" w:eastAsia="zh-CN"/>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-219710</wp:posOffset>
            </wp:positionV>
            <wp:extent cx="2228215" cy="1512570"/>
            <wp:effectExtent l="0" t="0" r="635" b="1143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228215" cy="1512570"/>
                    </a:xfrm>
                    <a:prstGeom prst="rect">
                      <a:avLst/>
                    </a:prstGeom>
                    <a:noFill/>
                    <a:ln>
                      <a:noFill/>
                    </a:ln>
                  </pic:spPr>
                </pic:pic>
              </a:graphicData>
            </a:graphic>
          </wp:anchor>
        </w:drawing>
      </w:r>
      <m:oMath>
        <m:sSub>
          <m:sSubPr>
            <m:ctrlPr>
              <w:rPr>
                <w:rFonts w:hint="default" w:ascii="Cambria Math" w:hAnsi="Cambria Math"/>
                <w:lang w:val="en-US" w:eastAsia="zh-CN"/>
              </w:rPr>
            </m:ctrlPr>
          </m:sSubPr>
          <m:e>
            <m:r>
              <m:rPr>
                <m:sty m:val="p"/>
              </m:rPr>
              <w:rPr>
                <w:rFonts w:hint="default" w:ascii="Cambria Math" w:hAnsi="Cambria Math"/>
                <w:lang w:val="en-US" w:eastAsia="zh-CN"/>
              </w:rPr>
              <m:t>G</m:t>
            </m:r>
            <m:ctrlPr>
              <w:rPr>
                <w:rFonts w:hint="default" w:ascii="Cambria Math" w:hAnsi="Cambria Math"/>
                <w:lang w:val="en-US" w:eastAsia="zh-CN"/>
              </w:rPr>
            </m:ctrlPr>
          </m:e>
          <m:sub>
            <m:r>
              <m:rPr>
                <m:sty m:val="p"/>
              </m:rPr>
              <w:rPr>
                <w:rFonts w:hint="default" w:ascii="Cambria Math" w:hAnsi="Cambria Math"/>
                <w:lang w:val="en-US" w:eastAsia="zh-CN"/>
              </w:rPr>
              <m:t>b</m:t>
            </m:r>
            <m:ctrlPr>
              <w:rPr>
                <w:rFonts w:hint="default" w:ascii="Cambria Math" w:hAnsi="Cambria Math"/>
                <w:lang w:val="en-US" w:eastAsia="zh-CN"/>
              </w:rPr>
            </m:ctrlPr>
          </m:sub>
        </m:sSub>
      </m:oMath>
      <w:r>
        <w:rPr>
          <w:rFonts w:hint="eastAsia"/>
          <w:lang w:val="en-US" w:eastAsia="zh-CN"/>
        </w:rPr>
        <w:t>：滑体单位宽度竖向附加荷载（kN/m）</w:t>
      </w:r>
    </w:p>
    <w:p>
      <w:pPr>
        <w:pStyle w:val="2"/>
        <w:spacing w:line="240" w:lineRule="auto"/>
        <w:ind w:left="0" w:leftChars="0" w:firstLine="0" w:firstLineChars="0"/>
        <w:rPr>
          <w:rFonts w:hint="eastAsia"/>
          <w:lang w:val="en-US" w:eastAsia="zh-CN"/>
        </w:rPr>
      </w:pPr>
      <m:oMath>
        <m:r>
          <m:rPr>
            <m:sty m:val="p"/>
          </m:rPr>
          <w:rPr>
            <w:rFonts w:hint="eastAsia" w:ascii="Cambria Math" w:hAnsi="Cambria Math"/>
            <w:lang w:val="en-US" w:eastAsia="zh-CN"/>
          </w:rPr>
          <m:t>c</m:t>
        </m:r>
      </m:oMath>
      <w:r>
        <w:rPr>
          <w:rFonts w:hint="eastAsia"/>
          <w:lang w:val="en-US" w:eastAsia="zh-CN"/>
        </w:rPr>
        <w:t>：滑面粘聚力（kPa）</w:t>
      </w:r>
    </w:p>
    <w:p>
      <w:pPr>
        <w:pStyle w:val="2"/>
        <w:spacing w:line="240" w:lineRule="auto"/>
        <w:ind w:left="0" w:leftChars="0" w:firstLine="0" w:firstLineChars="0"/>
        <w:rPr>
          <w:rFonts w:hint="eastAsia"/>
          <w:lang w:val="en-US" w:eastAsia="zh-CN"/>
        </w:rPr>
      </w:pPr>
      <m:oMath>
        <m:r>
          <m:rPr/>
          <w:rPr>
            <w:rFonts w:hint="default" w:ascii="Cambria Math" w:hAnsi="Cambria Math"/>
            <w:lang w:val="en-US" w:eastAsia="zh-CN"/>
          </w:rPr>
          <m:t>L</m:t>
        </m:r>
      </m:oMath>
      <w:r>
        <w:rPr>
          <w:rFonts w:hint="eastAsia"/>
          <w:lang w:val="en-US" w:eastAsia="zh-CN"/>
        </w:rPr>
        <w:t>：滑面长度（m）</w:t>
      </w:r>
    </w:p>
    <w:p>
      <w:pPr>
        <w:pStyle w:val="2"/>
        <w:spacing w:line="240" w:lineRule="auto"/>
        <w:ind w:left="0" w:leftChars="0" w:firstLine="0" w:firstLineChars="0"/>
        <w:rPr>
          <w:rFonts w:hint="eastAsia" w:eastAsiaTheme="minorEastAsia"/>
          <w:lang w:val="en-US" w:eastAsia="zh-CN"/>
        </w:rPr>
      </w:pPr>
      <m:oMath>
        <m:r>
          <m:rPr/>
          <w:rPr>
            <w:rFonts w:hint="default" w:ascii="Cambria Math" w:hAnsi="Cambria Math" w:eastAsiaTheme="minorEastAsia"/>
            <w:lang w:val="en-US" w:eastAsia="zh-CN"/>
          </w:rPr>
          <m:t>F</m:t>
        </m:r>
      </m:oMath>
      <w:r>
        <w:rPr>
          <w:rFonts w:hint="eastAsia" w:eastAsiaTheme="minorEastAsia"/>
          <w:lang w:val="en-US" w:eastAsia="zh-CN"/>
        </w:rPr>
        <w:t>：单位宽度锚杆力（kN/m）</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3706"/>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通用公式</w:t>
            </w:r>
          </w:p>
        </w:tc>
        <w:tc>
          <w:tcPr>
            <w:tcW w:w="7413"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(α−θ)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U+F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(G+</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α</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θ</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iCs/>
                <w:color w:val="000000"/>
                <w:sz w:val="16"/>
                <w:szCs w:val="16"/>
                <w:vertAlign w:val="baseline"/>
                <w:lang w:val="en-US" w:eastAsia="zh-CN"/>
                <w:oMath/>
              </w:rPr>
            </w:pPr>
            <m:oMathPara>
              <m:oMath>
                <m:r>
                  <m:rPr>
                    <m:sty m:val="bi"/>
                  </m:rPr>
                  <w:rPr>
                    <w:rFonts w:hint="default" w:ascii="Cambria Math" w:hAnsi="Cambria Math" w:cs="Times New Roman"/>
                    <w:color w:val="000000"/>
                    <w:sz w:val="16"/>
                    <w:szCs w:val="16"/>
                    <w:vertAlign w:val="baseline"/>
                    <w:lang w:val="en-US" w:eastAsia="zh-CN"/>
                  </w:rPr>
                  <m:t>L</m:t>
                </m:r>
              </m:oMath>
            </m:oMathPara>
          </w:p>
        </w:tc>
        <w:tc>
          <w:tcPr>
            <w:tcW w:w="3706"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无裂隙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有裂隙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m:oMathPara>
              <m:oMath>
                <m:r>
                  <m:rPr>
                    <m:sty m:val="bi"/>
                  </m:rPr>
                  <w:rPr>
                    <w:rFonts w:hint="default" w:ascii="Cambria Math" w:hAnsi="Cambria Math" w:cs="Times New Roman"/>
                    <w:color w:val="000000"/>
                    <w:sz w:val="16"/>
                    <w:szCs w:val="16"/>
                    <w:vertAlign w:val="baseline"/>
                    <w:lang w:val="en-US" w:eastAsia="zh-CN"/>
                  </w:rPr>
                  <m:t>G'</m:t>
                </m:r>
              </m:oMath>
            </m:oMathPara>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8"/>
                <w:szCs w:val="16"/>
                <w:vertAlign w:val="baseline"/>
                <w:lang w:val="en-US" w:eastAsia="zh-CN" w:bidi="ar-SA"/>
                <w:oMath/>
              </w:rPr>
            </w:pPr>
            <m:oMath>
              <m:r>
                <m:rPr>
                  <m:sty m:val="p"/>
                </m:rPr>
                <w:rPr>
                  <w:rFonts w:hint="default" w:ascii="Cambria Math" w:hAnsi="Cambria Math" w:cs="Times New Roman"/>
                  <w:color w:val="000000"/>
                  <w:kern w:val="2"/>
                  <w:sz w:val="21"/>
                  <w:szCs w:val="21"/>
                  <w:vertAlign w:val="baseline"/>
                  <w:lang w:val="en-US" w:eastAsia="zh-CN" w:bidi="ar-SA"/>
                </w:rPr>
                <m:t>G=</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γ</m:t>
              </m:r>
              <m:sSup>
                <m:sSupPr>
                  <m:ctrlPr>
                    <w:rPr>
                      <w:rFonts w:hint="default" w:ascii="Cambria Math" w:hAnsi="Cambria Math" w:cs="Times New Roman"/>
                      <w:i w:val="0"/>
                      <w:color w:val="000000"/>
                      <w:kern w:val="2"/>
                      <w:sz w:val="21"/>
                      <w:szCs w:val="21"/>
                      <w:vertAlign w:val="baseline"/>
                      <w:lang w:val="en-US" w:eastAsia="zh-CN" w:bidi="ar-SA"/>
                    </w:rPr>
                  </m:ctrlPr>
                </m:sSupPr>
                <m:e>
                  <m:r>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sSup>
                    <m:sSupPr>
                      <m:ctrlPr>
                        <w:rPr>
                          <w:rFonts w:hint="default" w:ascii="Cambria Math" w:hAnsi="Cambria Math" w:cs="Times New Roman"/>
                          <w:i w:val="0"/>
                          <w:color w:val="000000"/>
                          <w:kern w:val="2"/>
                          <w:sz w:val="21"/>
                          <w:szCs w:val="21"/>
                          <w:vertAlign w:val="baseline"/>
                          <w:lang w:val="en-US" w:eastAsia="zh-CN" w:bidi="ar-SA"/>
                        </w:rPr>
                      </m:ctrlPr>
                    </m:sSupPr>
                    <m:e>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sSub>
                            <m:sSubPr>
                              <m:ctrlPr>
                                <w:rPr>
                                  <w:rFonts w:hint="default" w:ascii="Cambria Math" w:hAnsi="Cambria Math" w:cs="Times New Roman"/>
                                  <w:i w:val="0"/>
                                  <w:color w:val="000000"/>
                                  <w:kern w:val="2"/>
                                  <w:sz w:val="21"/>
                                  <w:szCs w:val="21"/>
                                  <w:vertAlign w:val="baseline"/>
                                  <w:lang w:val="en-US" w:eastAsia="zh-CN" w:bidi="ar-SA"/>
                                </w:rPr>
                              </m:ctrlPr>
                            </m:sSubPr>
                            <m:e>
                              <m:r>
                                <m:rPr>
                                  <m:sty m:val="p"/>
                                </m:rPr>
                                <w:rPr>
                                  <w:rFonts w:hint="default" w:ascii="Cambria Math" w:hAnsi="Cambria Math" w:cs="Times New Roman"/>
                                  <w:color w:val="000000"/>
                                  <w:kern w:val="2"/>
                                  <w:sz w:val="21"/>
                                  <w:szCs w:val="21"/>
                                  <w:vertAlign w:val="baseline"/>
                                  <w:lang w:val="en-US" w:eastAsia="zh-CN" w:bidi="ar-SA"/>
                                </w:rPr>
                                <m:t>ℎ</m:t>
                              </m:r>
                              <m:ctrlPr>
                                <w:rPr>
                                  <w:rFonts w:hint="default" w:ascii="Cambria Math" w:hAnsi="Cambria Math" w:cs="Times New Roman"/>
                                  <w:i w:val="0"/>
                                  <w:color w:val="000000"/>
                                  <w:kern w:val="2"/>
                                  <w:sz w:val="21"/>
                                  <w:szCs w:val="21"/>
                                  <w:vertAlign w:val="baseline"/>
                                  <w:lang w:val="en-US" w:eastAsia="zh-CN" w:bidi="ar-SA"/>
                                </w:rPr>
                              </m:ctrlPr>
                            </m:e>
                            <m:sub>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sub>
                          </m:sSub>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θ</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α</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oMath>
            <w:r>
              <w:rPr>
                <w:rFonts w:hint="eastAsia" w:hAnsi="Cambria Math" w:cs="Times New Roman"/>
                <w:i w:val="0"/>
                <w:color w:val="000000"/>
                <w:kern w:val="2"/>
                <w:sz w:val="18"/>
                <w:szCs w:val="18"/>
                <w:vertAlign w:val="baseline"/>
                <w:lang w:val="en-US" w:eastAsia="zh-CN" w:bidi="ar-SA"/>
              </w:rPr>
              <w:t xml:space="preserve">   </w:t>
            </w:r>
            <m:oMath>
              <m:r>
                <m:rPr>
                  <m:sty m:val="p"/>
                </m:rPr>
                <w:rPr>
                  <w:rFonts w:hint="eastAsia" w:ascii="Cambria Math" w:hAnsi="Cambria Math" w:cs="Times New Roman"/>
                  <w:color w:val="000000"/>
                  <w:kern w:val="2"/>
                  <w:sz w:val="18"/>
                  <w:szCs w:val="18"/>
                  <w:vertAlign w:val="baseline"/>
                  <w:lang w:val="en-US" w:eastAsia="zh-CN" w:bidi="ar-SA"/>
                </w:rPr>
                <m:t>H</m:t>
              </m:r>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sub>
              </m:sSub>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p>
        </w:tc>
        <w:tc>
          <w:tcPr>
            <w:tcW w:w="370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i w:val="0"/>
                <w:color w:val="000000"/>
                <w:kern w:val="2"/>
                <w:sz w:val="16"/>
                <w:szCs w:val="16"/>
                <w:vertAlign w:val="baseline"/>
                <w:lang w:val="en-US" w:eastAsia="zh-CN" w:bidi="ar-SA"/>
              </w:rPr>
            </w:pPr>
            <w:r>
              <w:rPr>
                <w:rFonts w:hint="eastAsia" w:ascii="Times New Roman" w:hAnsi="Times New Roman" w:cs="Times New Roman"/>
                <w:i w:val="0"/>
                <w:color w:val="000000"/>
                <w:kern w:val="2"/>
                <w:sz w:val="16"/>
                <w:szCs w:val="16"/>
                <w:vertAlign w:val="baseline"/>
                <w:lang w:val="en-US" w:eastAsia="zh-CN" w:bidi="ar-SA"/>
              </w:rPr>
              <w:t>坡面不透水</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G'=G</m:t>
                </m:r>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坡面透水</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G'=G−</m:t>
                </m:r>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地震</w:t>
            </w:r>
            <w:r>
              <w:rPr>
                <w:rFonts w:hint="eastAsia" w:hAnsi="Cambria Math" w:cs="Times New Roman"/>
                <w:b/>
                <w:bCs/>
                <w:i w:val="0"/>
                <w:iCs/>
                <w:color w:val="000000"/>
                <w:sz w:val="16"/>
                <w:szCs w:val="16"/>
                <w:vertAlign w:val="baseline"/>
                <w:lang w:val="en-US" w:eastAsia="zh-CN"/>
              </w:rPr>
              <w:t xml:space="preserve"> </w:t>
            </w:r>
            <m:oMath>
              <m:sSub>
                <m:sSubPr>
                  <m:ctrlPr>
                    <w:rPr>
                      <w:rFonts w:hint="default" w:ascii="Cambria Math" w:hAnsi="Cambria Math" w:cs="Times New Roman"/>
                      <w:b/>
                      <w:bCs/>
                      <w:i/>
                      <w:i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
                      <w:bCs/>
                      <w:i/>
                      <w:iCs/>
                      <w:color w:val="000000"/>
                      <w:sz w:val="16"/>
                      <w:szCs w:val="16"/>
                      <w:vertAlign w:val="baseline"/>
                      <w:lang w:val="en-US" w:eastAsia="zh-CN"/>
                    </w:rPr>
                  </m:ctrlPr>
                </m:e>
                <m:sub>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i/>
                      <w:iCs/>
                      <w:color w:val="000000"/>
                      <w:sz w:val="16"/>
                      <w:szCs w:val="16"/>
                      <w:vertAlign w:val="baseline"/>
                      <w:lang w:val="en-US" w:eastAsia="zh-CN"/>
                    </w:rPr>
                  </m:ctrlPr>
                </m:sub>
              </m:sSub>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sSub>
                  <m:sSubPr>
                    <m:ctrlPr>
                      <w:rPr>
                        <w:rFonts w:hint="eastAsia" w:ascii="Cambria Math" w:hAnsi="Cambria Math" w:cs="Times New Roman" w:eastAsiaTheme="minorEastAsia"/>
                        <w:b w:val="0"/>
                        <w:bCs w:val="0"/>
                        <w:color w:val="000000"/>
                        <w:sz w:val="16"/>
                        <w:szCs w:val="16"/>
                        <w:vertAlign w:val="baseline"/>
                        <w:lang w:val="en-US" w:eastAsia="zh-CN"/>
                      </w:rPr>
                    </m:ctrlPr>
                  </m:sSubPr>
                  <m:e>
                    <m:r>
                      <m:rPr/>
                      <w:rPr>
                        <w:rFonts w:hint="default" w:ascii="Cambria Math" w:hAnsi="Cambria Math" w:cs="Times New Roman" w:eastAsiaTheme="minorEastAsia"/>
                        <w:color w:val="000000"/>
                        <w:sz w:val="16"/>
                        <w:szCs w:val="16"/>
                        <w:vertAlign w:val="baseline"/>
                        <w:lang w:val="en-US" w:eastAsia="zh-CN"/>
                      </w:rPr>
                      <m:t>Q</m:t>
                    </m:r>
                    <m:ctrlPr>
                      <w:rPr>
                        <w:rFonts w:hint="eastAsia" w:ascii="Cambria Math" w:hAnsi="Cambria Math" w:cs="Times New Roman" w:eastAsiaTheme="minorEastAsia"/>
                        <w:b w:val="0"/>
                        <w:bCs w:val="0"/>
                        <w:color w:val="000000"/>
                        <w:sz w:val="16"/>
                        <w:szCs w:val="16"/>
                        <w:vertAlign w:val="baseline"/>
                        <w:lang w:val="en-US" w:eastAsia="zh-CN"/>
                      </w:rPr>
                    </m:ctrlPr>
                  </m:e>
                  <m:sub>
                    <m:r>
                      <m:rPr>
                        <m:sty m:val="p"/>
                      </m:rPr>
                      <w:rPr>
                        <w:rFonts w:hint="default" w:ascii="Cambria Math" w:hAnsi="Cambria Math" w:cs="Times New Roman" w:eastAsiaTheme="minorEastAsia"/>
                        <w:color w:val="000000"/>
                        <w:sz w:val="16"/>
                        <w:szCs w:val="16"/>
                        <w:vertAlign w:val="baseline"/>
                        <w:lang w:val="en-US" w:eastAsia="zh-CN"/>
                      </w:rPr>
                      <m:t>e</m:t>
                    </m:r>
                    <m:ctrlPr>
                      <w:rPr>
                        <w:rFonts w:hint="eastAsia" w:ascii="Cambria Math" w:hAnsi="Cambria Math" w:cs="Times New Roman" w:eastAsiaTheme="minorEastAsia"/>
                        <w:b w:val="0"/>
                        <w:b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val="0"/>
                        <w:b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G</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eastAsia" w:hAnsi="Cambria Math" w:cs="Times New Roman"/>
                <w:b/>
                <w:bCs/>
                <w:i w:val="0"/>
                <w:iCs/>
                <w:color w:val="000000"/>
                <w:sz w:val="16"/>
                <w:szCs w:val="16"/>
                <w:vertAlign w:val="baseline"/>
                <w:lang w:val="en-US" w:eastAsia="zh-CN"/>
              </w:rPr>
              <w:t xml:space="preserve">坡面水 </w:t>
            </w:r>
            <m:oMath>
              <m:r>
                <m:rPr>
                  <m:sty m:val="bi"/>
                </m:rPr>
                <w:rPr>
                  <w:rFonts w:hint="default" w:ascii="Cambria Math" w:hAnsi="Cambria Math" w:cs="Times New Roman"/>
                  <w:color w:val="000000"/>
                  <w:sz w:val="16"/>
                  <w:szCs w:val="16"/>
                  <w:vertAlign w:val="baseline"/>
                  <w:lang w:val="en-US" w:eastAsia="zh-CN"/>
                </w:rPr>
                <m:t>W</m:t>
              </m:r>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坡面有水：</w:t>
            </w:r>
            <m:oMath>
              <m:r>
                <m:rPr/>
                <w:rPr>
                  <w:rFonts w:hint="default" w:ascii="Cambria Math" w:hAnsi="Cambria Math" w:cs="Times New Roman"/>
                  <w:color w:val="000000"/>
                  <w:kern w:val="2"/>
                  <w:sz w:val="18"/>
                  <w:szCs w:val="18"/>
                  <w:vertAlign w:val="baseline"/>
                  <w:lang w:val="en-US" w:eastAsia="zh-CN" w:bidi="ar-SA"/>
                </w:rPr>
                <m:t>W</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3</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func>
                    <m:funcPr>
                      <m:ctrlPr>
                        <w:rPr>
                          <w:rFonts w:hint="default" w:ascii="Cambria Math" w:hAnsi="Cambria Math" w:cs="Times New Roman"/>
                          <w:i w:val="0"/>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i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α</m:t>
                      </m:r>
                      <m:ctrlPr>
                        <w:rPr>
                          <w:rFonts w:hint="default" w:ascii="Cambria Math" w:hAnsi="Cambria Math" w:cs="Times New Roman"/>
                          <w:i w:val="0"/>
                          <w:color w:val="000000"/>
                          <w:kern w:val="2"/>
                          <w:sz w:val="18"/>
                          <w:szCs w:val="18"/>
                          <w:vertAlign w:val="baseline"/>
                          <w:lang w:val="en-US" w:eastAsia="zh-CN" w:bidi="ar-SA"/>
                        </w:rPr>
                      </m:ctrlPr>
                    </m:e>
                  </m:func>
                  <m:ctrlPr>
                    <w:rPr>
                      <w:rFonts w:hint="default" w:ascii="Cambria Math" w:hAnsi="Cambria Math" w:cs="Times New Roman"/>
                      <w:i w:val="0"/>
                      <w:color w:val="000000"/>
                      <w:kern w:val="2"/>
                      <w:sz w:val="18"/>
                      <w:szCs w:val="18"/>
                      <w:vertAlign w:val="baseline"/>
                      <w:lang w:val="en-US" w:eastAsia="zh-CN" w:bidi="ar-SA"/>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裂隙水 </w:t>
            </w:r>
            <m:oMath>
              <m:r>
                <m:rPr>
                  <m:sty m:val="bi"/>
                </m:rPr>
                <w:rPr>
                  <w:rFonts w:hint="default" w:ascii="Cambria Math" w:hAnsi="Cambria Math" w:cs="Times New Roman"/>
                  <w:color w:val="000000"/>
                  <w:sz w:val="16"/>
                  <w:szCs w:val="16"/>
                  <w:vertAlign w:val="baseline"/>
                  <w:lang w:val="en-US" w:eastAsia="zh-CN"/>
                </w:rPr>
                <m:t>V</m:t>
              </m:r>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裂隙有水：</w:t>
            </w:r>
            <m:oMath>
              <m:r>
                <m:rPr/>
                <w:rPr>
                  <w:rFonts w:hint="default" w:ascii="Cambria Math" w:hAnsi="Cambria Math" w:cs="Times New Roman"/>
                  <w:color w:val="000000"/>
                  <w:kern w:val="2"/>
                  <w:sz w:val="18"/>
                  <w:szCs w:val="18"/>
                  <w:vertAlign w:val="baseline"/>
                  <w:lang w:val="en-US" w:eastAsia="zh-CN" w:bidi="ar-SA"/>
                </w:rPr>
                <m:t>V</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滑面水 </w:t>
            </w:r>
            <m:oMath>
              <m:r>
                <m:rPr>
                  <m:sty m:val="bi"/>
                </m:rPr>
                <w:rPr>
                  <w:rFonts w:hint="default" w:ascii="Cambria Math" w:hAnsi="Cambria Math" w:cs="Times New Roman"/>
                  <w:color w:val="000000"/>
                  <w:sz w:val="16"/>
                  <w:szCs w:val="16"/>
                  <w:vertAlign w:val="baseline"/>
                  <w:lang w:val="en-US" w:eastAsia="zh-CN"/>
                </w:rPr>
                <m:t>U</m:t>
              </m:r>
            </m:oMath>
          </w:p>
        </w:tc>
        <w:tc>
          <w:tcPr>
            <w:tcW w:w="37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 xml:space="preserve">滑面有水，坡脚堵水 / </w:t>
            </w:r>
            <m:oMath>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oMath>
            <w:r>
              <w:rPr>
                <w:rFonts w:hint="default" w:hAnsi="Cambria Math" w:cs="Times New Roman"/>
                <w:i w:val="0"/>
                <w:color w:val="000000"/>
                <w:kern w:val="2"/>
                <w:sz w:val="16"/>
                <w:szCs w:val="16"/>
                <w:vertAlign w:val="baseline"/>
                <w:lang w:val="en-US" w:eastAsia="zh-CN" w:bidi="ar-SA"/>
              </w:rPr>
              <w:t>水位剧降</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Sup>
                  <m:sSubSupPr>
                    <m:ctrlPr>
                      <w:rPr>
                        <w:rFonts w:hint="default" w:ascii="Cambria Math" w:hAnsi="Cambria Math" w:cs="Times New Roman"/>
                        <w:i w:val="0"/>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p>
                </m:sSubSup>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坡面水和滑面水联通 / 坡脚渗水 / 水位稳定</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Sub>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eastAsia" w:ascii="Times New Roman" w:hAnsi="Times New Roman" w:cs="Times New Roman"/>
                <w:b/>
                <w:bCs/>
                <w:i w:val="0"/>
                <w:iCs w:val="0"/>
                <w:color w:val="000000"/>
                <w:sz w:val="16"/>
                <w:szCs w:val="16"/>
                <w:vertAlign w:val="baseline"/>
                <w:lang w:val="en-US" w:eastAsia="zh-CN"/>
              </w:rPr>
              <w:t>锚杆力</w:t>
            </w:r>
            <w:r>
              <w:rPr>
                <w:rFonts w:hint="default" w:ascii="Times New Roman" w:hAnsi="Times New Roman" w:cs="Times New Roman"/>
                <w:b/>
                <w:bCs/>
                <w:i w:val="0"/>
                <w:iCs w:val="0"/>
                <w:color w:val="000000"/>
                <w:sz w:val="16"/>
                <w:szCs w:val="16"/>
                <w:vertAlign w:val="baseline"/>
                <w:lang w:val="en-US" w:eastAsia="zh-CN"/>
              </w:rPr>
              <w:t xml:space="preserve"> </w:t>
            </w:r>
            <m:oMath>
              <m:r>
                <m:rPr>
                  <m:sty m:val="bi"/>
                </m:rPr>
                <w:rPr>
                  <w:rFonts w:hint="default" w:ascii="Cambria Math" w:hAnsi="Cambria Math" w:cs="Times New Roman"/>
                  <w:color w:val="000000"/>
                  <w:sz w:val="16"/>
                  <w:szCs w:val="16"/>
                  <w:vertAlign w:val="baseline"/>
                  <w:lang w:val="en-US" w:eastAsia="zh-CN"/>
                </w:rPr>
                <m:t>F</m:t>
              </m:r>
            </m:oMath>
          </w:p>
        </w:tc>
        <w:tc>
          <w:tcPr>
            <w:tcW w:w="741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Cambria Math" w:hAnsi="Cambria Math" w:cs="Times New Roman" w:eastAsiaTheme="minorEastAsia"/>
                <w:b w:val="0"/>
                <w:i w:val="0"/>
                <w:color w:val="000000"/>
                <w:kern w:val="2"/>
                <w:sz w:val="16"/>
                <w:szCs w:val="16"/>
                <w:vertAlign w:val="baseline"/>
                <w:lang w:val="en-US" w:eastAsia="zh-CN" w:bidi="ar-SA"/>
                <w:oMath/>
              </w:rPr>
            </w:pPr>
            <m:oMathPara>
              <m:oMath>
                <m:r>
                  <m:rPr>
                    <m:sty m:val="p"/>
                  </m:rPr>
                  <w:rPr>
                    <w:rFonts w:hint="default" w:ascii="Cambria Math" w:hAnsi="Cambria Math" w:cs="Times New Roman"/>
                    <w:color w:val="000000"/>
                    <w:kern w:val="2"/>
                    <w:sz w:val="16"/>
                    <w:szCs w:val="16"/>
                    <w:vertAlign w:val="baseline"/>
                    <w:lang w:val="en-US" w:eastAsia="zh-CN" w:bidi="ar-SA"/>
                  </w:rPr>
                  <m:t>F=</m:t>
                </m:r>
                <m:f>
                  <m:fPr>
                    <m:ctrlPr>
                      <w:rPr>
                        <w:rFonts w:hint="default" w:ascii="Cambria Math" w:hAnsi="Cambria Math" w:cs="Times New Roman"/>
                        <w:b w:val="0"/>
                        <w:i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i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i w:val="0"/>
                        <w:color w:val="000000"/>
                        <w:kern w:val="2"/>
                        <w:sz w:val="16"/>
                        <w:szCs w:val="16"/>
                        <w:vertAlign w:val="baseline"/>
                        <w:lang w:val="en-US" w:eastAsia="zh-CN" w:bidi="ar-SA"/>
                      </w:rPr>
                    </m:ctrlPr>
                  </m:den>
                </m:f>
              </m:oMath>
            </m:oMathPara>
          </w:p>
        </w:tc>
      </w:tr>
    </w:tbl>
    <w:p>
      <w:pPr>
        <w:pStyle w:val="2"/>
        <w:spacing w:line="240" w:lineRule="auto"/>
        <w:ind w:left="0" w:leftChars="0" w:firstLine="0" w:firstLineChars="0"/>
        <w:rPr>
          <w:rFonts w:hint="eastAsia" w:eastAsiaTheme="minor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val="en-US" w:eastAsia="zh-CN"/>
        </w:rPr>
      </w:pPr>
      <w:r>
        <w:rPr>
          <w:rFonts w:hint="eastAsia" w:ascii="黑体" w:hAnsi="黑体" w:eastAsia="黑体" w:cs="黑体"/>
          <w:b/>
          <w:bCs/>
          <w:sz w:val="16"/>
          <w:szCs w:val="16"/>
          <w:lang w:val="en-US" w:eastAsia="zh-CN"/>
        </w:rPr>
        <w:t>锚索加固边坡计算公式</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4123"/>
        <w:gridCol w:w="3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计算原理</w:t>
            </w:r>
          </w:p>
        </w:tc>
        <w:tc>
          <w:tcPr>
            <w:tcW w:w="412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计算公式</w:t>
            </w:r>
          </w:p>
        </w:tc>
        <w:tc>
          <w:tcPr>
            <w:tcW w:w="329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公式来源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圆弧滑动</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4</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cLR</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《工程地质手册》P669</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lang w:val="en-US" w:eastAsia="zh-CN"/>
                <w:oMath/>
              </w:rPr>
            </w:pPr>
            <w:r>
              <w:rPr>
                <w:rFonts w:hint="eastAsia" w:hAnsi="Cambria Math" w:cs="Times New Roman"/>
                <w:i w:val="0"/>
                <w:color w:val="000000"/>
                <w:kern w:val="2"/>
                <w:sz w:val="16"/>
                <w:szCs w:val="16"/>
                <w:vertAlign w:val="baseline"/>
                <w:lang w:val="en-US" w:eastAsia="zh-CN" w:bidi="ar-SA"/>
              </w:rPr>
              <w:t>手册二 P104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平面滑动</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《建筑边坡工程技术规范》附录A</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i w:val="0"/>
                <w:color w:val="000000"/>
                <w:kern w:val="2"/>
                <w:sz w:val="16"/>
                <w:szCs w:val="16"/>
                <w:vertAlign w:val="baseline"/>
                <w:lang w:val="en-US" w:eastAsia="zh-CN" w:bidi="ar-SA"/>
              </w:rPr>
              <w:t>手册二 P96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《建筑边坡工程鉴定与加固技术规范》附录A</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N/</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y</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x</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rPr>
                      <m:t>μ</m:t>
                    </m:r>
                    <m:r>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at</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t</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危岩加固</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抗滑移（锚喷支护）</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b</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《建筑边坡工程技术规范》10.2.4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 xml:space="preserve">锚索拉力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t</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r>
                    <m:rPr/>
                    <w:rPr>
                      <w:rFonts w:hint="default" w:ascii="Cambria Math" w:hAnsi="Cambria Math" w:cs="Times New Roman"/>
                      <w:color w:val="000000"/>
                      <w:sz w:val="18"/>
                      <w:szCs w:val="18"/>
                      <w:vertAlign w:val="baseline"/>
                      <w:lang w:val="en-US" w:eastAsia="zh-CN"/>
                    </w:rPr>
                    <m:t>λ</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《铁路路基支挡结构设计规范》12.2.4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P323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锚杆设计锚固力</w:t>
            </w:r>
            <w:r>
              <w:rPr>
                <w:rFonts w:hint="eastAsia" w:hAnsi="Cambria Math" w:cs="Times New Roman"/>
                <w:b w:val="0"/>
                <w:bCs w:val="0"/>
                <w:i w:val="0"/>
                <w:iCs/>
                <w:color w:val="000000"/>
                <w:sz w:val="18"/>
                <w:szCs w:val="18"/>
                <w:vertAlign w:val="baseline"/>
                <w:lang w:val="en-US" w:eastAsia="zh-CN"/>
              </w:rPr>
              <w:t xml:space="preserve">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eastAsia" w:ascii="Cambria Math" w:hAnsi="Cambria Math" w:cs="Times New Roman"/>
                      <w:color w:val="000000"/>
                      <w:sz w:val="18"/>
                      <w:szCs w:val="18"/>
                      <w:vertAlign w:val="baseline"/>
                      <w:lang w:val="en-US" w:eastAsia="zh-CN"/>
                    </w:rPr>
                    <m:t>d</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《公路路基设计规范》5.5.4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ζ</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 w:val="0"/>
                        <w:bCs w:val="0"/>
                        <w:i w:val="0"/>
                        <w:iCs/>
                        <w:color w:val="000000"/>
                        <w:sz w:val="16"/>
                        <w:szCs w:val="16"/>
                        <w:vertAlign w:val="baseline"/>
                        <w:lang w:eastAsia="zh-CN"/>
                      </w:rPr>
                    </m:ctrlPr>
                  </m:sub>
                </m:sSub>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N</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0</m:t>
                    </m:r>
                    <m:ctrlPr>
                      <w:rPr>
                        <w:rFonts w:hint="default" w:ascii="Cambria Math" w:hAnsi="Cambria Math" w:cs="Times New Roman"/>
                        <w:b w:val="0"/>
                        <w:bCs w:val="0"/>
                        <w:iCs/>
                        <w:color w:val="000000"/>
                        <w:sz w:val="18"/>
                        <w:szCs w:val="18"/>
                        <w:vertAlign w:val="baseline"/>
                        <w:lang w:eastAsia="zh-CN"/>
                      </w:rPr>
                    </m:ctrlPr>
                  </m:sub>
                </m:sSub>
                <m:r>
                  <m:rPr>
                    <m:sty m:val="p"/>
                  </m:rPr>
                  <w:rPr>
                    <w:rFonts w:ascii="Cambria Math" w:hAnsi="Cambria Math" w:cs="Times New Roman"/>
                    <w:color w:val="000000"/>
                    <w:sz w:val="18"/>
                    <w:szCs w:val="18"/>
                    <w:vertAlign w:val="baseline"/>
                  </w:rPr>
                  <m:t>≥</m:t>
                </m:r>
                <m:r>
                  <m:rPr/>
                  <w:rPr>
                    <w:rFonts w:hint="default" w:ascii="Cambria Math" w:hAnsi="Cambria Math" w:cs="Times New Roman"/>
                    <w:color w:val="000000"/>
                    <w:sz w:val="18"/>
                    <w:szCs w:val="18"/>
                    <w:vertAlign w:val="baseline"/>
                    <w:lang w:val="en-US" w:eastAsia="zh-CN"/>
                  </w:rPr>
                  <m:t>KS</m:t>
                </m:r>
              </m:oMath>
            </m:oMathPara>
          </w:p>
        </w:tc>
        <w:tc>
          <w:tcPr>
            <w:tcW w:w="329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《建筑边坡工程鉴定与加固技术规范》6.2.2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P345</w:t>
            </w:r>
          </w:p>
        </w:tc>
      </w:tr>
    </w:tbl>
    <w:p>
      <w:pPr>
        <w:pStyle w:val="2"/>
        <w:spacing w:line="240" w:lineRule="auto"/>
        <w:ind w:left="0" w:leftChars="0" w:firstLine="0" w:firstLineChars="0"/>
        <w:rPr>
          <w:rFonts w:hint="eastAsia" w:eastAsiaTheme="minorEastAsia"/>
          <w:lang w:val="en-US" w:eastAsia="zh-CN"/>
        </w:rPr>
      </w:pPr>
    </w:p>
    <w:p>
      <w:pPr>
        <w:pStyle w:val="2"/>
        <w:spacing w:line="240" w:lineRule="auto"/>
        <w:ind w:left="0" w:leftChars="0" w:firstLine="0" w:firstLineChars="0"/>
        <w:rPr>
          <w:rFonts w:hint="eastAsia" w:eastAsiaTheme="minor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right"/>
        <w:textAlignment w:val="auto"/>
        <w:rPr>
          <w:rFonts w:hint="eastAsia" w:eastAsiaTheme="minorEastAsia"/>
          <w:lang w:val="en-US" w:eastAsia="zh-CN"/>
        </w:rPr>
      </w:pPr>
      <w:r>
        <w:drawing>
          <wp:inline distT="0" distB="0" distL="114300" distR="114300">
            <wp:extent cx="2628265" cy="883920"/>
            <wp:effectExtent l="0" t="0" r="63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2628265" cy="883920"/>
                    </a:xfrm>
                    <a:prstGeom prst="rect">
                      <a:avLst/>
                    </a:prstGeom>
                    <a:noFill/>
                    <a:ln>
                      <a:noFill/>
                    </a:ln>
                  </pic:spPr>
                </pic:pic>
              </a:graphicData>
            </a:graphic>
          </wp:inline>
        </w:drawing>
      </w:r>
      <w:r>
        <w:drawing>
          <wp:inline distT="0" distB="0" distL="114300" distR="114300">
            <wp:extent cx="2628265" cy="654050"/>
            <wp:effectExtent l="0" t="0" r="635" b="1270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4"/>
                    <a:stretch>
                      <a:fillRect/>
                    </a:stretch>
                  </pic:blipFill>
                  <pic:spPr>
                    <a:xfrm>
                      <a:off x="0" y="0"/>
                      <a:ext cx="2628265" cy="654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岩溶充填灌浆量计算（《铁路工程地基处理技术规程》21.2.6）</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
          <m:r>
            <m:rPr/>
            <w:rPr>
              <w:rFonts w:hint="default" w:ascii="Cambria Math" w:hAnsi="Cambria Math" w:cs="Times New Roman" w:eastAsiaTheme="minorEastAsia"/>
              <w:kern w:val="2"/>
              <w:sz w:val="16"/>
              <w:szCs w:val="16"/>
              <w:lang w:val="en-US" w:eastAsia="zh-CN" w:bidi="ar"/>
            </w:rPr>
            <m:t>V</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Lμβ</m:t>
          </m:r>
          <m:r>
            <m:rPr>
              <m:sty m:val="p"/>
            </m:rPr>
            <w:rPr>
              <w:rFonts w:hint="default" w:ascii="Cambria Math" w:hAnsi="Cambria Math" w:cs="Cambria Math" w:eastAsiaTheme="minorEastAsia"/>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α</m:t>
          </m:r>
          <m:r>
            <m:rPr>
              <m:sty m:val="p"/>
            </m:rPr>
            <w:rPr>
              <w:rFonts w:hint="default" w:ascii="Cambria Math" w:hAnsi="Cambria Math" w:cs="Cambria Math" w:eastAsiaTheme="minorEastAsia"/>
              <w:kern w:val="2"/>
              <w:sz w:val="16"/>
              <w:szCs w:val="16"/>
              <w:lang w:val="en-US" w:eastAsia="zh-CN" w:bidi="ar"/>
            </w:rPr>
            <m:t>(1−</m:t>
          </m:r>
          <m:r>
            <m:rPr/>
            <w:rPr>
              <w:rFonts w:hint="default" w:ascii="Cambria Math" w:hAnsi="Cambria Math" w:cs="Cambria Math"/>
              <w:kern w:val="2"/>
              <w:sz w:val="16"/>
              <w:szCs w:val="16"/>
              <w:lang w:val="en-US" w:bidi="ar"/>
            </w:rPr>
            <m:t>γ</m:t>
          </m:r>
          <m:r>
            <m:rPr>
              <m:sty m:val="p"/>
            </m:rPr>
            <w:rPr>
              <w:rFonts w:hint="default" w:ascii="Cambria Math" w:hAnsi="Cambria Math" w:cs="Cambria Math" w:eastAsiaTheme="minorEastAsia"/>
              <w:kern w:val="2"/>
              <w:sz w:val="16"/>
              <w:szCs w:val="16"/>
              <w:lang w:val="en-US" w:eastAsia="zh-CN" w:bidi="ar"/>
            </w:rPr>
            <m:t>)</m:t>
          </m:r>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V</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：扩散半径（m），宜3~5m   </w:t>
      </w:r>
      <m:oMath>
        <m:r>
          <m:rPr/>
          <w:rPr>
            <w:rFonts w:hint="default" w:ascii="Cambria Math" w:hAnsi="Cambria Math" w:cs="Cambria Math" w:eastAsiaTheme="minorEastAsia"/>
            <w:kern w:val="2"/>
            <w:sz w:val="15"/>
            <w:szCs w:val="15"/>
            <w:lang w:val="en-US" w:eastAsia="zh-CN" w:bidi="ar"/>
          </w:rPr>
          <m:t>L</m:t>
        </m:r>
      </m:oMath>
      <w:r>
        <w:rPr>
          <w:rFonts w:hint="eastAsia" w:hAnsi="Cambria Math" w:cs="Cambria Math" w:eastAsiaTheme="minorEastAsia"/>
          <w:i w:val="0"/>
          <w:kern w:val="2"/>
          <w:sz w:val="15"/>
          <w:szCs w:val="15"/>
          <w:lang w:val="en-US" w:eastAsia="zh-CN" w:bidi="ar"/>
        </w:rPr>
        <w:t xml:space="preserve">：压浆段长度（m）   </w:t>
      </w:r>
      <m:oMath>
        <m:r>
          <m:rPr/>
          <w:rPr>
            <w:rFonts w:hint="default" w:ascii="Cambria Math" w:hAnsi="Cambria Math" w:cs="Cambria Math" w:eastAsiaTheme="minorEastAsia"/>
            <w:kern w:val="2"/>
            <w:sz w:val="15"/>
            <w:szCs w:val="15"/>
            <w:lang w:val="en-US" w:eastAsia="zh-CN" w:bidi="ar"/>
          </w:rPr>
          <m:t>μ</m:t>
        </m:r>
      </m:oMath>
      <w:r>
        <w:rPr>
          <w:rFonts w:hint="eastAsia" w:hAnsi="Cambria Math" w:cs="Cambria Math" w:eastAsiaTheme="minorEastAsia"/>
          <w:i w:val="0"/>
          <w:kern w:val="2"/>
          <w:sz w:val="15"/>
          <w:szCs w:val="15"/>
          <w:lang w:val="en-US" w:eastAsia="zh-CN" w:bidi="ar"/>
        </w:rPr>
        <w:t>：岩石裂隙率（小数计）</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β</m:t>
        </m:r>
        <m:r>
          <m:rPr>
            <m:sty m:val="p"/>
          </m:rPr>
          <w:rPr>
            <w:rFonts w:hint="eastAsia" w:ascii="Cambria Math" w:hAnsi="Cambria Math" w:cs="Cambria Math" w:eastAsiaTheme="minorEastAsia"/>
            <w:kern w:val="2"/>
            <w:sz w:val="15"/>
            <w:szCs w:val="15"/>
            <w:lang w:val="en-US" w:eastAsia="zh-CN" w:bidi="ar"/>
          </w:rPr>
          <m:t>'</m:t>
        </m:r>
      </m:oMath>
      <w:r>
        <w:rPr>
          <w:rFonts w:hint="eastAsia" w:hAnsi="Cambria Math" w:cs="Cambria Math" w:eastAsiaTheme="minorEastAsia"/>
          <w:i w:val="0"/>
          <w:kern w:val="2"/>
          <w:sz w:val="15"/>
          <w:szCs w:val="15"/>
          <w:lang w:val="en-US" w:eastAsia="zh-CN" w:bidi="ar"/>
        </w:rPr>
        <w:t xml:space="preserve">：有效充填系数（注浆系数），宜0.8~0.9   </w:t>
      </w:r>
      <m:oMath>
        <m:r>
          <m:rPr/>
          <w:rPr>
            <w:rFonts w:hint="default" w:ascii="Cambria Math" w:hAnsi="Cambria Math" w:cs="Cambria Math" w:eastAsiaTheme="minorEastAsia"/>
            <w:kern w:val="2"/>
            <w:sz w:val="15"/>
            <w:szCs w:val="15"/>
            <w:lang w:val="en-US" w:eastAsia="zh-CN" w:bidi="ar"/>
          </w:rPr>
          <m:t>α</m:t>
        </m:r>
      </m:oMath>
      <w:r>
        <w:rPr>
          <w:rFonts w:hint="eastAsia" w:hAnsi="Cambria Math" w:cs="Cambria Math" w:eastAsiaTheme="minorEastAsia"/>
          <w:i w:val="0"/>
          <w:kern w:val="2"/>
          <w:sz w:val="15"/>
          <w:szCs w:val="15"/>
          <w:lang w:val="en-US" w:eastAsia="zh-CN" w:bidi="ar"/>
        </w:rPr>
        <w:t xml:space="preserve">：工作条件系数（超灌系数），宜1.2   </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ind w:firstLine="803" w:firstLineChars="500"/>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地表移动变形监测法</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319905" cy="1532255"/>
            <wp:effectExtent l="0" t="0" r="444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4319905" cy="15322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8046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80467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722755"/>
            <wp:effectExtent l="0" t="0" r="444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319905" cy="17227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sz w:val="15"/>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20955</wp:posOffset>
                </wp:positionV>
                <wp:extent cx="685800" cy="323850"/>
                <wp:effectExtent l="0" t="0" r="0" b="0"/>
                <wp:wrapNone/>
                <wp:docPr id="15" name="文本框 15"/>
                <wp:cNvGraphicFramePr/>
                <a:graphic xmlns:a="http://schemas.openxmlformats.org/drawingml/2006/main">
                  <a:graphicData uri="http://schemas.microsoft.com/office/word/2010/wordprocessingShape">
                    <wps:wsp>
                      <wps:cNvSpPr txBox="1"/>
                      <wps:spPr>
                        <a:xfrm>
                          <a:off x="2077085" y="7547610"/>
                          <a:ext cx="6858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0"/>
                                <w:szCs w:val="22"/>
                                <w:lang w:val="en-US" w:eastAsia="zh-CN"/>
                              </w:rPr>
                            </w:pPr>
                            <w:r>
                              <w:rPr>
                                <w:rFonts w:hint="eastAsia"/>
                                <w:sz w:val="20"/>
                                <w:szCs w:val="22"/>
                                <w:lang w:val="en-US" w:eastAsia="zh-CN"/>
                              </w:rPr>
                              <w:t>曲率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3pt;margin-top:1.65pt;height:25.5pt;width:54pt;z-index:251660288;mso-width-relative:page;mso-height-relative:page;" filled="f" stroked="f" coordsize="21600,21600" o:gfxdata="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goGdgAAAAIAQAADwAAAAAAAAABACAA&#10;AAAiAAAAZHJzL2Rvd25yZXYueG1sUEsBAhQAFAAAAAgAh07iQGaEm4dGAgAAcwQAAA4AAAAAAAAA&#10;AQAgAAAAJwEAAGRycy9lMm9Eb2MueG1sUEsFBgAAAAAGAAYAWQEAAN8FAAAAAA==&#10;">
                <v:fill on="f" focussize="0,0"/>
                <v:stroke on="f" weight="0.5pt"/>
                <v:imagedata o:title=""/>
                <o:lock v:ext="edit" aspectratio="f"/>
                <v:textbox>
                  <w:txbxContent>
                    <w:p>
                      <w:pPr>
                        <w:rPr>
                          <w:rFonts w:hint="eastAsia" w:eastAsiaTheme="minorEastAsia"/>
                          <w:sz w:val="20"/>
                          <w:szCs w:val="22"/>
                          <w:lang w:val="en-US" w:eastAsia="zh-CN"/>
                        </w:rPr>
                      </w:pPr>
                      <w:r>
                        <w:rPr>
                          <w:rFonts w:hint="eastAsia"/>
                          <w:sz w:val="20"/>
                          <w:szCs w:val="22"/>
                          <w:lang w:val="en-US" w:eastAsia="zh-CN"/>
                        </w:rPr>
                        <w:t>曲率</w:t>
                      </w:r>
                    </w:p>
                  </w:txbxContent>
                </v:textbox>
              </v:shape>
            </w:pict>
          </mc:Fallback>
        </mc:AlternateContent>
      </w:r>
      <w:r>
        <w:rPr>
          <w:rFonts w:hint="default" w:hAnsi="Cambria Math" w:cs="Cambria Math" w:eastAsiaTheme="minorEastAsia"/>
          <w:i w:val="0"/>
          <w:kern w:val="2"/>
          <w:sz w:val="15"/>
          <w:szCs w:val="15"/>
          <w:lang w:val="en-US" w:eastAsia="zh-CN" w:bidi="ar"/>
        </w:rPr>
        <w:drawing>
          <wp:inline distT="0" distB="0" distL="114300" distR="114300">
            <wp:extent cx="4319905" cy="788670"/>
            <wp:effectExtent l="0" t="0" r="444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319905" cy="788670"/>
                    </a:xfrm>
                    <a:prstGeom prst="rect">
                      <a:avLst/>
                    </a:prstGeom>
                    <a:noFill/>
                    <a:ln>
                      <a:noFill/>
                    </a:ln>
                  </pic:spPr>
                </pic:pic>
              </a:graphicData>
            </a:graphic>
          </wp:inline>
        </w:drawing>
      </w:r>
    </w:p>
    <w:p>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三轴试验中土的剪切性状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砂性土</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内摩擦角</w:t>
            </w:r>
          </w:p>
        </w:tc>
        <w:tc>
          <w:tcPr>
            <w:tcW w:w="606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m:oMath>
              <m:sSub>
                <m:sSubPr>
                  <m:ctrlPr>
                    <w:rPr>
                      <w:rFonts w:hint="default" w:ascii="Cambria Math" w:hAnsi="Cambria Math" w:cs="Times New Roman"/>
                      <w:bCs w:val="0"/>
                      <w:i/>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φ</m:t>
                  </m:r>
                  <m:ctrlPr>
                    <w:rPr>
                      <w:rFonts w:hint="default" w:ascii="Cambria Math" w:hAnsi="Cambria Math" w:cs="Times New Roman"/>
                      <w:bCs w:val="0"/>
                      <w:i/>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color w:val="000000"/>
                      <w:sz w:val="16"/>
                      <w:szCs w:val="16"/>
                      <w:vertAlign w:val="baseline"/>
                      <w:lang w:val="en-US"/>
                    </w:rPr>
                  </m:ctrlPr>
                </m:sub>
              </m:sSub>
            </m:oMath>
            <w:r>
              <w:rPr>
                <w:rFonts w:hint="default" w:ascii="Times New Roman" w:hAnsi="Times New Roman" w:cs="Times New Roman"/>
                <w:bCs w:val="0"/>
                <w:i w:val="0"/>
                <w:color w:val="000000"/>
                <w:sz w:val="16"/>
                <w:szCs w:val="16"/>
                <w:vertAlign w:val="baseline"/>
                <w:lang w:val="en-US" w:eastAsia="zh-CN"/>
              </w:rPr>
              <w:t>（固结排水剪），一般浸水后降低2°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p>
        </w:tc>
        <w:tc>
          <w:tcPr>
            <w:tcW w:w="1134"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应力-轴向应变</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-体积变化</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紧砂：剪胀性-应变软化型-强度CU&gt;CD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松砂：剪缩性-应变硬化型-强度CU&lt;CD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eastAsia" w:hAnsi="Cambria Math" w:cs="Times New Roman"/>
                <w:b w:val="0"/>
                <w:bCs w:val="0"/>
                <w:i w:val="0"/>
                <w:iCs/>
                <w:color w:val="000000"/>
                <w:sz w:val="16"/>
                <w:szCs w:val="16"/>
                <w:vertAlign w:val="baseline"/>
                <w:lang w:val="en-US" w:eastAsia="zh-CN"/>
              </w:rPr>
              <w:t>临界孔隙比</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e</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：砂土在某孔隙比下受剪，剪破时体积等于其初始体积时的孔隙比（随围压↑而↓）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残余强度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砂土液化</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在饱和疏松的粉细砂受到突发荷载时，短时间内来不及向外排水，因而产生很大的孔隙水压力，使得有效应力为0，砂土强度丧失，砂呈液体流动状态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粘性土</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正常固结土</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UU：</w:t>
            </w:r>
            <m:oMath>
              <m:sSub>
                <m:sSubPr>
                  <m:ctrlPr>
                    <w:rPr>
                      <w:rFonts w:ascii="Cambria Math" w:hAnsi="Cambria Math" w:cs="Times New Roman"/>
                      <w:bCs w:val="0"/>
                      <w:i/>
                      <w:iCs/>
                      <w:color w:val="000000"/>
                      <w:sz w:val="16"/>
                      <w:szCs w:val="16"/>
                      <w:u w:val="none"/>
                      <w:vertAlign w:val="baseline"/>
                      <w:lang w:val="en-US"/>
                    </w:rPr>
                  </m:ctrlPr>
                </m:sSubPr>
                <m:e>
                  <m:r>
                    <m:rPr/>
                    <w:rPr>
                      <w:rFonts w:ascii="Cambria Math" w:hAnsi="Cambria Math" w:cs="Times New Roman"/>
                      <w:color w:val="000000"/>
                      <w:sz w:val="16"/>
                      <w:szCs w:val="16"/>
                      <w:u w:val="none"/>
                      <w:vertAlign w:val="baseline"/>
                      <w:lang w:val="en-US"/>
                    </w:rPr>
                    <m:t>φ</m:t>
                  </m:r>
                  <m:ctrlPr>
                    <w:rPr>
                      <w:rFonts w:ascii="Cambria Math" w:hAnsi="Cambria Math" w:cs="Times New Roman"/>
                      <w:bCs w:val="0"/>
                      <w:i/>
                      <w:iCs/>
                      <w:color w:val="000000"/>
                      <w:sz w:val="16"/>
                      <w:szCs w:val="16"/>
                      <w:u w:val="none"/>
                      <w:vertAlign w:val="baseline"/>
                      <w:lang w:val="en-US"/>
                    </w:rPr>
                  </m:ctrlPr>
                </m:e>
                <m:sub>
                  <m:r>
                    <m:rPr>
                      <m:sty m:val="p"/>
                    </m:rPr>
                    <w:rPr>
                      <w:rFonts w:hint="default" w:ascii="Cambria Math" w:hAnsi="Cambria Math" w:cs="Times New Roman"/>
                      <w:color w:val="000000"/>
                      <w:sz w:val="16"/>
                      <w:szCs w:val="16"/>
                      <w:u w:val="none"/>
                      <w:vertAlign w:val="baseline"/>
                      <w:lang w:val="en-US" w:eastAsia="zh-CN"/>
                    </w:rPr>
                    <m:t>u</m:t>
                  </m:r>
                  <m:ctrlPr>
                    <w:rPr>
                      <w:rFonts w:ascii="Cambria Math" w:hAnsi="Cambria Math" w:cs="Times New Roman"/>
                      <w:bCs w:val="0"/>
                      <w:i/>
                      <w:iCs/>
                      <w:color w:val="000000"/>
                      <w:sz w:val="16"/>
                      <w:szCs w:val="16"/>
                      <w:u w:val="none"/>
                      <w:vertAlign w:val="baseline"/>
                      <w:lang w:val="en-US"/>
                    </w:rPr>
                  </m:ctrlPr>
                </m:sub>
              </m:sSub>
              <m:r>
                <m:rPr/>
                <w:rPr>
                  <w:rFonts w:hint="default" w:ascii="Cambria Math" w:hAnsi="Cambria Math" w:cs="Times New Roman"/>
                  <w:color w:val="000000"/>
                  <w:sz w:val="16"/>
                  <w:szCs w:val="16"/>
                  <w:u w:val="none"/>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3f</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CU：</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cu</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r>
                <m:rPr/>
                <w:rPr>
                  <w:rFonts w:hint="default" w:ascii="Cambria Math" w:hAnsi="Cambria Math" w:cs="Times New Roman"/>
                  <w:color w:val="000000"/>
                  <w:sz w:val="16"/>
                  <w:szCs w:val="16"/>
                  <w:vertAlign w:val="baseline"/>
                  <w:lang w:val="en-US"/>
                </w:rPr>
                <m:t>φ</m:t>
              </m:r>
              <m:r>
                <m:rPr/>
                <w:rPr>
                  <w:rFonts w:hint="default"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m:t>
              </m:r>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CD：</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d</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=c'</m:t>
              </m:r>
              <m:r>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
                      <w:iCs/>
                      <w:color w:val="000000"/>
                      <w:sz w:val="16"/>
                      <w:szCs w:val="16"/>
                      <w:vertAlign w:val="baseline"/>
                      <w:lang w:val="en-US" w:eastAsia="zh-CN"/>
                    </w:rPr>
                  </m:ctrlPr>
                </m:sSubPr>
                <m:e>
                  <m:r>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Cs w:val="0"/>
                      <w:i/>
                      <w:iCs/>
                      <w:color w:val="000000"/>
                      <w:sz w:val="16"/>
                      <w:szCs w:val="16"/>
                      <w:vertAlign w:val="baseline"/>
                      <w:lang w:val="en-US" w:eastAsia="zh-CN"/>
                    </w:rPr>
                  </m:ctrlPr>
                </m:e>
                <m:sub>
                  <m:r>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=φ'</m:t>
              </m:r>
              <m:r>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r>
                <m:rPr/>
                <w:rPr>
                  <w:rFonts w:hint="default" w:ascii="Cambria Math" w:hAnsi="Cambria Math" w:cs="Times New Roman"/>
                  <w:color w:val="000000"/>
                  <w:sz w:val="16"/>
                  <w:szCs w:val="16"/>
                  <w:vertAlign w:val="baseline"/>
                  <w:lang w:val="en-US" w:eastAsia="zh-CN"/>
                </w:rPr>
                <m:t>=σ'</m:t>
              </m:r>
            </m:oMath>
            <w:r>
              <w:rPr>
                <w:rFonts w:hint="eastAsia" w:hAnsi="Cambria Math" w:cs="Times New Roman"/>
                <w:b w:val="0"/>
                <w:bCs w:val="0"/>
                <w:i w:val="0"/>
                <w:iCs/>
                <w:color w:val="000000"/>
                <w:sz w:val="16"/>
                <w:szCs w:val="16"/>
                <w:vertAlign w:val="baseline"/>
                <w:lang w:val="en-US" w:eastAsia="zh-CN"/>
              </w:rPr>
              <w:t>，总应力圆即为有效应力圆）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超固结土</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UU：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0</m:t>
              </m:r>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r>
                <m:rPr>
                  <m:sty m:val="p"/>
                </m:rPr>
                <w:rPr>
                  <w:rFonts w:hint="eastAsia" w:ascii="Cambria Math" w:hAnsi="Cambria Math" w:cs="Times New Roman"/>
                  <w:color w:val="000000"/>
                  <w:sz w:val="16"/>
                  <w:szCs w:val="16"/>
                  <w:vertAlign w:val="baseline"/>
                  <w:lang w:val="en-US" w:eastAsia="zh-CN"/>
                </w:rPr>
                <m:t>φ'</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CD：</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=φ'、σ=σ'</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i w:val="0"/>
                <w:color w:val="000000"/>
                <w:sz w:val="16"/>
                <w:szCs w:val="16"/>
                <w:vertAlign w:val="baseline"/>
                <w:lang w:val="en-US" w:eastAsia="zh-CN"/>
              </w:rPr>
              <w:t>、</w:t>
            </w:r>
            <m:oMath>
              <m:sSub>
                <m:sSubPr>
                  <m:ctrlPr>
                    <w:rPr>
                      <w:rFonts w:ascii="Cambria Math" w:hAnsi="Cambria Math" w:cs="Times New Roman"/>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σ</m:t>
                  </m:r>
                  <m:ctrlPr>
                    <w:rPr>
                      <w:rFonts w:ascii="Cambria Math" w:hAnsi="Cambria Math" w:cs="Times New Roman"/>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3</m:t>
                  </m:r>
                  <m:ctrlPr>
                    <w:rPr>
                      <w:rFonts w:ascii="Cambria Math" w:hAnsi="Cambria Math" w:cs="Times New Roman"/>
                      <w:color w:val="000000"/>
                      <w:sz w:val="16"/>
                      <w:szCs w:val="16"/>
                      <w:vertAlign w:val="baseline"/>
                      <w:lang w:val="en-US"/>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残余强度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：残余内摩擦角）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结构性</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粘土的强度（或其他性质）随其结构的改变而发生变化的特性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灵敏度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t</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oMath>
            <w:r>
              <w:rPr>
                <w:rFonts w:hint="eastAsia" w:hAnsi="Cambria Math" w:cs="Times New Roman"/>
                <w:bCs w:val="0"/>
                <w:i w:val="0"/>
                <w:iCs/>
                <w:color w:val="000000"/>
                <w:sz w:val="16"/>
                <w:szCs w:val="16"/>
                <w:vertAlign w:val="baseline"/>
                <w:lang w:val="en-US" w:eastAsia="zh-CN"/>
              </w:rPr>
              <w:t>（原状土/重塑土无侧限抗压强度）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eastAsia" w:hAnsi="Cambria Math" w:cs="Times New Roman"/>
                <w:i w:val="0"/>
                <w:color w:val="000000"/>
                <w:kern w:val="2"/>
                <w:sz w:val="16"/>
                <w:szCs w:val="16"/>
                <w:vertAlign w:val="baseline"/>
                <w:lang w:val="en-US" w:eastAsia="zh-CN" w:bidi="ar-SA"/>
              </w:rPr>
              <w:t>土的蠕变</w:t>
            </w:r>
          </w:p>
        </w:tc>
        <w:tc>
          <w:tcPr>
            <w:tcW w:w="606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在恒定剪应力作用下应变随时间而增长的现象，</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分为弹性应变阶段、初始蠕变阶段、稳定蠕变阶段、加速蠕变阶段</w:t>
            </w:r>
          </w:p>
        </w:tc>
      </w:tr>
    </w:tbl>
    <w:p>
      <w:pPr>
        <w:pStyle w:val="2"/>
        <w:spacing w:line="240" w:lineRule="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条分法和条分法稳定系数的比较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57"/>
        <w:gridCol w:w="1062"/>
        <w:gridCol w:w="1853"/>
        <w:gridCol w:w="777"/>
        <w:gridCol w:w="3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方法</w:t>
            </w:r>
          </w:p>
        </w:tc>
        <w:tc>
          <w:tcPr>
            <w:tcW w:w="106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假定</w:t>
            </w:r>
          </w:p>
        </w:tc>
        <w:tc>
          <w:tcPr>
            <w:tcW w:w="185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条间力</w:t>
            </w:r>
          </w:p>
        </w:tc>
        <w:tc>
          <w:tcPr>
            <w:tcW w:w="77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滑面形状</w:t>
            </w:r>
          </w:p>
        </w:tc>
        <w:tc>
          <w:tcPr>
            <w:tcW w:w="333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稳定系数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瑞典圆弧法</w:t>
            </w:r>
          </w:p>
        </w:tc>
        <w:tc>
          <w:tcPr>
            <w:tcW w:w="106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仅适用</w:t>
            </w:r>
            <m:oMath>
              <m:r>
                <m:rPr/>
                <w:rPr>
                  <w:rFonts w:hint="default" w:ascii="Cambria Math" w:hAnsi="Cambria Math" w:cs="Times New Roman"/>
                  <w:color w:val="000000"/>
                  <w:sz w:val="16"/>
                  <w:szCs w:val="16"/>
                  <w:vertAlign w:val="baseline"/>
                  <w:lang w:val="en-US" w:eastAsia="zh-CN"/>
                </w:rPr>
                <m:t>φ</m:t>
              </m:r>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的均质黏性土</w:t>
            </w: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稳定系数最小</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b w:val="0"/>
                <w:bCs w:val="0"/>
                <w:i w:val="0"/>
                <w:iCs/>
                <w:color w:val="000000"/>
                <w:sz w:val="16"/>
                <w:szCs w:val="16"/>
                <w:vertAlign w:val="baseline"/>
                <w:lang w:val="en-US" w:eastAsia="zh-CN"/>
              </w:rPr>
              <w:t>用于工程时偏于安全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（简单条分法）</w:t>
            </w:r>
          </w:p>
        </w:tc>
        <w:tc>
          <w:tcPr>
            <w:tcW w:w="1062"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土体是理想的塑性材料，不考虑土条本身的应力-应变关系，将土体作为刚性体，按极限平衡的原则进行受力分析</w:t>
            </w: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忽略条间力，不满足所有静力平衡条件，仅满足对圆心的力矩平衡，不用迭代，稳定系数大于瑞典圆弧法，一般认为比严格条分法小10%左右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简化毕肖普条分法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考虑土条侧面作用力</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忽略条间切向力，考虑条间水平力，稳定系数大于瑞典条分法，与满足所有平衡条件的严格条分法的计算结果相当接近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简布条分法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（普遍条分法）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条间力合力水平</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计算迭代收敛快，稳定系数大于毕肖普法，但两者计算结果比较接近，当条块分块很大时，简布法存在误差较大的缺点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斯塞宾法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条间力合力</w:t>
            </w:r>
            <w:r>
              <w:rPr>
                <w:rFonts w:hint="eastAsia" w:hAnsi="Cambria Math" w:cs="Times New Roman"/>
                <w:b w:val="0"/>
                <w:bCs w:val="0"/>
                <w:i w:val="0"/>
                <w:iCs/>
                <w:color w:val="000000"/>
                <w:sz w:val="16"/>
                <w:szCs w:val="16"/>
                <w:vertAlign w:val="baseline"/>
                <w:lang w:val="en-US" w:eastAsia="zh-CN"/>
              </w:rPr>
              <w:t>方向平行</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稳定系数大于简布条分法，且三维大于二维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摩根斯顿-普莱斯法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条间力合力方向为函数</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条间力考虑越多计算稳定系数越接近实际情况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不平衡推力法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推力传递系数法</w:t>
            </w:r>
          </w:p>
        </w:tc>
        <w:tc>
          <w:tcPr>
            <w:tcW w:w="1062"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条间合力与上一土条底面平行；引入条间竖向剪力</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稳定系数偏大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787" w:type="dxa"/>
            <w:gridSpan w:val="5"/>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瑞典圆弧法≤瑞典条分法≤毕肖普法≤简布法≤二维摩根斯顿-普莱斯法≤三维摩根斯顿-普莱斯法</w:t>
            </w:r>
          </w:p>
        </w:tc>
      </w:tr>
    </w:tbl>
    <w:p>
      <w:pPr>
        <w:spacing w:line="240" w:lineRule="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土的动力特性参数的测定方法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室内</w:t>
            </w:r>
          </w:p>
        </w:tc>
        <w:tc>
          <w:tcPr>
            <w:tcW w:w="128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振动三轴</w:t>
            </w:r>
          </w:p>
        </w:tc>
        <w:tc>
          <w:tcPr>
            <w:tcW w:w="686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val="0"/>
                <w:bCs w:val="0"/>
                <w:color w:val="000000"/>
                <w:sz w:val="16"/>
                <w:szCs w:val="16"/>
                <w:vertAlign w:val="baseline"/>
                <w:lang w:val="en-US" w:eastAsia="zh-CN"/>
              </w:rPr>
              <w:t>动剪切模量、动弹性模量、阻尼比、动强度、抗液化强度、动孔隙水压力、泊松比、动强度比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284"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共振柱</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动直剪</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动单剪</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室外</w:t>
            </w: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波速测试</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、动泊松比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载荷板振动法</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default" w:hAnsi="Cambria Math" w:cs="Times New Roman" w:eastAsiaTheme="minorEastAsia"/>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动力旁压试验</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等效剪切模量、等效阻尼比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hAnsi="Cambria Math" w:cs="Times New Roman" w:eastAsiaTheme="minorEastAsia"/>
                <w:i w:val="0"/>
                <w:color w:val="000000"/>
                <w:kern w:val="2"/>
                <w:sz w:val="16"/>
                <w:szCs w:val="16"/>
                <w:vertAlign w:val="baseline"/>
                <w:lang w:val="en-US" w:eastAsia="zh-CN" w:bidi="ar-SA"/>
              </w:rPr>
              <w:t>地脉动测试</w:t>
            </w:r>
          </w:p>
        </w:tc>
        <w:tc>
          <w:tcPr>
            <w:tcW w:w="6861"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卓越周期、卓越频率、地脉动幅值</w:t>
            </w:r>
          </w:p>
        </w:tc>
      </w:tr>
    </w:tbl>
    <w:p>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不同工况下的土坡稳定性分析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7"/>
        <w:gridCol w:w="1932"/>
        <w:gridCol w:w="59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圆弧滑动</w:t>
            </w:r>
          </w:p>
        </w:tc>
        <w:tc>
          <w:tcPr>
            <w:tcW w:w="19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边坡下部浸水</w:t>
            </w:r>
          </w:p>
        </w:tc>
        <w:tc>
          <w:tcPr>
            <w:tcW w:w="596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iCs w:val="0"/>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滑动力矩减小，抗滑力矩也减小，抗滑力矩减小的幅度比滑动力矩减小</w:t>
            </w:r>
            <w:r>
              <w:rPr>
                <w:rFonts w:hint="eastAsia" w:ascii="Cambria Math" w:hAnsi="Cambria Math" w:cs="Times New Roman"/>
                <w:b w:val="0"/>
                <w:bCs w:val="0"/>
                <w:i w:val="0"/>
                <w:iCs/>
                <w:color w:val="000000"/>
                <w:sz w:val="16"/>
                <w:szCs w:val="16"/>
                <w:vertAlign w:val="baseline"/>
                <w:lang w:val="en-US" w:eastAsia="zh-CN"/>
              </w:rPr>
              <w:t>的幅度大，</w:t>
            </w:r>
            <w:r>
              <w:rPr>
                <w:rFonts w:hint="eastAsia" w:ascii="Cambria Math" w:hAnsi="Cambria Math" w:cs="Times New Roman"/>
                <w:b/>
                <w:bCs/>
                <w:i w:val="0"/>
                <w:iCs/>
                <w:color w:val="000000"/>
                <w:sz w:val="16"/>
                <w:szCs w:val="16"/>
                <w:vertAlign w:val="baseline"/>
                <w:lang w:val="en-US" w:eastAsia="zh-CN"/>
              </w:rPr>
              <w:t>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
              <m:r>
                <m:rPr/>
                <w:rPr>
                  <w:rFonts w:hint="default" w:ascii="Cambria Math" w:hAnsi="Cambria Math" w:cs="Times New Roman"/>
                  <w:color w:val="000000"/>
                  <w:sz w:val="16"/>
                  <w:szCs w:val="16"/>
                  <w:vertAlign w:val="baseline"/>
                  <w:lang w:val="en-US" w:eastAsia="zh-CN"/>
                </w:rPr>
                <m:t>φ</m:t>
              </m:r>
              <m:r>
                <m:rPr>
                  <m:sty m:val="p"/>
                </m:rPr>
                <w:rPr>
                  <w:rFonts w:hint="default" w:ascii="Cambria Math" w:hAnsi="Cambria Math" w:cs="Times New Roman"/>
                  <w:color w:val="000000"/>
                  <w:sz w:val="16"/>
                  <w:szCs w:val="16"/>
                  <w:vertAlign w:val="baseline"/>
                  <w:lang w:val="en-US" w:eastAsia="zh-CN"/>
                </w:rPr>
                <m:t>=0</m:t>
              </m:r>
            </m:oMath>
            <w:r>
              <w:rPr>
                <w:rFonts w:hint="default" w:hAnsi="Cambria Math" w:cs="Times New Roman"/>
                <w:b w:val="0"/>
                <w:bCs w:val="0"/>
                <w:i w:val="0"/>
                <w:iCs/>
                <w:color w:val="000000"/>
                <w:sz w:val="16"/>
                <w:szCs w:val="16"/>
                <w:vertAlign w:val="baseline"/>
                <w:lang w:val="en-US" w:eastAsia="zh-CN"/>
              </w:rPr>
              <w:t>的</w:t>
            </w:r>
            <w:r>
              <w:rPr>
                <w:rFonts w:hint="eastAsia" w:hAnsi="Cambria Math" w:cs="Times New Roman"/>
                <w:b w:val="0"/>
                <w:bCs w:val="0"/>
                <w:i w:val="0"/>
                <w:iCs/>
                <w:color w:val="000000"/>
                <w:sz w:val="16"/>
                <w:szCs w:val="16"/>
                <w:vertAlign w:val="baseline"/>
                <w:lang w:val="en-US" w:eastAsia="zh-CN"/>
              </w:rPr>
              <w:t>饱和软黏土</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抗滑力矩由滑弧面上的黏聚力提供，浸水使滑动土体自重减小，下滑力矩也随之减小，抗滑力矩不变，</w:t>
            </w:r>
            <w:r>
              <w:rPr>
                <w:rFonts w:hint="default" w:ascii="Cambria Math" w:hAnsi="Cambria Math" w:cs="Times New Roman"/>
                <w:b/>
                <w:bCs/>
                <w:i w:val="0"/>
                <w:iCs/>
                <w:color w:val="000000"/>
                <w:sz w:val="16"/>
                <w:szCs w:val="16"/>
                <w:vertAlign w:val="baseline"/>
                <w:lang w:val="en-US" w:eastAsia="zh-CN"/>
              </w:rPr>
              <w:t>稳定系数提高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直线滑动</w:t>
            </w: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边坡淹没静水中</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对无黏性土，假定抗剪强度不变时，安全系数不变，抗剪强度变化，安全系数减小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边坡下部浸水</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坡面有防护或不透水时：坡面受水压力作用，稳定系数提高；</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坡面透水时，对于无黏性土而言，水下内摩擦角小于水上内摩擦角，</w:t>
            </w:r>
            <w:r>
              <w:rPr>
                <w:rFonts w:hint="eastAsia" w:ascii="Cambria Math" w:hAnsi="Cambria Math" w:cs="Times New Roman"/>
                <w:b w:val="0"/>
                <w:bCs w:val="0"/>
                <w:i w:val="0"/>
                <w:iCs/>
                <w:color w:val="000000"/>
                <w:sz w:val="16"/>
                <w:szCs w:val="16"/>
                <w:vertAlign w:val="baseline"/>
                <w:lang w:val="en-US" w:eastAsia="zh-CN"/>
              </w:rPr>
              <w:t>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num>
                <m:den>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eastAsia"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稳定系数降低</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有裂缝时，裂缝中有水，坡外无水，</w:t>
            </w:r>
            <w:r>
              <w:rPr>
                <w:rFonts w:hint="default" w:hAnsi="Cambria Math" w:cs="Times New Roman"/>
                <w:b/>
                <w:bCs/>
                <w:i w:val="0"/>
                <w:iCs/>
                <w:color w:val="000000"/>
                <w:sz w:val="16"/>
                <w:szCs w:val="16"/>
                <w:vertAlign w:val="baseline"/>
                <w:lang w:val="en-US" w:eastAsia="zh-CN"/>
              </w:rPr>
              <w:t>稳定系数降低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坡外有水，缝隙中无水，且缝隙底部不透水时，</w:t>
            </w:r>
            <w:r>
              <w:rPr>
                <w:rFonts w:hint="default" w:hAnsi="Cambria Math" w:cs="Times New Roman"/>
                <w:b/>
                <w:bCs/>
                <w:i w:val="0"/>
                <w:iCs/>
                <w:color w:val="000000"/>
                <w:sz w:val="16"/>
                <w:szCs w:val="16"/>
                <w:vertAlign w:val="baseline"/>
                <w:lang w:val="en-US" w:eastAsia="zh-CN"/>
              </w:rPr>
              <w:t>稳定系数提高</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坡外和缝隙中都有水，缝隙中形成渗流，稳定系数降低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渗流的影响</w:t>
            </w:r>
          </w:p>
        </w:tc>
        <w:tc>
          <w:tcPr>
            <w:tcW w:w="1932"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drawing>
                <wp:inline distT="0" distB="0" distL="114300" distR="114300">
                  <wp:extent cx="1191260" cy="958850"/>
                  <wp:effectExtent l="0" t="0" r="889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191260" cy="958850"/>
                          </a:xfrm>
                          <a:prstGeom prst="rect">
                            <a:avLst/>
                          </a:prstGeom>
                          <a:noFill/>
                          <a:ln>
                            <a:noFill/>
                          </a:ln>
                        </pic:spPr>
                      </pic:pic>
                    </a:graphicData>
                  </a:graphic>
                </wp:inline>
              </w:drawing>
            </w:r>
          </w:p>
        </w:tc>
        <w:tc>
          <w:tcPr>
            <w:tcW w:w="596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迎水坡水位上升时：迎水坡水向内渗流，渗透力有利于迎水坡面增加抗滑力矩，</w:t>
            </w:r>
            <w:r>
              <w:rPr>
                <w:rFonts w:hint="default" w:hAnsi="Cambria Math" w:cs="Times New Roman"/>
                <w:b/>
                <w:bCs/>
                <w:i w:val="0"/>
                <w:iCs/>
                <w:color w:val="000000"/>
                <w:sz w:val="16"/>
                <w:szCs w:val="16"/>
                <w:vertAlign w:val="baseline"/>
                <w:lang w:val="en-US" w:eastAsia="zh-CN"/>
              </w:rPr>
              <w:t>迎水坡安全系数提高</w:t>
            </w:r>
            <w:r>
              <w:rPr>
                <w:rFonts w:hint="default" w:hAnsi="Cambria Math" w:cs="Times New Roman"/>
                <w:b w:val="0"/>
                <w:bCs w:val="0"/>
                <w:i w:val="0"/>
                <w:iCs/>
                <w:color w:val="000000"/>
                <w:sz w:val="16"/>
                <w:szCs w:val="16"/>
                <w:vertAlign w:val="baseline"/>
                <w:lang w:val="en-US" w:eastAsia="zh-CN"/>
              </w:rPr>
              <w:t>，背水坡面水向外渗流，减少抗滑力矩，增加滑动力矩，</w:t>
            </w:r>
            <w:r>
              <w:rPr>
                <w:rFonts w:hint="default" w:hAnsi="Cambria Math" w:cs="Times New Roman"/>
                <w:b/>
                <w:bCs/>
                <w:i w:val="0"/>
                <w:iCs/>
                <w:color w:val="000000"/>
                <w:sz w:val="16"/>
                <w:szCs w:val="16"/>
                <w:vertAlign w:val="baseline"/>
                <w:lang w:val="en-US" w:eastAsia="zh-CN"/>
              </w:rPr>
              <w:t>背水坡安全系数降低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迎水坡水位快速下降时：迎水坡水向外渗流，渗透力增加滑动力矩，减少抗滑力矩，</w:t>
            </w:r>
            <w:r>
              <w:rPr>
                <w:rFonts w:hint="default" w:hAnsi="Cambria Math" w:cs="Times New Roman"/>
                <w:b/>
                <w:bCs/>
                <w:i w:val="0"/>
                <w:iCs/>
                <w:color w:val="000000"/>
                <w:sz w:val="16"/>
                <w:szCs w:val="16"/>
                <w:vertAlign w:val="baseline"/>
                <w:lang w:val="en-US" w:eastAsia="zh-CN"/>
              </w:rPr>
              <w:t>迎水坡安全系数降低</w:t>
            </w:r>
            <w:r>
              <w:rPr>
                <w:rFonts w:hint="default" w:hAnsi="Cambria Math" w:cs="Times New Roman"/>
                <w:b w:val="0"/>
                <w:bCs w:val="0"/>
                <w:i w:val="0"/>
                <w:iCs/>
                <w:color w:val="000000"/>
                <w:sz w:val="16"/>
                <w:szCs w:val="16"/>
                <w:vertAlign w:val="baseline"/>
                <w:lang w:val="en-US" w:eastAsia="zh-CN"/>
              </w:rPr>
              <w:t>，背水坡面，浸润线降低，渗透力减小，与高水位相比，抗滑力矩增加，滑动力矩减小，</w:t>
            </w:r>
            <w:r>
              <w:rPr>
                <w:rFonts w:hint="default" w:hAnsi="Cambria Math" w:cs="Times New Roman"/>
                <w:b/>
                <w:bCs/>
                <w:i w:val="0"/>
                <w:iCs/>
                <w:color w:val="000000"/>
                <w:sz w:val="16"/>
                <w:szCs w:val="16"/>
                <w:vertAlign w:val="baseline"/>
                <w:lang w:val="en-US" w:eastAsia="zh-CN"/>
              </w:rPr>
              <w:t>背水坡安全系数提高</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潜水等水位线的作用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潜水等水位线及其绘制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潜水面的形状，可以用潜水面等高线图（即等水位线）表示，其绘制方法与绘制地形等高线图基本相同的各点相连绘制而成。由于潜水面时刻都在变化，因此要注明测定水位的日期。通过不同时期内等水位线图的对比，有助于了解潜水的动态变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1.确定潜水的流向</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潜水是沿着潜水面坡度最大的方向流动，因此垂直等水位线从高水位指向低水位的方向，即为潜水的流向，常用箭头表示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确定潜水面的坡度</w:t>
            </w:r>
            <w:r>
              <w:rPr>
                <w:rFonts w:hint="eastAsia" w:hAnsi="Cambria Math" w:cs="Times New Roman"/>
                <w:b w:val="0"/>
                <w:bCs w:val="0"/>
                <w:i w:val="0"/>
                <w:iCs/>
                <w:color w:val="000000"/>
                <w:sz w:val="16"/>
                <w:szCs w:val="16"/>
                <w:vertAlign w:val="baseline"/>
                <w:lang w:val="en-US" w:eastAsia="zh-CN"/>
              </w:rPr>
              <w:t xml:space="preserve">：在潜水流向上任取两点得水位差，与水的渗流路径之比，即为潜水的水力坡度。一般潜水的水力坡度很小，常为千分之几至百分之几 </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 确定潜水与河水的相互关系</w:t>
            </w:r>
            <w:r>
              <w:rPr>
                <w:rFonts w:hint="eastAsia" w:hAnsi="Cambria Math" w:cs="Times New Roman"/>
                <w:b w:val="0"/>
                <w:bCs w:val="0"/>
                <w:i w:val="0"/>
                <w:iCs/>
                <w:color w:val="000000"/>
                <w:sz w:val="16"/>
                <w:szCs w:val="16"/>
                <w:vertAlign w:val="baseline"/>
                <w:lang w:val="en-US" w:eastAsia="zh-CN"/>
              </w:rPr>
              <w:t>：潜水与河水有以下几种关系</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①潜水补给河水：潜水面倾向河流，多见于河流的中上游山区；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②河水补给潜水：潜水面背向河流，多见于河流的下游（如黄河下游）；</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③一岸河水补给潜水，另一岸为潜水补给河水：即潜水面一岸背向河流，另一岸倾向河流，如某些山前地区的河流可见到此种情况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 确定潜水的埋藏深度</w:t>
            </w:r>
            <w:r>
              <w:rPr>
                <w:rFonts w:hint="eastAsia" w:hAnsi="Cambria Math" w:cs="Times New Roman"/>
                <w:b w:val="0"/>
                <w:bCs w:val="0"/>
                <w:i w:val="0"/>
                <w:iCs/>
                <w:color w:val="000000"/>
                <w:sz w:val="16"/>
                <w:szCs w:val="16"/>
                <w:vertAlign w:val="baseline"/>
                <w:lang w:val="en-US" w:eastAsia="zh-CN"/>
              </w:rPr>
              <w:t>：某一地点的地面标高减去该点的水位标高，即为此点的潜水埋藏深度。根据各点的埋藏深度，可进一步做出潜水埋藏深度图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 确定含水层的厚度</w:t>
            </w:r>
            <w:r>
              <w:rPr>
                <w:rFonts w:hint="eastAsia" w:hAnsi="Cambria Math" w:cs="Times New Roman"/>
                <w:b w:val="0"/>
                <w:bCs w:val="0"/>
                <w:i w:val="0"/>
                <w:iCs/>
                <w:color w:val="000000"/>
                <w:sz w:val="16"/>
                <w:szCs w:val="16"/>
                <w:vertAlign w:val="baseline"/>
                <w:lang w:val="en-US" w:eastAsia="zh-CN"/>
              </w:rPr>
              <w:t>：若在等水位线图上有隔水底板等高线时，则可确定任一点的含水层厚度，其值等于潜水位标高减去隔水底板标高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6. 推断含水层透水性及厚度的变化</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①潜水自透水性较弱的岩层流入透水性强的岩层时，潜水面坡度由陡变缓，等水位线由密变疏；相反，潜水面坡度便由缓变陡，等水位线由疏变密；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②潜水含水层岩性均匀时，当流量一定时，含水层薄的地方水面坡度变陡，含水层厚的地方水面坡度变缓，相应的等水位线便密集或稀疏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7.根据等水位线图的资料，还可以合理布置给水或排水建筑物的位置，一般应在平行等水位线（垂直于流向）和地下水汇流处，开挖截水渠或打井</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承压水等水位线的作用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承压水等水位线及其绘制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承压水等水压线图承压水位标高相同点的连线，便是承压水等水压线。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①平面图上的等水压线图，可以反映承压水（位）面的起伏情况。承压水（位）面和潜水面不同，潜水面是一个实际存在的地下水面，即含水层的顶面，而</w:t>
            </w:r>
            <w:r>
              <w:rPr>
                <w:rFonts w:hint="default" w:hAnsi="Cambria Math" w:cs="Times New Roman"/>
                <w:b/>
                <w:bCs/>
                <w:i w:val="0"/>
                <w:iCs/>
                <w:color w:val="000000"/>
                <w:sz w:val="16"/>
                <w:szCs w:val="16"/>
                <w:vertAlign w:val="baseline"/>
                <w:lang w:val="en-US" w:eastAsia="zh-CN"/>
              </w:rPr>
              <w:t>承压水（位）面是一个势面</w:t>
            </w:r>
            <w:r>
              <w:rPr>
                <w:rFonts w:hint="default" w:hAnsi="Cambria Math" w:cs="Times New Roman"/>
                <w:b w:val="0"/>
                <w:bCs w:val="0"/>
                <w:i w:val="0"/>
                <w:iCs/>
                <w:color w:val="000000"/>
                <w:sz w:val="16"/>
                <w:szCs w:val="16"/>
                <w:vertAlign w:val="baseline"/>
                <w:lang w:val="en-US" w:eastAsia="zh-CN"/>
              </w:rPr>
              <w:t>，这个面可以与地形极不吻合，甚至高出地面</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②只有当钻孔打穿上覆隔水层至含水层顶面时才能测到。因此，承压水等水压线图通常要附以含水层顶板等高线；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承压水等水压线图的绘制：与潜水等水位线图相似。在某一承压含水层内，将一定数量的钻孔、井、泉（上升泉）的初见水位（或含水层顶板的高程）和稳定水位（即承压水位）等资料，绘在一定比例尺的地形图上，用内插法将承压水位等高的点相连，即得等水压线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承压水等水位线图的作用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w:t>
            </w:r>
            <w:r>
              <w:rPr>
                <w:rFonts w:hint="default" w:hAnsi="Cambria Math" w:cs="Times New Roman"/>
                <w:b/>
                <w:bCs/>
                <w:i w:val="0"/>
                <w:iCs/>
                <w:color w:val="000000"/>
                <w:sz w:val="16"/>
                <w:szCs w:val="16"/>
                <w:vertAlign w:val="baseline"/>
                <w:lang w:val="en-US" w:eastAsia="zh-CN"/>
              </w:rPr>
              <w:t>确定承压水的流向</w:t>
            </w:r>
            <w:r>
              <w:rPr>
                <w:rFonts w:hint="default" w:hAnsi="Cambria Math" w:cs="Times New Roman"/>
                <w:b w:val="0"/>
                <w:bCs w:val="0"/>
                <w:i w:val="0"/>
                <w:iCs/>
                <w:color w:val="000000"/>
                <w:sz w:val="16"/>
                <w:szCs w:val="16"/>
                <w:vertAlign w:val="baseline"/>
                <w:lang w:val="en-US" w:eastAsia="zh-CN"/>
              </w:rPr>
              <w:t>：承压水流向应垂直等水压线，常用箭头表示，箭头指向较低的等水压线；</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计算承压水某地段的水力坡度</w:t>
            </w:r>
            <w:r>
              <w:rPr>
                <w:rFonts w:hint="default" w:hAnsi="Cambria Math" w:cs="Times New Roman"/>
                <w:b w:val="0"/>
                <w:bCs w:val="0"/>
                <w:i w:val="0"/>
                <w:iCs/>
                <w:color w:val="000000"/>
                <w:sz w:val="16"/>
                <w:szCs w:val="16"/>
                <w:vertAlign w:val="baseline"/>
                <w:lang w:val="en-US" w:eastAsia="zh-CN"/>
              </w:rPr>
              <w:t>：在流向方向上，取任意两点的承压水位差，除以两点间的距离，即得该地段的平均水力坡度；</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w:t>
            </w:r>
            <w:r>
              <w:rPr>
                <w:rFonts w:hint="default" w:hAnsi="Cambria Math" w:cs="Times New Roman"/>
                <w:b/>
                <w:bCs/>
                <w:i w:val="0"/>
                <w:iCs/>
                <w:color w:val="000000"/>
                <w:sz w:val="16"/>
                <w:szCs w:val="16"/>
                <w:vertAlign w:val="baseline"/>
                <w:lang w:val="en-US" w:eastAsia="zh-CN"/>
              </w:rPr>
              <w:t>确定承压水位距地表的深度</w:t>
            </w:r>
            <w:r>
              <w:rPr>
                <w:rFonts w:hint="default" w:hAnsi="Cambria Math" w:cs="Times New Roman"/>
                <w:b w:val="0"/>
                <w:bCs w:val="0"/>
                <w:i w:val="0"/>
                <w:iCs/>
                <w:color w:val="000000"/>
                <w:sz w:val="16"/>
                <w:szCs w:val="16"/>
                <w:vertAlign w:val="baseline"/>
                <w:lang w:val="en-US" w:eastAsia="zh-CN"/>
              </w:rPr>
              <w:t>：可由地面高程减去承压水位得到。这个数字越小，开采利用越方便；当该值是负值时，表示水会自溢出于地表。据此可选定开采承压水的最佳地点；</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w:t>
            </w:r>
            <w:r>
              <w:rPr>
                <w:rFonts w:hint="default" w:hAnsi="Cambria Math" w:cs="Times New Roman"/>
                <w:b/>
                <w:bCs/>
                <w:i w:val="0"/>
                <w:iCs/>
                <w:color w:val="000000"/>
                <w:sz w:val="16"/>
                <w:szCs w:val="16"/>
                <w:vertAlign w:val="baseline"/>
                <w:lang w:val="en-US" w:eastAsia="zh-CN"/>
              </w:rPr>
              <w:t>确定承压含水层的埋藏深度</w:t>
            </w:r>
            <w:r>
              <w:rPr>
                <w:rFonts w:hint="default" w:hAnsi="Cambria Math" w:cs="Times New Roman"/>
                <w:b w:val="0"/>
                <w:bCs w:val="0"/>
                <w:i w:val="0"/>
                <w:iCs/>
                <w:color w:val="000000"/>
                <w:sz w:val="16"/>
                <w:szCs w:val="16"/>
                <w:vertAlign w:val="baseline"/>
                <w:lang w:val="en-US" w:eastAsia="zh-CN"/>
              </w:rPr>
              <w:t>：用地面高程减去含水层顶板高程即得；</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w:t>
            </w:r>
            <w:r>
              <w:rPr>
                <w:rFonts w:hint="default" w:hAnsi="Cambria Math" w:cs="Times New Roman"/>
                <w:b/>
                <w:bCs/>
                <w:i w:val="0"/>
                <w:iCs/>
                <w:color w:val="000000"/>
                <w:sz w:val="16"/>
                <w:szCs w:val="16"/>
                <w:vertAlign w:val="baseline"/>
                <w:lang w:val="en-US" w:eastAsia="zh-CN"/>
              </w:rPr>
              <w:t>确定承压水头的大小</w:t>
            </w:r>
            <w:r>
              <w:rPr>
                <w:rFonts w:hint="default" w:hAnsi="Cambria Math" w:cs="Times New Roman"/>
                <w:b w:val="0"/>
                <w:bCs w:val="0"/>
                <w:i w:val="0"/>
                <w:iCs/>
                <w:color w:val="000000"/>
                <w:sz w:val="16"/>
                <w:szCs w:val="16"/>
                <w:vertAlign w:val="baseline"/>
                <w:lang w:val="en-US" w:eastAsia="zh-CN"/>
              </w:rPr>
              <w:t>：承压水位与含水层顶板高程之差，即为承压水头高度。据此，可以预测开挖基坑和洞室时的水压力</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补偿基础：</w:t>
      </w:r>
      <w:r>
        <w:rPr>
          <w:rFonts w:hint="eastAsia" w:hAnsi="Cambria Math" w:cs="Times New Roman"/>
          <w:b w:val="0"/>
          <w:bCs w:val="0"/>
          <w:i w:val="0"/>
          <w:iCs/>
          <w:color w:val="000000"/>
          <w:sz w:val="16"/>
          <w:szCs w:val="16"/>
          <w:vertAlign w:val="baseline"/>
          <w:lang w:val="en-US" w:eastAsia="zh-CN"/>
        </w:rPr>
        <w:t>补偿基础的原理是把建筑物的基础或地下部分做成中空，封闭的形式，被挖去的土重就可以用来补偿上部结构部分甚至是全部重量。当基底平均压力等于基础底面处土的自重压力时，称为</w:t>
      </w:r>
      <w:r>
        <w:rPr>
          <w:rFonts w:hint="eastAsia" w:hAnsi="Cambria Math" w:cs="Times New Roman"/>
          <w:b/>
          <w:bCs/>
          <w:i w:val="0"/>
          <w:iCs/>
          <w:color w:val="000000"/>
          <w:sz w:val="16"/>
          <w:szCs w:val="16"/>
          <w:vertAlign w:val="baseline"/>
          <w:lang w:val="en-US" w:eastAsia="zh-CN"/>
        </w:rPr>
        <w:t>全补偿基础</w:t>
      </w:r>
      <w:r>
        <w:rPr>
          <w:rFonts w:hint="eastAsia" w:hAnsi="Cambria Math" w:cs="Times New Roman"/>
          <w:b w:val="0"/>
          <w:bCs w:val="0"/>
          <w:i w:val="0"/>
          <w:iCs/>
          <w:color w:val="000000"/>
          <w:sz w:val="16"/>
          <w:szCs w:val="16"/>
          <w:vertAlign w:val="baseline"/>
          <w:lang w:val="en-US" w:eastAsia="zh-CN"/>
        </w:rPr>
        <w:t>，大于基底处土的自重压力时为</w:t>
      </w:r>
      <w:r>
        <w:rPr>
          <w:rFonts w:hint="eastAsia" w:hAnsi="Cambria Math" w:cs="Times New Roman"/>
          <w:b/>
          <w:bCs/>
          <w:i w:val="0"/>
          <w:iCs/>
          <w:color w:val="000000"/>
          <w:sz w:val="16"/>
          <w:szCs w:val="16"/>
          <w:vertAlign w:val="baseline"/>
          <w:lang w:val="en-US" w:eastAsia="zh-CN"/>
        </w:rPr>
        <w:t>欠补偿基础</w:t>
      </w:r>
      <w:r>
        <w:rPr>
          <w:rFonts w:hint="eastAsia" w:hAnsi="Cambria Math" w:cs="Times New Roman"/>
          <w:b w:val="0"/>
          <w:bCs w:val="0"/>
          <w:i w:val="0"/>
          <w:iCs/>
          <w:color w:val="000000"/>
          <w:sz w:val="16"/>
          <w:szCs w:val="16"/>
          <w:vertAlign w:val="baseline"/>
          <w:lang w:val="en-US" w:eastAsia="zh-CN"/>
        </w:rPr>
        <w:t>，小于时为</w:t>
      </w:r>
      <w:r>
        <w:rPr>
          <w:rFonts w:hint="eastAsia" w:hAnsi="Cambria Math" w:cs="Times New Roman"/>
          <w:b/>
          <w:bCs/>
          <w:i w:val="0"/>
          <w:iCs/>
          <w:color w:val="000000"/>
          <w:sz w:val="16"/>
          <w:szCs w:val="16"/>
          <w:vertAlign w:val="baseline"/>
          <w:lang w:val="en-US" w:eastAsia="zh-CN"/>
        </w:rPr>
        <w:t>超补偿基础</w:t>
      </w:r>
      <w:r>
        <w:rPr>
          <w:rFonts w:hint="eastAsia" w:hAnsi="Cambria Math" w:cs="Times New Roman"/>
          <w:b w:val="0"/>
          <w:bCs w:val="0"/>
          <w:i w:val="0"/>
          <w:iCs/>
          <w:color w:val="000000"/>
          <w:sz w:val="16"/>
          <w:szCs w:val="16"/>
          <w:vertAlign w:val="baseline"/>
          <w:lang w:val="en-US" w:eastAsia="zh-CN"/>
        </w:rPr>
        <w:t>。虽然补偿基础设计使得基底附加压力大大减小，由附加压力产生的地基沉降量自然也大大减小，甚至忽略不计，但基础仍存在沉降问题，因为在深基坑开挖过程中产生的基坑底回弹及随后施工基础和上部结构的再加荷可引起显著的沉降，任何补偿基础，都不能避免一定的沉降发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建筑基础类型及其适用范围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03"/>
        <w:gridCol w:w="621"/>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结构类型分类</w:t>
            </w:r>
          </w:p>
        </w:tc>
        <w:tc>
          <w:tcPr>
            <w:tcW w:w="156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材料分类</w:t>
            </w:r>
          </w:p>
        </w:tc>
        <w:tc>
          <w:tcPr>
            <w:tcW w:w="619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独立基础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适用于不超过六层的民用建筑和砌体承重的厂房、地基承载力特征值不宜低于80kPa；</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墙下单独基础不宜深于3.0m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多层框架结构建筑或厂房排架柱下基础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条形基础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适用于不超过 6 层的民用建筑和砌体承重结构，一般地基承载力特征值不宜低于80kPa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荷载较大或荷载分布不均匀，地基承载力偏低，为增加基础底面积或者增强整体刚度，以减少不均匀沉降，墙下条形基础一般为墙承重、地基较软时建筑物的常用基础型式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片筏基础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适用于多层砌体承重结构房屋，且地基软弱时的浅埋基础型式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适用于框架结构、剪力墙结构的柱下基础，荷载较大且不均匀，地基承载力低的条件下，使整体刚度明显提高，减少不均匀沉降，并可获得可利用的地下空间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箱型基础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适用于荷载大、对地基不均匀沉降要求严格的高层建筑、重型建筑，以及软弱地基上多层建筑、部分高层建筑，是整体刚度好的基础形式，且抗震性能好，有较好地下空间可供使用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桩基础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钢筋混凝土、钢管</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适用于地基浅层无良好持力层或广布深厚软弱土层条件下结构对沉降敏感、荷载大、层数高等诸多类型的建筑物、构筑物，应用广泛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沉井、沉箱</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适用于荷重大的设备基础，或大型地下构筑物等浅层地基软弱、深层有良好持力层的情形，以及水下施工等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动力机器基础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适用于承受振动、冲击等机器动力作用的基础，应具有承重、减少振动等作用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特种基础</w:t>
            </w:r>
          </w:p>
        </w:tc>
        <w:tc>
          <w:tcPr>
            <w:tcW w:w="156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钢筋混凝土为主</w:t>
            </w:r>
          </w:p>
        </w:tc>
        <w:tc>
          <w:tcPr>
            <w:tcW w:w="619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用于高耸构筑物的壳体基础；适用于低层软弱的折板基础；抗拔基础等</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灌注桩、预制桩、钢桩优缺点对比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24"/>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预制桩</w:t>
            </w:r>
          </w:p>
        </w:tc>
        <w:tc>
          <w:tcPr>
            <w:tcW w:w="156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1.单位面积承载力较高，由于其属挤土桩，桩打入后其四周的土层被挤密，从而提高地基承载力；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2.桩身质量易于保证和检查，施工工效高；适用于水下施工，桩身砼的密度大，抗腐蚀性能强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预制桩单价较灌注桩高</w:t>
            </w:r>
            <w:r>
              <w:rPr>
                <w:rFonts w:hint="eastAsia" w:hAnsi="Cambria Math" w:cs="Times New Roman"/>
                <w:b w:val="0"/>
                <w:bCs w:val="0"/>
                <w:i w:val="0"/>
                <w:iCs/>
                <w:color w:val="000000"/>
                <w:sz w:val="16"/>
                <w:szCs w:val="16"/>
                <w:vertAlign w:val="baseline"/>
                <w:lang w:val="en-US" w:eastAsia="zh-CN"/>
              </w:rPr>
              <w:t>，预制桩的配筋是根据搬运、吊装和压桩时的应力设计的，远超过正逆常工作荷载的要求，用钢量大。接桩时，还需增加相关费用；</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eastAsia" w:hAnsi="Cambria Math" w:cs="Times New Roman"/>
                <w:b/>
                <w:bCs/>
                <w:i w:val="0"/>
                <w:iCs/>
                <w:color w:val="000000"/>
                <w:sz w:val="16"/>
                <w:szCs w:val="16"/>
                <w:vertAlign w:val="baseline"/>
                <w:lang w:val="en-US" w:eastAsia="zh-CN"/>
              </w:rPr>
              <w:t>锤击和振动法下沉的预制桩施工时，震动噪音大，影响四周环境</w:t>
            </w:r>
            <w:r>
              <w:rPr>
                <w:rFonts w:hint="eastAsia" w:hAnsi="Cambria Math" w:cs="Times New Roman"/>
                <w:b w:val="0"/>
                <w:bCs w:val="0"/>
                <w:i w:val="0"/>
                <w:iCs/>
                <w:color w:val="000000"/>
                <w:sz w:val="16"/>
                <w:szCs w:val="16"/>
                <w:vertAlign w:val="baseline"/>
                <w:lang w:val="en-US" w:eastAsia="zh-CN"/>
              </w:rPr>
              <w:t>，不宜在城市建筑物密集的地区使用，一般需改为静压桩机进行施工；</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eastAsia" w:hAnsi="Cambria Math" w:cs="Times New Roman"/>
                <w:b/>
                <w:bCs/>
                <w:i w:val="0"/>
                <w:iCs/>
                <w:color w:val="000000"/>
                <w:sz w:val="16"/>
                <w:szCs w:val="16"/>
                <w:vertAlign w:val="baseline"/>
                <w:lang w:val="en-US" w:eastAsia="zh-CN"/>
              </w:rPr>
              <w:t>预制桩是挤土桩，施工时易引起四周地面隆起</w:t>
            </w:r>
            <w:r>
              <w:rPr>
                <w:rFonts w:hint="eastAsia" w:hAnsi="Cambria Math" w:cs="Times New Roman"/>
                <w:b w:val="0"/>
                <w:bCs w:val="0"/>
                <w:i w:val="0"/>
                <w:iCs/>
                <w:color w:val="000000"/>
                <w:sz w:val="16"/>
                <w:szCs w:val="16"/>
                <w:vertAlign w:val="baseline"/>
                <w:lang w:val="en-US" w:eastAsia="zh-CN"/>
              </w:rPr>
              <w:t>，有时还会引起己就位的邻桩上浮；</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4.受起吊设备能力的限制，单节桩的长度不能过长，一般为10余m。长桩需接桩时，接头处形成薄弱环节，如不能确保全桩长的垂直度，则将降低桩的承载能力，甚至还会在打桩时出现断桩；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eastAsia" w:hAnsi="Cambria Math" w:cs="Times New Roman"/>
                <w:b/>
                <w:bCs/>
                <w:i w:val="0"/>
                <w:iCs/>
                <w:color w:val="000000"/>
                <w:sz w:val="16"/>
                <w:szCs w:val="16"/>
                <w:vertAlign w:val="baseline"/>
                <w:lang w:val="en-US" w:eastAsia="zh-CN"/>
              </w:rPr>
              <w:t>不易穿透较厚的坚硬地层</w:t>
            </w:r>
            <w:r>
              <w:rPr>
                <w:rFonts w:hint="eastAsia" w:hAnsi="Cambria Math" w:cs="Times New Roman"/>
                <w:b w:val="0"/>
                <w:bCs w:val="0"/>
                <w:i w:val="0"/>
                <w:iCs/>
                <w:color w:val="000000"/>
                <w:sz w:val="16"/>
                <w:szCs w:val="16"/>
                <w:vertAlign w:val="baseline"/>
                <w:lang w:val="en-US" w:eastAsia="zh-CN"/>
              </w:rPr>
              <w:t>，当坚硬地层下仍存在需穿过的软弱层时，则需辅以其他施工措施，如采用预钻孔等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持力层上覆盖为松软土层，没有坚硬的夹层；②持力层顶面的土质变化不大，桩长易于控制，减少截桩或多次接桩；③水下桩基工程；④大面积打桩工程由于此桩工序简单，工效高，在桩数较多的前提下，可抵消预制价格较高的缺点，节省基建投资；⑤工期比较紧的工程，因已在工厂预制，缩短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灌注桩</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适用地层范围广，桩长可随持力层起伏变化调节，桩长、桩径选择范围大</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2.按桩身内力大小配筋，用钢量较少，单桩承载力高，施工噪声小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1.孔底沉积物不易清除干净，容易出现桩底沉渣过厚，影响单桩承载力；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2.同时桩身质量要严格控制，防止出现缩颈、断桩、夹泥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钢桩</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1.重量轻，刚性好，运输方便，不易损坏，承载力高；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2.沉桩接桩方便，施工迅速；</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3.具有较高的竖向和水平向承载力及抗锤击能力，且易于贯穿坚硬土层；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eastAsia" w:hAnsi="Cambria Math" w:cs="Times New Roman"/>
                <w:b/>
                <w:bCs/>
                <w:i w:val="0"/>
                <w:iCs/>
                <w:color w:val="000000"/>
                <w:sz w:val="16"/>
                <w:szCs w:val="16"/>
                <w:vertAlign w:val="baseline"/>
                <w:lang w:val="en-US" w:eastAsia="zh-CN"/>
              </w:rPr>
              <w:t>桩的长度调节方便</w:t>
            </w:r>
            <w:r>
              <w:rPr>
                <w:rFonts w:hint="eastAsia" w:hAnsi="Cambria Math" w:cs="Times New Roman"/>
                <w:b w:val="0"/>
                <w:bCs w:val="0"/>
                <w:i w:val="0"/>
                <w:iCs/>
                <w:color w:val="000000"/>
                <w:sz w:val="16"/>
                <w:szCs w:val="16"/>
                <w:vertAlign w:val="baseline"/>
                <w:lang w:val="en-US" w:eastAsia="zh-CN"/>
              </w:rPr>
              <w:t>，常用圆形或H型，截面小，</w:t>
            </w:r>
            <w:r>
              <w:rPr>
                <w:rFonts w:hint="eastAsia" w:hAnsi="Cambria Math" w:cs="Times New Roman"/>
                <w:b/>
                <w:bCs/>
                <w:i w:val="0"/>
                <w:iCs/>
                <w:color w:val="000000"/>
                <w:sz w:val="16"/>
                <w:szCs w:val="16"/>
                <w:vertAlign w:val="baseline"/>
                <w:lang w:val="en-US" w:eastAsia="zh-CN"/>
              </w:rPr>
              <w:t>沉桩时挤土效应小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钢材用量大、工程造价较高、打桩机具设备较复杂、振动与噪声较大、桩材保护不善易腐蚀等</w:t>
            </w:r>
          </w:p>
        </w:tc>
      </w:tr>
    </w:tbl>
    <w:p>
      <w:pPr>
        <w:pStyle w:val="2"/>
        <w:spacing w:line="240" w:lineRule="auto"/>
        <w:ind w:left="0" w:leftChars="0" w:firstLine="0" w:firstLineChars="0"/>
        <w:rPr>
          <w:rFonts w:hint="default"/>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bCs/>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drawing>
          <wp:anchor distT="0" distB="0" distL="114300" distR="114300" simplePos="0" relativeHeight="251661312" behindDoc="0" locked="0" layoutInCell="1" allowOverlap="1">
            <wp:simplePos x="0" y="0"/>
            <wp:positionH relativeFrom="column">
              <wp:posOffset>-61595</wp:posOffset>
            </wp:positionH>
            <wp:positionV relativeFrom="paragraph">
              <wp:posOffset>9525</wp:posOffset>
            </wp:positionV>
            <wp:extent cx="2612390" cy="4613910"/>
            <wp:effectExtent l="0" t="0" r="0" b="0"/>
            <wp:wrapSquare wrapText="bothSides"/>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0"/>
                    <a:srcRect l="12513" r="11025" b="4520"/>
                    <a:stretch>
                      <a:fillRect/>
                    </a:stretch>
                  </pic:blipFill>
                  <pic:spPr>
                    <a:xfrm>
                      <a:off x="0" y="0"/>
                      <a:ext cx="2612390" cy="4613910"/>
                    </a:xfrm>
                    <a:prstGeom prst="rect">
                      <a:avLst/>
                    </a:prstGeom>
                    <a:noFill/>
                    <a:ln w="9525">
                      <a:noFill/>
                    </a:ln>
                  </pic:spPr>
                </pic:pic>
              </a:graphicData>
            </a:graphic>
          </wp:anchor>
        </w:drawing>
      </w:r>
      <w:r>
        <w:rPr>
          <w:rFonts w:hint="eastAsia" w:hAnsi="Cambria Math" w:cs="Times New Roman" w:asciiTheme="minorHAnsi" w:eastAsiaTheme="minorEastAsia"/>
          <w:b/>
          <w:bCs/>
          <w:i w:val="0"/>
          <w:iCs/>
          <w:color w:val="000000"/>
          <w:kern w:val="2"/>
          <w:sz w:val="13"/>
          <w:szCs w:val="13"/>
          <w:vertAlign w:val="baseline"/>
          <w:lang w:val="en-US" w:eastAsia="zh-CN" w:bidi="ar-SA"/>
        </w:rPr>
        <w:t>1.承台砼强度</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桩4.2.2 二a环境：一般C25 二b、三类环境：一般C30</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2.纵向钢筋锚入承台内长度</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：桩4.2.4-2 35d</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3.桩嵌入承台内的长度</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桩4.2.4-1 对中等直径桩不宜小于50mm；对大直径桩不宜小于100mm</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4.螺旋箍加密区范围</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：桩4.1.1-4 桩顶以下5d范围内，直径≥6mm</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群桩效应和影响群桩承载力的因素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430"/>
        <w:gridCol w:w="355"/>
        <w:gridCol w:w="1309"/>
        <w:gridCol w:w="5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摩擦型群桩</w:t>
            </w:r>
          </w:p>
        </w:tc>
        <w:tc>
          <w:tcPr>
            <w:tcW w:w="430"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承台不分担荷载</w:t>
            </w:r>
          </w:p>
        </w:tc>
        <w:tc>
          <w:tcPr>
            <w:tcW w:w="7495" w:type="dxa"/>
            <w:gridSpan w:val="3"/>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群桩桩端平面以上的应力因各邻桩扩散应力相互叠加而增大，</w:t>
            </w:r>
            <w:r>
              <w:rPr>
                <w:rFonts w:hint="eastAsia" w:hAnsi="Cambria Math" w:cs="Times New Roman"/>
                <w:b/>
                <w:bCs/>
                <w:i w:val="0"/>
                <w:iCs/>
                <w:color w:val="000000"/>
                <w:sz w:val="16"/>
                <w:szCs w:val="16"/>
                <w:vertAlign w:val="baseline"/>
                <w:lang w:val="en-US" w:eastAsia="zh-CN"/>
              </w:rPr>
              <w:t>单位厚度压缩变形增大，</w:t>
            </w:r>
            <w:r>
              <w:rPr>
                <w:rFonts w:hint="default" w:hAnsi="Cambria Math" w:cs="Times New Roman"/>
                <w:b/>
                <w:bCs/>
                <w:i w:val="0"/>
                <w:iCs/>
                <w:color w:val="000000"/>
                <w:sz w:val="16"/>
                <w:szCs w:val="16"/>
                <w:vertAlign w:val="baseline"/>
                <w:lang w:val="en-US" w:eastAsia="zh-CN"/>
              </w:rPr>
              <w:t>沉降大于单桩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承台刚度</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刚性承台下各基桩分配的实际荷载是不相等的，基底反力角桩最大，边桩次之，中心桩最小，设计时可减少群桩中内部桩的桩数，增加外围桩数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地基土</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打入疏松土中的挤土桩，桩间土被挤密，使桩侧阻力和桩端阻力增大，非挤土桩，在受荷沉降过程中，桩间土变密，侧阻力提高。这两种原因引起的侧摩阻力增加，都是中间桩最大，边桩、角桩较小（规范未加以考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桩距</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桩距</w:t>
            </w:r>
            <w:r>
              <w:rPr>
                <w:rFonts w:hint="eastAsia" w:hAnsi="Cambria Math" w:cs="Times New Roman"/>
                <w:b w:val="0"/>
                <w:bCs w:val="0"/>
                <w:i w:val="0"/>
                <w:iCs/>
                <w:color w:val="000000"/>
                <w:sz w:val="16"/>
                <w:szCs w:val="16"/>
                <w:vertAlign w:val="baseline"/>
                <w:lang w:val="en-US" w:eastAsia="zh-CN"/>
              </w:rPr>
              <w:t>Sa</w:t>
            </w:r>
            <w:r>
              <w:rPr>
                <w:rFonts w:hint="default" w:hAnsi="Cambria Math" w:cs="Times New Roman"/>
                <w:b w:val="0"/>
                <w:bCs w:val="0"/>
                <w:i w:val="0"/>
                <w:iCs/>
                <w:color w:val="000000"/>
                <w:sz w:val="16"/>
                <w:szCs w:val="16"/>
                <w:vertAlign w:val="baseline"/>
                <w:lang w:val="en-US" w:eastAsia="zh-CN"/>
              </w:rPr>
              <w:t>≤3d，应力叠加严重，降低侧阻的发挥，桩端处应力叠加，使得群桩桩端压力比单桩大，桩距是摩擦型群桩基础群桩效应的主导因素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承台分担荷载</w:t>
            </w:r>
          </w:p>
        </w:tc>
        <w:tc>
          <w:tcPr>
            <w:tcW w:w="7495"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刚性承台底面土反力呈马鞍形分布，中间小，外围大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效应作用</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①对桩侧阻力的削弱作用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②对桩端阻力的增强作用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③对地基土侧移的阻挡作用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提高承台</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分担荷载的措施</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承台与桩间土直接接触，在竖向压力作用下，承台会发生向下的位移，桩间土表面承压，分担了部分作用于桩上的荷载；可通过</w:t>
            </w:r>
            <w:r>
              <w:rPr>
                <w:rFonts w:hint="default" w:hAnsi="Cambria Math" w:cs="Times New Roman"/>
                <w:b/>
                <w:bCs/>
                <w:i w:val="0"/>
                <w:iCs/>
                <w:color w:val="000000"/>
                <w:sz w:val="16"/>
                <w:szCs w:val="16"/>
                <w:vertAlign w:val="baseline"/>
                <w:lang w:val="en-US" w:eastAsia="zh-CN"/>
              </w:rPr>
              <w:t>增加桩距、适当增加桩顶变形的措施提高承台分担的荷载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端承型群桩</w:t>
            </w:r>
          </w:p>
        </w:tc>
        <w:tc>
          <w:tcPr>
            <w:tcW w:w="7925"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持力层刚硬，桩端贯入变形小，由桩身压缩引起的桩顶沉降不大，承台底面土反力小，端承型群桩基础中基桩的工作性状接近于单桩，</w:t>
            </w:r>
            <w:r>
              <w:rPr>
                <w:rFonts w:hint="default" w:hAnsi="Cambria Math" w:cs="Times New Roman"/>
                <w:b/>
                <w:bCs/>
                <w:i w:val="0"/>
                <w:iCs/>
                <w:color w:val="000000"/>
                <w:sz w:val="16"/>
                <w:szCs w:val="16"/>
                <w:vertAlign w:val="baseline"/>
                <w:lang w:val="en-US" w:eastAsia="zh-CN"/>
              </w:rPr>
              <w:t>群桩基础承载力等于各单桩之和，群桩的沉降等于单桩的沉降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影响群桩桩基竖向承载力的因素</w:t>
            </w:r>
          </w:p>
        </w:tc>
        <w:tc>
          <w:tcPr>
            <w:tcW w:w="7925"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1基桩承载力</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2桩土相互作用对桩侧阻力和端阻力的影响，即群桩效应</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3承台底土抗力分担荷载</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808080" w:themeColor="text1" w:themeTint="80"/>
                <w:sz w:val="16"/>
                <w:szCs w:val="16"/>
                <w:vertAlign w:val="baseline"/>
                <w:lang w:val="en-US" w:eastAsia="zh-CN"/>
                <w14:textFill>
                  <w14:solidFill>
                    <w14:schemeClr w14:val="tx1">
                      <w14:lumMod w14:val="50000"/>
                      <w14:lumOff w14:val="50000"/>
                    </w14:schemeClr>
                  </w14:solidFill>
                </w14:textFill>
              </w:rPr>
              <w:t>《建筑桩基技术规范》忽略了sa≥3d时的群桩效应，不考虑侧阻和端阻的群桩效应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群桩变形的群桩效应</w:t>
            </w:r>
          </w:p>
        </w:tc>
        <w:tc>
          <w:tcPr>
            <w:tcW w:w="7925" w:type="dxa"/>
            <w:gridSpan w:val="4"/>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由于桩-土、桩-桩、土-桩、土-土的相互作用，导致桩群的竖向刚度降低，压缩层加深，沉降增大。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群桩效应系数</w:t>
            </w:r>
            <w:r>
              <w:rPr>
                <w:rFonts w:hint="eastAsia" w:hAnsi="Cambria Math" w:cs="Times New Roman"/>
                <w:b/>
                <w:bCs/>
                <w:i w:val="0"/>
                <w:iCs/>
                <w:color w:val="000000"/>
                <w:sz w:val="16"/>
                <w:szCs w:val="16"/>
                <w:vertAlign w:val="baseline"/>
                <w:lang w:val="en-US" w:eastAsia="zh-CN"/>
              </w:rPr>
              <w:t>=</w:t>
            </w:r>
            <w:r>
              <w:rPr>
                <w:rFonts w:hint="default" w:hAnsi="Cambria Math" w:cs="Times New Roman"/>
                <w:b/>
                <w:bCs/>
                <w:i w:val="0"/>
                <w:iCs/>
                <w:color w:val="000000"/>
                <w:sz w:val="16"/>
                <w:szCs w:val="16"/>
                <w:vertAlign w:val="baseline"/>
                <w:lang w:val="en-US" w:eastAsia="zh-CN"/>
              </w:rPr>
              <w:t>群桩承载力/各单桩承载力之和</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承台效应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51"/>
        <w:gridCol w:w="736"/>
        <w:gridCol w:w="7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51"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承台土反力</w:t>
            </w:r>
          </w:p>
        </w:tc>
        <w:tc>
          <w:tcPr>
            <w:tcW w:w="7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分布特征</w:t>
            </w:r>
          </w:p>
        </w:tc>
        <w:tc>
          <w:tcPr>
            <w:tcW w:w="770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①承台土反力分布的总体特征是承台外缘大，桩群内部小，呈</w:t>
            </w:r>
            <w:r>
              <w:rPr>
                <w:rFonts w:hint="default" w:hAnsi="Cambria Math" w:cs="Times New Roman"/>
                <w:b/>
                <w:bCs/>
                <w:i w:val="0"/>
                <w:iCs/>
                <w:color w:val="000000"/>
                <w:sz w:val="16"/>
                <w:szCs w:val="16"/>
                <w:vertAlign w:val="baseline"/>
                <w:lang w:val="en-US" w:eastAsia="zh-CN"/>
              </w:rPr>
              <w:t>马鞍形</w:t>
            </w:r>
            <w:r>
              <w:rPr>
                <w:rFonts w:hint="default" w:hAnsi="Cambria Math" w:cs="Times New Roman"/>
                <w:b w:val="0"/>
                <w:bCs w:val="0"/>
                <w:i w:val="0"/>
                <w:iCs/>
                <w:color w:val="000000"/>
                <w:sz w:val="16"/>
                <w:szCs w:val="16"/>
                <w:vertAlign w:val="baseline"/>
                <w:lang w:val="en-US" w:eastAsia="zh-CN"/>
              </w:rPr>
              <w:t>或抛物形；</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②土反力分布不随荷载增加而明显变化，桩群内部（内区）土反力总体比较均匀；</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③承台内区土反力随桩距增大而增大，外区土反力受桩距影响相对较小；承台内、外区土反力的差异随桩距增大而增大；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饱和软土中群桩的承台土反力：承台土反力分布图形与粉土中群桩是相似的，但对于常规桩距（3~4d)，其内、外区土反力差异更大。平板基础的土反力分布图形明显不同于带桩的承台，其内、外差异较小，这说明桩群对于承台土反力的影响是显著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bCs/>
                <w:i w:val="0"/>
                <w:iCs/>
                <w:color w:val="000000"/>
                <w:kern w:val="2"/>
                <w:sz w:val="16"/>
                <w:szCs w:val="16"/>
                <w:vertAlign w:val="baseline"/>
                <w:lang w:val="en-US" w:eastAsia="zh-CN" w:bidi="ar-SA"/>
              </w:rPr>
            </w:pPr>
            <w:r>
              <w:rPr>
                <w:rFonts w:hint="eastAsia" w:hAnsi="Cambria Math" w:cs="Times New Roman"/>
                <w:b/>
                <w:bCs/>
                <w:i w:val="0"/>
                <w:iCs/>
                <w:color w:val="000000"/>
                <w:kern w:val="2"/>
                <w:sz w:val="16"/>
                <w:szCs w:val="16"/>
                <w:vertAlign w:val="baseline"/>
                <w:lang w:val="en-US" w:eastAsia="zh-CN" w:bidi="ar-SA"/>
              </w:rPr>
              <w:t>影响因素</w:t>
            </w:r>
          </w:p>
        </w:tc>
        <w:tc>
          <w:tcPr>
            <w:tcW w:w="770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①承台底土的压缩性愈低，强度愈高，承台土反力愈大，n。越大；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②桩端持力层刚度高，桩的贯入变形小，承台土反力发挥程度减小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③桩距愈大，承台土反力愈大，承台外缘(外区)土反力大于桩群内部（内区)；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④承台土反力随荷载水平提高；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⑤桩愈短，桩长与承台宽度比愈小，桩侧阻力发挥值愈低，承台土反力相应提高；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⑥桩顶变形大，桩土相对位移提高，承台土反力发挥程度高</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泥浆护壁灌注桩施工常见问题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381"/>
        <w:gridCol w:w="4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常见问题</w:t>
            </w:r>
          </w:p>
        </w:tc>
        <w:tc>
          <w:tcPr>
            <w:tcW w:w="338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主要原因</w:t>
            </w:r>
          </w:p>
        </w:tc>
        <w:tc>
          <w:tcPr>
            <w:tcW w:w="431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处理方法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断桩</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灌注时导管提开过高，导管底部脱离混凝土层</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导管提升均匀平稳，慢慢提升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灌注质量差</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尊重操作规程，连续作业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夹泥</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导管埋入深度不够，混入泥浆</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重新确定埋管深度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孔壁坍落物混入到混凝土中</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停止灌注，清理坍落物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缩颈</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地层承压水对桩周混凝土侵蚀</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护筒止水，位置浅，开挖补救，位置深且缩颈严重，考虑补桩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由于泥浆比重低，成孔发生缩颈</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常发生在流塑状淤泥、软土中（膨胀岩体）</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混凝土离析</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混凝土配合比不合理</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选择合理配合比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混凝土搅拌不均匀</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严格检查，按规定拌和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坍孔</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孔隙水压力偏大，泥浆比重小</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沉渣偏厚</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泥浆含砂率大</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787" w:type="dxa"/>
            <w:gridSpan w:val="3"/>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影响混凝土灌注质量的主要指标</w:t>
            </w:r>
            <w:r>
              <w:rPr>
                <w:rFonts w:hint="default" w:hAnsi="Cambria Math" w:cs="Times New Roman"/>
                <w:b w:val="0"/>
                <w:bCs w:val="0"/>
                <w:i w:val="0"/>
                <w:iCs/>
                <w:color w:val="000000"/>
                <w:sz w:val="16"/>
                <w:szCs w:val="16"/>
                <w:vertAlign w:val="baseline"/>
                <w:lang w:val="en-US" w:eastAsia="zh-CN"/>
              </w:rPr>
              <w:t>：清孔后泥浆的</w:t>
            </w:r>
            <w:r>
              <w:rPr>
                <w:rFonts w:hint="default" w:hAnsi="Cambria Math" w:cs="Times New Roman"/>
                <w:b/>
                <w:bCs/>
                <w:i w:val="0"/>
                <w:iCs/>
                <w:color w:val="000000"/>
                <w:sz w:val="16"/>
                <w:szCs w:val="16"/>
                <w:vertAlign w:val="baseline"/>
                <w:lang w:val="en-US" w:eastAsia="zh-CN"/>
              </w:rPr>
              <w:t>相对密度、含砂率、粘度</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正、反循环钻孔灌注桩的</w:t>
            </w:r>
            <w:r>
              <w:rPr>
                <w:rFonts w:hint="default" w:hAnsi="Cambria Math" w:cs="Times New Roman"/>
                <w:b/>
                <w:bCs/>
                <w:i w:val="0"/>
                <w:iCs/>
                <w:color w:val="000000"/>
                <w:sz w:val="16"/>
                <w:szCs w:val="16"/>
                <w:vertAlign w:val="baseline"/>
                <w:lang w:val="en-US" w:eastAsia="zh-CN"/>
              </w:rPr>
              <w:t>沉渣厚度要求</w:t>
            </w:r>
            <w:r>
              <w:rPr>
                <w:rFonts w:hint="default" w:hAnsi="Cambria Math" w:cs="Times New Roman"/>
                <w:b w:val="0"/>
                <w:bCs w:val="0"/>
                <w:i w:val="0"/>
                <w:iCs/>
                <w:color w:val="000000"/>
                <w:sz w:val="16"/>
                <w:szCs w:val="16"/>
                <w:vertAlign w:val="baseline"/>
                <w:lang w:val="en-US" w:eastAsia="zh-CN"/>
              </w:rPr>
              <w:t>：端承桩≤50mm，摩擦桩≤100mm，抗拔、抗水平力桩，≤200mm</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后注浆工艺选择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777"/>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注浆工艺选择</w:t>
            </w:r>
          </w:p>
        </w:tc>
        <w:tc>
          <w:tcPr>
            <w:tcW w:w="777"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桩侧注浆</w:t>
            </w:r>
          </w:p>
        </w:tc>
        <w:tc>
          <w:tcPr>
            <w:tcW w:w="692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桩侧土为粗粒土（卵、砾、中粗砂）：桩侧注浆以渗入性注浆为主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桩侧土为细粒土（粉细砂、粉土、黏性土）：桩侧注浆以劈裂注浆为主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桩表面附着的泥皮薄弱区的泥浆护壁灌注桩：较易发生劈裂注浆，浆液沿桩身表面上溯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浆液稠度较大，注浆点处于地下水位以下且桩侧为高渗透性土层，或当注浆点处于非饱和土中时：可能出现以压密注浆为主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桩端注浆</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当桩端持力层为粗粒土，或虽为细粒土但桩身穿越且紧邻粗粒</w:t>
            </w:r>
            <w:r>
              <w:rPr>
                <w:rFonts w:hint="eastAsia" w:hAnsi="Cambria Math" w:cs="Times New Roman"/>
                <w:b w:val="0"/>
                <w:bCs w:val="0"/>
                <w:i w:val="0"/>
                <w:iCs/>
                <w:color w:val="000000"/>
                <w:sz w:val="16"/>
                <w:szCs w:val="16"/>
                <w:vertAlign w:val="baseline"/>
                <w:lang w:val="en-US" w:eastAsia="zh-CN"/>
              </w:rPr>
              <w:t>土</w:t>
            </w:r>
            <w:r>
              <w:rPr>
                <w:rFonts w:hint="default" w:hAnsi="Cambria Math" w:cs="Times New Roman"/>
                <w:b w:val="0"/>
                <w:bCs w:val="0"/>
                <w:i w:val="0"/>
                <w:iCs/>
                <w:color w:val="000000"/>
                <w:sz w:val="16"/>
                <w:szCs w:val="16"/>
                <w:vertAlign w:val="baseline"/>
                <w:lang w:val="en-US" w:eastAsia="zh-CN"/>
              </w:rPr>
              <w:t>，或混凝土浇注过程有离析发生时，则桩底注浆以渗入注浆为主，随后将出现桩底土一定范围的劈裂注浆(细粒土)及沿桩身向上10～20m高度的劈裂注浆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当桩端持力层及桩测均为细粒土时，桩底注浆开始为渗入、压密注浆，随后转化为劈裂注浆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承载力增强机理分析</w:t>
            </w:r>
          </w:p>
        </w:tc>
        <w:tc>
          <w:tcPr>
            <w:tcW w:w="692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1.固化效应：沉渣和泥皮被固化；伴随扩底和扩径效应；</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2.充填胶结效应：粗粒土（卵砾、粗中砂）因渗入注浆被胶结；</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3.加筋效应：细粒土（黏性土、粉土、粉细砂）因劈裂注浆成加筋复合土；</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4.卵砾石、中粗砂的增强机理包括：上部泥皮固化、中部渗入胶结、端部沉渣固化：</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5.黏性土、粉土、粉细砂的增强机理包括：上部泥皮固化、中部劈裂加筋、端部沉渣固化</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人工挖孔桩的施工要求</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桩径</w:t>
            </w:r>
          </w:p>
        </w:tc>
        <w:tc>
          <w:tcPr>
            <w:tcW w:w="77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桩基规范：孔径（不含护壁）不得小于0.8m，且不宜大于2.5m；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2.《铁路桥涵与地基基础规范》（TB10093-2017）：挖孔桩的桩径或边宽应满足人工开挖时操作净宽的要求，一般不应小于1.25m；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当L＜</w:t>
            </w:r>
            <w:r>
              <w:rPr>
                <w:rFonts w:hint="eastAsia" w:hAnsi="Cambria Math" w:cs="Times New Roman"/>
                <w:b w:val="0"/>
                <w:bCs w:val="0"/>
                <w:i w:val="0"/>
                <w:iCs/>
                <w:color w:val="000000"/>
                <w:sz w:val="16"/>
                <w:szCs w:val="16"/>
                <w:vertAlign w:val="baseline"/>
                <w:lang w:val="en-US" w:eastAsia="zh-CN"/>
              </w:rPr>
              <w:t>8</w:t>
            </w:r>
            <w:r>
              <w:rPr>
                <w:rFonts w:hint="default" w:hAnsi="Cambria Math" w:cs="Times New Roman"/>
                <w:b w:val="0"/>
                <w:bCs w:val="0"/>
                <w:i w:val="0"/>
                <w:iCs/>
                <w:color w:val="000000"/>
                <w:sz w:val="16"/>
                <w:szCs w:val="16"/>
                <w:vertAlign w:val="baseline"/>
                <w:lang w:val="en-US" w:eastAsia="zh-CN"/>
              </w:rPr>
              <w:t>m时</w:t>
            </w:r>
            <w:r>
              <w:rPr>
                <w:rFonts w:hint="eastAsia" w:hAnsi="Cambria Math" w:cs="Times New Roman"/>
                <w:b w:val="0"/>
                <w:bCs w:val="0"/>
                <w:i w:val="0"/>
                <w:iCs/>
                <w:color w:val="000000"/>
                <w:sz w:val="16"/>
                <w:szCs w:val="16"/>
                <w:vertAlign w:val="baseline"/>
                <w:lang w:val="en-US" w:eastAsia="zh-CN"/>
              </w:rPr>
              <w:t>，桩身直径（不含护壁）不宜小于0.8m；当8m&lt;L&lt;15m时，桩身直径不宜小于1.0m；</w:t>
            </w:r>
            <w:r>
              <w:rPr>
                <w:rFonts w:hint="default" w:hAnsi="Cambria Math" w:cs="Times New Roman"/>
                <w:b w:val="0"/>
                <w:bCs w:val="0"/>
                <w:i w:val="0"/>
                <w:iCs/>
                <w:color w:val="000000"/>
                <w:sz w:val="16"/>
                <w:szCs w:val="16"/>
                <w:vertAlign w:val="baseline"/>
                <w:lang w:val="en-US" w:eastAsia="zh-CN"/>
              </w:rPr>
              <w:t>15m＜L＜20m时，桩身直径不宜小于1.2m；当桩长L＞20m时，桩身直径应适当加大中等密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桩长</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挖孔桩的孔深（桩长）一般不宜超过30m，主要为施工不便所致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适用情形</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适用于地下水位以上的人工填土层、黏土层、粉土层、砂土层、碎石土层和风化岩层，也可在黄土、膨胀土和冻土中使用，适应性较强；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在覆盖层较深且具有起伏较大的基岩面的山区和丘陵地区建设中，采用不同深度的挖孔桩，将上部荷载通过桩身传给基岩，技术可靠，受力合理；</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适用于地下水位较深，或能采用井点降水的地下水位较浅而持力层较浅且持力层以上无流动性淤泥质土的情形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不适用情形</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地下水的涌水量多且难以抽水的地层；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有松砂层，尤其是在地下水位下有松砂层；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有连续的极软弱土层；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孔中氧气缺乏或有毒气发生的地层；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成孔过程可能出现流砂、涌水、涌泥的地层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成孔机具简单，作业时无振动、无噪声，当施工场地狭窄，邻近建筑物密集或桩数较少时尤为适用；</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施工工期短，可按施工进度要求分组同时作业，若干根桩孔齐头并进；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人工挖掘，便于清底，孔底虚土能清除干净；便于检查孔壁和孔底，可以核实桩孔地层土质优点情况，质量可控性好；</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default" w:hAnsi="Cambria Math" w:cs="Times New Roman"/>
                <w:b w:val="0"/>
                <w:bCs w:val="0"/>
                <w:i w:val="0"/>
                <w:iCs/>
                <w:color w:val="000000"/>
                <w:sz w:val="16"/>
                <w:szCs w:val="16"/>
                <w:vertAlign w:val="baseline"/>
                <w:lang w:val="en-US" w:eastAsia="zh-CN"/>
              </w:rPr>
              <w:t>桩径和桩深可随承载力的情况而变化；</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default" w:hAnsi="Cambria Math" w:cs="Times New Roman"/>
                <w:b w:val="0"/>
                <w:bCs w:val="0"/>
                <w:i w:val="0"/>
                <w:iCs/>
                <w:color w:val="000000"/>
                <w:sz w:val="16"/>
                <w:szCs w:val="16"/>
                <w:vertAlign w:val="baseline"/>
                <w:lang w:val="en-US" w:eastAsia="zh-CN"/>
              </w:rPr>
              <w:t>桩端可以人工扩大，以获得较大的承载力，满足一柱一桩的要求；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6.</w:t>
            </w:r>
            <w:r>
              <w:rPr>
                <w:rFonts w:hint="default" w:hAnsi="Cambria Math" w:cs="Times New Roman"/>
                <w:b w:val="0"/>
                <w:bCs w:val="0"/>
                <w:i w:val="0"/>
                <w:iCs/>
                <w:color w:val="000000"/>
                <w:sz w:val="16"/>
                <w:szCs w:val="16"/>
                <w:vertAlign w:val="baseline"/>
                <w:lang w:val="en-US" w:eastAsia="zh-CN"/>
              </w:rPr>
              <w:t>国内因劳动力便宜，故人工挖（扩）孔桩造价低；</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w:t>
            </w:r>
            <w:r>
              <w:rPr>
                <w:rFonts w:hint="default" w:hAnsi="Cambria Math" w:cs="Times New Roman"/>
                <w:b w:val="0"/>
                <w:bCs w:val="0"/>
                <w:i w:val="0"/>
                <w:iCs/>
                <w:color w:val="000000"/>
                <w:sz w:val="16"/>
                <w:szCs w:val="16"/>
                <w:vertAlign w:val="baseline"/>
                <w:lang w:val="en-US" w:eastAsia="zh-CN"/>
              </w:rPr>
              <w:t>灌注桩身各段混凝上时，可人工采用震捣棒捣实，混凝上灌注质量较好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桩孔内空间狭小，劳动强度大，工作环境差，安全事故多；</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2.人员在孔内作业，容易发生人身伤亡事故，可采用机械成孔条件下应避免采用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注意事项</w:t>
            </w:r>
          </w:p>
        </w:tc>
        <w:tc>
          <w:tcPr>
            <w:tcW w:w="77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当孔底有较深积水时，应采用水下灌注混凝土，混凝土初凝前不得于相邻桩孔中抽水</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当桩净距小于2.5m时，应采用间隔开挖。相邻排桩跳挖的最小施工净距不得小于4.5m；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挖出的土石方应及时运离孔口，不得堆放在孔口周边1m 范围内，机动车辆的通行不得对井壁的安全造成影响</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动力排水固结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77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含水量大、压缩性大、工程性质差的软土类地基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夯击能力</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动力系统能力施加有小到大，少击多遍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排水系统</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施工前应在软土中设置人工排水系统，以改善软土的排水条件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再固结效应</w:t>
            </w:r>
          </w:p>
        </w:tc>
        <w:tc>
          <w:tcPr>
            <w:tcW w:w="77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动力排水固结的再固结效应明显，其表现为超静孔隙水压力消散后土体的固结变形，其力学机理为在外部荷载作用下，结合水膜被激活，并向自由水转换的过程</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Times New Roman" w:hAnsi="Times New Roman" w:eastAsia="黑体" w:cs="Times New Roman"/>
          <w:b/>
          <w:bCs/>
          <w:i w:val="0"/>
          <w:iCs w:val="0"/>
          <w:sz w:val="16"/>
          <w:szCs w:val="16"/>
          <w:lang w:val="en-US" w:eastAsia="zh-CN"/>
        </w:rPr>
        <w:t>28d龄期</w:t>
      </w:r>
      <w:r>
        <w:rPr>
          <w:rFonts w:hint="default" w:ascii="Times New Roman" w:hAnsi="Times New Roman" w:eastAsia="黑体" w:cs="Times New Roman"/>
          <w:b/>
          <w:bCs/>
          <w:i/>
          <w:iCs/>
          <w:sz w:val="16"/>
          <w:szCs w:val="16"/>
          <w:lang w:val="en-US" w:eastAsia="zh-CN"/>
        </w:rPr>
        <w:t>f</w:t>
      </w:r>
      <w:r>
        <w:rPr>
          <w:rFonts w:hint="default" w:ascii="Times New Roman" w:hAnsi="Times New Roman" w:eastAsia="黑体" w:cs="Times New Roman"/>
          <w:b/>
          <w:bCs/>
          <w:sz w:val="16"/>
          <w:szCs w:val="16"/>
          <w:vertAlign w:val="subscript"/>
          <w:lang w:val="en-US" w:eastAsia="zh-CN"/>
        </w:rPr>
        <w:t>cu</w:t>
      </w:r>
      <w:r>
        <w:rPr>
          <w:rFonts w:hint="eastAsia" w:ascii="黑体" w:hAnsi="黑体" w:eastAsia="黑体" w:cs="黑体"/>
          <w:b/>
          <w:bCs/>
          <w:sz w:val="16"/>
          <w:szCs w:val="16"/>
          <w:lang w:val="en-US" w:eastAsia="zh-CN"/>
        </w:rPr>
        <w:t>参考值（单位：MPa，不适用于水泥土搅拌桩）</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708"/>
        <w:gridCol w:w="708"/>
        <w:gridCol w:w="708"/>
        <w:gridCol w:w="709"/>
        <w:gridCol w:w="7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exac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C15</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C20</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C25</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C30</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C35</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exact"/>
          <w:jc w:val="center"/>
        </w:trPr>
        <w:tc>
          <w:tcPr>
            <w:tcW w:w="1464" w:type="dxa"/>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14.95</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20.04</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24.97</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30.05</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34.99</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40.07</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挤土效应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586"/>
        <w:gridCol w:w="1664"/>
        <w:gridCol w:w="1077"/>
        <w:gridCol w:w="519"/>
        <w:gridCol w:w="4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533" w:type="dxa"/>
            <w:gridSpan w:val="3"/>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桩型</w:t>
            </w:r>
          </w:p>
        </w:tc>
        <w:tc>
          <w:tcPr>
            <w:tcW w:w="107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w:t>
            </w:r>
          </w:p>
        </w:tc>
        <w:tc>
          <w:tcPr>
            <w:tcW w:w="517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挤土桩</w:t>
            </w: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内夯沉管灌注桩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软土地区慎用</w:t>
            </w:r>
          </w:p>
        </w:tc>
        <w:tc>
          <w:tcPr>
            <w:tcW w:w="10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在成桩过程中，大量挤土，使桩周土体受到扰动，桩周土体的工程性质有很大改变</w:t>
            </w:r>
          </w:p>
        </w:tc>
        <w:tc>
          <w:tcPr>
            <w:tcW w:w="5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正影响</w:t>
            </w: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松散土层和非饱和填土中，起到挤密和提高承载力作用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打入式混凝土预制桩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负影响</w:t>
            </w: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灌注桩：断桩、缩颈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闭口钢管桩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预制桩：桩体侧移，倾斜，上浮甚至断桩，承载力降低，沉降增大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饱和黏性土：挤土使饱和黏性土强度降低，造成断桩、缩颈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静压桩</w:t>
            </w:r>
          </w:p>
        </w:tc>
        <w:tc>
          <w:tcPr>
            <w:tcW w:w="10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软土密集桩群：沉桩困难、产生负摩阻力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部分挤土桩</w:t>
            </w: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冲击成孔灌注桩</w:t>
            </w:r>
          </w:p>
        </w:tc>
        <w:tc>
          <w:tcPr>
            <w:tcW w:w="10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成桩过程中引起部分挤土，桩周土体的扰动轻微，结构和工程特性变化不</w:t>
            </w:r>
            <w:r>
              <w:rPr>
                <w:rFonts w:hint="eastAsia" w:hAnsi="Cambria Math" w:cs="Times New Roman"/>
                <w:b w:val="0"/>
                <w:bCs w:val="0"/>
                <w:i w:val="0"/>
                <w:iCs/>
                <w:color w:val="000000"/>
                <w:sz w:val="16"/>
                <w:szCs w:val="16"/>
                <w:vertAlign w:val="baseline"/>
                <w:lang w:val="en-US" w:eastAsia="zh-CN"/>
              </w:rPr>
              <w:t>明显</w:t>
            </w:r>
          </w:p>
        </w:tc>
        <w:tc>
          <w:tcPr>
            <w:tcW w:w="5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软土地区的事故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预制桩接头被拉断，桩体侧移和上涌</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沉管灌注桩发生缩颈、断桩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钻孔挤扩多支盘桩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预钻孔打入式预制桩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预防挤土效应的辅助措施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静压混凝土敞口管桩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因地制宜合理选择桩型，采取减小孔压和挤土效应的措施：1.打排水板、袋装砂井消减孔压；2.预钻孔、引孔；3.控制沉桩速率；4.合理安排沉桩顺序5增加</w:t>
            </w:r>
            <w:r>
              <w:rPr>
                <w:rFonts w:hint="eastAsia" w:hAnsi="Cambria Math" w:cs="Times New Roman"/>
                <w:b w:val="0"/>
                <w:bCs w:val="0"/>
                <w:i w:val="0"/>
                <w:iCs/>
                <w:color w:val="000000"/>
                <w:sz w:val="16"/>
                <w:szCs w:val="16"/>
                <w:vertAlign w:val="baseline"/>
                <w:lang w:val="en-US" w:eastAsia="zh-CN"/>
              </w:rPr>
              <w:t>桩间距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H型钢桩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敞口钢管桩</w:t>
            </w:r>
          </w:p>
        </w:tc>
        <w:tc>
          <w:tcPr>
            <w:tcW w:w="10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非挤土桩</w:t>
            </w: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干作业</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短螺旋钻孔灌注桩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洛阳铲成孔</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人工挖孔灌注桩</w:t>
            </w:r>
          </w:p>
        </w:tc>
        <w:tc>
          <w:tcPr>
            <w:tcW w:w="6254" w:type="dxa"/>
            <w:gridSpan w:val="3"/>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饱和软土中打桩时，桩身置换同体积的土，在打桩范围内外将会发生竖向和水平向的位移同时桩周土会产生较大的超静孔隙水压力；成桩过程中，引起的挤土效应主要是：</w:t>
            </w:r>
            <w:r>
              <w:rPr>
                <w:rFonts w:hint="default" w:hAnsi="Cambria Math" w:cs="Times New Roman"/>
                <w:b/>
                <w:bCs/>
                <w:i w:val="0"/>
                <w:iCs/>
                <w:color w:val="000000"/>
                <w:sz w:val="16"/>
                <w:szCs w:val="16"/>
                <w:vertAlign w:val="baseline"/>
                <w:lang w:val="en-US" w:eastAsia="zh-CN"/>
              </w:rPr>
              <w:t>地面隆起和土体侧移，建筑物破坏</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挤土成桩的打桩顺序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①对于密集桩群，自中间向两边或四周对称施打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②当一侧毗邻建筑物时，由毗邻建筑物向另一方向施打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③根据基础的设计标高，宜先深后浅</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lang w:val="en-US" w:eastAsia="zh-CN"/>
              </w:rPr>
            </w:pPr>
            <w:r>
              <w:rPr>
                <w:rFonts w:hint="eastAsia" w:hAnsi="Cambria Math" w:cs="Times New Roman"/>
                <w:b w:val="0"/>
                <w:bCs w:val="0"/>
                <w:i w:val="0"/>
                <w:iCs/>
                <w:color w:val="000000"/>
                <w:sz w:val="16"/>
                <w:szCs w:val="16"/>
                <w:vertAlign w:val="baseline"/>
                <w:lang w:val="en-US" w:eastAsia="zh-CN"/>
              </w:rPr>
              <w:t>④根据桩的规格，宜先大后小，先长后短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泥浆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潜水钻成孔灌注桩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正、反循环钻孔灌注桩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旋挖成孔灌注桩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tc>
        <w:tc>
          <w:tcPr>
            <w:tcW w:w="6254" w:type="dxa"/>
            <w:gridSpan w:val="3"/>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套管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贝诺托灌注桩</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短螺旋钻孔灌注桩</w:t>
            </w:r>
          </w:p>
        </w:tc>
        <w:tc>
          <w:tcPr>
            <w:tcW w:w="6254" w:type="dxa"/>
            <w:gridSpan w:val="3"/>
            <w:vMerge w:val="continue"/>
            <w:tcBorders>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堆载预压与真空预压的对比</w:t>
      </w:r>
      <w:r>
        <w:rPr>
          <w:rFonts w:hint="eastAsia" w:ascii="黑体" w:hAnsi="黑体" w:eastAsia="黑体" w:cs="黑体"/>
          <w:b w:val="0"/>
          <w:bCs w:val="0"/>
          <w:sz w:val="16"/>
          <w:szCs w:val="16"/>
          <w:lang w:val="en-US" w:eastAsia="zh-CN"/>
        </w:rPr>
        <w:t>（均为排水固结）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191"/>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319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堆载预压法</w:t>
            </w:r>
          </w:p>
        </w:tc>
        <w:tc>
          <w:tcPr>
            <w:tcW w:w="450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适用于淤泥质土、淤泥、冲填土等饱和黏性土地基;对</w:t>
            </w:r>
            <w:r>
              <w:rPr>
                <w:rFonts w:hint="default" w:hAnsi="Cambria Math" w:cs="Times New Roman"/>
                <w:b/>
                <w:bCs/>
                <w:i w:val="0"/>
                <w:iCs/>
                <w:color w:val="000000"/>
                <w:sz w:val="16"/>
                <w:szCs w:val="16"/>
                <w:vertAlign w:val="baseline"/>
                <w:lang w:val="en-US" w:eastAsia="zh-CN"/>
              </w:rPr>
              <w:t>塑性指数大于25且含水量大于85%的淤泥</w:t>
            </w:r>
            <w:r>
              <w:rPr>
                <w:rFonts w:hint="default" w:hAnsi="Cambria Math" w:cs="Times New Roman"/>
                <w:b w:val="0"/>
                <w:bCs w:val="0"/>
                <w:i w:val="0"/>
                <w:iCs/>
                <w:color w:val="000000"/>
                <w:sz w:val="16"/>
                <w:szCs w:val="16"/>
                <w:vertAlign w:val="baseline"/>
                <w:lang w:val="en-US" w:eastAsia="zh-CN"/>
              </w:rPr>
              <w:t>，应通过现场试验确定其适用性</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适用于处理以黏性土为主的软弱地基，当存在粉土、砂土等透水、透气层时，加固区周边应采取确保膜下真空压力满足设计要求的措施。</w:t>
            </w:r>
            <w:r>
              <w:rPr>
                <w:rFonts w:hint="default" w:hAnsi="Cambria Math" w:cs="Times New Roman"/>
                <w:b/>
                <w:bCs/>
                <w:i w:val="0"/>
                <w:iCs/>
                <w:color w:val="000000"/>
                <w:sz w:val="16"/>
                <w:szCs w:val="16"/>
                <w:vertAlign w:val="baseline"/>
                <w:lang w:val="en-US" w:eastAsia="zh-CN"/>
              </w:rPr>
              <w:t>当加固土层上覆有厚度大于5m以上的回填土或承载力较高的黏性土的情形时，</w:t>
            </w:r>
            <w:r>
              <w:rPr>
                <w:rFonts w:hint="eastAsia" w:hAnsi="Cambria Math" w:cs="Times New Roman"/>
                <w:b/>
                <w:bCs/>
                <w:i w:val="0"/>
                <w:iCs/>
                <w:color w:val="000000"/>
                <w:sz w:val="16"/>
                <w:szCs w:val="16"/>
                <w:vertAlign w:val="baseline"/>
                <w:lang w:val="en-US" w:eastAsia="zh-CN"/>
              </w:rPr>
              <w:t>不适用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作用原理</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总应力增加</w:t>
            </w:r>
            <w:r>
              <w:rPr>
                <w:rFonts w:hint="default" w:hAnsi="Cambria Math" w:cs="Times New Roman"/>
                <w:b w:val="0"/>
                <w:bCs w:val="0"/>
                <w:i w:val="0"/>
                <w:iCs/>
                <w:color w:val="000000"/>
                <w:sz w:val="16"/>
                <w:szCs w:val="16"/>
                <w:vertAlign w:val="baseline"/>
                <w:lang w:val="en-US" w:eastAsia="zh-CN"/>
              </w:rPr>
              <w:t>，孔隙水压力消散，从而使</w:t>
            </w:r>
            <w:r>
              <w:rPr>
                <w:rFonts w:hint="default" w:hAnsi="Cambria Math" w:cs="Times New Roman"/>
                <w:b/>
                <w:bCs/>
                <w:i w:val="0"/>
                <w:iCs/>
                <w:color w:val="000000"/>
                <w:sz w:val="16"/>
                <w:szCs w:val="16"/>
                <w:vertAlign w:val="baseline"/>
                <w:lang w:val="en-US" w:eastAsia="zh-CN"/>
              </w:rPr>
              <w:t>有效应力增加</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总应力不变</w:t>
            </w:r>
            <w:r>
              <w:rPr>
                <w:rFonts w:hint="default" w:hAnsi="Cambria Math" w:cs="Times New Roman"/>
                <w:b w:val="0"/>
                <w:bCs w:val="0"/>
                <w:i w:val="0"/>
                <w:iCs/>
                <w:color w:val="000000"/>
                <w:sz w:val="16"/>
                <w:szCs w:val="16"/>
                <w:vertAlign w:val="baseline"/>
                <w:lang w:val="en-US" w:eastAsia="zh-CN"/>
              </w:rPr>
              <w:t>，孔隙水压力减小，从而使</w:t>
            </w:r>
            <w:r>
              <w:rPr>
                <w:rFonts w:hint="default" w:hAnsi="Cambria Math" w:cs="Times New Roman"/>
                <w:b/>
                <w:bCs/>
                <w:i w:val="0"/>
                <w:iCs/>
                <w:color w:val="000000"/>
                <w:sz w:val="16"/>
                <w:szCs w:val="16"/>
                <w:vertAlign w:val="baseline"/>
                <w:lang w:val="en-US" w:eastAsia="zh-CN"/>
              </w:rPr>
              <w:t>有效应力增加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作用机理</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加载预压过程中，一方面</w:t>
            </w:r>
            <w:r>
              <w:rPr>
                <w:rFonts w:hint="default" w:hAnsi="Cambria Math" w:cs="Times New Roman"/>
                <w:b/>
                <w:bCs/>
                <w:i w:val="0"/>
                <w:iCs/>
                <w:color w:val="000000"/>
                <w:sz w:val="16"/>
                <w:szCs w:val="16"/>
                <w:vertAlign w:val="baseline"/>
                <w:lang w:val="en-US" w:eastAsia="zh-CN"/>
              </w:rPr>
              <w:t>土体强度在提高</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另一方面</w:t>
            </w:r>
            <w:r>
              <w:rPr>
                <w:rFonts w:hint="default" w:hAnsi="Cambria Math" w:cs="Times New Roman"/>
                <w:b/>
                <w:bCs/>
                <w:i w:val="0"/>
                <w:iCs/>
                <w:color w:val="000000"/>
                <w:sz w:val="16"/>
                <w:szCs w:val="16"/>
                <w:vertAlign w:val="baseline"/>
                <w:lang w:val="en-US" w:eastAsia="zh-CN"/>
              </w:rPr>
              <w:t>剪应力也在增大</w:t>
            </w:r>
            <w:r>
              <w:rPr>
                <w:rFonts w:hint="default" w:hAnsi="Cambria Math" w:cs="Times New Roman"/>
                <w:b w:val="0"/>
                <w:bCs w:val="0"/>
                <w:i w:val="0"/>
                <w:iCs/>
                <w:color w:val="000000"/>
                <w:sz w:val="16"/>
                <w:szCs w:val="16"/>
                <w:vertAlign w:val="baseline"/>
                <w:lang w:val="en-US" w:eastAsia="zh-CN"/>
              </w:rPr>
              <w:t>，当剪应力达到抗剪强度时，土体发生破坏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预压过程中，有效应力增量是各向相等的，</w:t>
            </w:r>
            <w:r>
              <w:rPr>
                <w:rFonts w:hint="default" w:hAnsi="Cambria Math" w:cs="Times New Roman"/>
                <w:b/>
                <w:bCs/>
                <w:i w:val="0"/>
                <w:iCs/>
                <w:color w:val="000000"/>
                <w:sz w:val="16"/>
                <w:szCs w:val="16"/>
                <w:vertAlign w:val="baseline"/>
                <w:lang w:val="en-US" w:eastAsia="zh-CN"/>
              </w:rPr>
              <w:t>剪应力不增加，不会引起土体的剪切破坏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加载速率</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堆载过程中需要</w:t>
            </w:r>
            <w:r>
              <w:rPr>
                <w:rFonts w:hint="default" w:hAnsi="Cambria Math" w:cs="Times New Roman"/>
                <w:b/>
                <w:bCs/>
                <w:i w:val="0"/>
                <w:iCs/>
                <w:color w:val="000000"/>
                <w:sz w:val="16"/>
                <w:szCs w:val="16"/>
                <w:vertAlign w:val="baseline"/>
                <w:lang w:val="en-US" w:eastAsia="zh-CN"/>
              </w:rPr>
              <w:t>控制加载速率</w:t>
            </w:r>
            <w:r>
              <w:rPr>
                <w:rFonts w:hint="eastAsia" w:hAnsi="Cambria Math" w:cs="Times New Roman"/>
                <w:b w:val="0"/>
                <w:bCs w:val="0"/>
                <w:i w:val="0"/>
                <w:iCs/>
                <w:color w:val="000000"/>
                <w:sz w:val="16"/>
                <w:szCs w:val="16"/>
                <w:vertAlign w:val="baseline"/>
                <w:lang w:val="en-US" w:eastAsia="zh-CN"/>
              </w:rPr>
              <w:t>（由土竖向变形、边桩水平位移、孔隙水压力控制）</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不需要控制加载速率</w:t>
            </w:r>
            <w:r>
              <w:rPr>
                <w:rFonts w:hint="default" w:hAnsi="Cambria Math" w:cs="Times New Roman"/>
                <w:b w:val="0"/>
                <w:bCs w:val="0"/>
                <w:i w:val="0"/>
                <w:iCs/>
                <w:color w:val="000000"/>
                <w:sz w:val="16"/>
                <w:szCs w:val="16"/>
                <w:vertAlign w:val="baseline"/>
                <w:lang w:val="en-US" w:eastAsia="zh-CN"/>
              </w:rPr>
              <w:t>，可连续抽真空至最大真空度，故可缩短预压时间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有无排水竖井</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深厚软黏土地基，应设置排水竖井，</w:t>
            </w:r>
            <w:r>
              <w:rPr>
                <w:rFonts w:hint="default" w:hAnsi="Cambria Math" w:cs="Times New Roman"/>
                <w:b/>
                <w:bCs/>
                <w:i w:val="0"/>
                <w:iCs/>
                <w:color w:val="000000"/>
                <w:sz w:val="16"/>
                <w:szCs w:val="16"/>
                <w:vertAlign w:val="baseline"/>
                <w:lang w:val="en-US" w:eastAsia="zh-CN"/>
              </w:rPr>
              <w:t>当软土层厚度较小或软土层中含较多薄粉细砂夹层，且固结速率能满足工期要求，可不设排水竖井</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应设置坚井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地基变形</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在预压过程中，预压区周围土产生</w:t>
            </w:r>
            <w:r>
              <w:rPr>
                <w:rFonts w:hint="eastAsia" w:hAnsi="Cambria Math" w:cs="Times New Roman"/>
                <w:b/>
                <w:bCs/>
                <w:i w:val="0"/>
                <w:iCs/>
                <w:color w:val="000000"/>
                <w:sz w:val="16"/>
                <w:szCs w:val="16"/>
                <w:vertAlign w:val="baseline"/>
                <w:lang w:val="en-US" w:eastAsia="zh-CN"/>
              </w:rPr>
              <w:t>向外的侧向变形</w:t>
            </w:r>
            <w:r>
              <w:rPr>
                <w:rFonts w:hint="eastAsia" w:hAnsi="Cambria Math" w:cs="Times New Roman"/>
                <w:b w:val="0"/>
                <w:bCs w:val="0"/>
                <w:i w:val="0"/>
                <w:iCs/>
                <w:color w:val="000000"/>
                <w:sz w:val="16"/>
                <w:szCs w:val="16"/>
                <w:vertAlign w:val="baseline"/>
                <w:lang w:val="en-US" w:eastAsia="zh-CN"/>
              </w:rPr>
              <w:t>，按单向压缩分层总和法计算固结变形后尚应乘以1.1~1.4 的经验系数以反映地基向外侧变形的影响</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w:t>
            </w:r>
            <w:r>
              <w:rPr>
                <w:rFonts w:hint="default" w:hAnsi="Cambria Math" w:cs="Times New Roman"/>
                <w:b w:val="0"/>
                <w:bCs w:val="0"/>
                <w:i w:val="0"/>
                <w:iCs/>
                <w:color w:val="000000"/>
                <w:sz w:val="16"/>
                <w:szCs w:val="16"/>
                <w:vertAlign w:val="baseline"/>
                <w:lang w:val="en-US" w:eastAsia="zh-CN"/>
              </w:rPr>
              <w:t>预压过程中，预压区周围土产生</w:t>
            </w:r>
            <w:r>
              <w:rPr>
                <w:rFonts w:hint="default" w:hAnsi="Cambria Math" w:cs="Times New Roman"/>
                <w:b/>
                <w:bCs/>
                <w:i w:val="0"/>
                <w:iCs/>
                <w:color w:val="000000"/>
                <w:sz w:val="16"/>
                <w:szCs w:val="16"/>
                <w:vertAlign w:val="baseline"/>
                <w:lang w:val="en-US" w:eastAsia="zh-CN"/>
              </w:rPr>
              <w:t>指向预压区的侧向变形</w:t>
            </w:r>
            <w:r>
              <w:rPr>
                <w:rFonts w:hint="default" w:hAnsi="Cambria Math" w:cs="Times New Roman"/>
                <w:b w:val="0"/>
                <w:bCs w:val="0"/>
                <w:i w:val="0"/>
                <w:iCs/>
                <w:color w:val="000000"/>
                <w:sz w:val="16"/>
                <w:szCs w:val="16"/>
                <w:vertAlign w:val="baseline"/>
                <w:lang w:val="en-US" w:eastAsia="zh-CN"/>
              </w:rPr>
              <w:t>，因此，按单向压缩分层总和法计算所得的固结沉降应乘以一个经验系数方可得到最终的沉降值。该经验系数可取1.0~1.3，对真空</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堆载联合预压以真空预压为主时，可取1.0~1.3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应力变化</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非等向应力增量</w:t>
            </w:r>
            <w:r>
              <w:rPr>
                <w:rFonts w:hint="default" w:hAnsi="Cambria Math" w:cs="Times New Roman"/>
                <w:b w:val="0"/>
                <w:bCs w:val="0"/>
                <w:i w:val="0"/>
                <w:iCs/>
                <w:color w:val="000000"/>
                <w:sz w:val="16"/>
                <w:szCs w:val="16"/>
                <w:vertAlign w:val="baseline"/>
                <w:lang w:val="en-US" w:eastAsia="zh-CN"/>
              </w:rPr>
              <w:t>下固结而获得强度增长</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等向应力增量下</w:t>
            </w:r>
            <w:r>
              <w:rPr>
                <w:rFonts w:hint="default" w:hAnsi="Cambria Math" w:cs="Times New Roman"/>
                <w:b w:val="0"/>
                <w:bCs w:val="0"/>
                <w:i w:val="0"/>
                <w:iCs/>
                <w:color w:val="000000"/>
                <w:sz w:val="16"/>
                <w:szCs w:val="16"/>
                <w:vertAlign w:val="baseline"/>
                <w:lang w:val="en-US" w:eastAsia="zh-CN"/>
              </w:rPr>
              <w:t>固结而使土的强度增长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有效影响深度</w:t>
            </w:r>
          </w:p>
        </w:tc>
        <w:tc>
          <w:tcPr>
            <w:tcW w:w="319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堆载预压法的有效影响深度较大，有效影响深度取决于附加应力的大小和分布</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真空预压法的真空度往下传递有一定衰减，实测真空度沿深度衰减每延米(0.8~2.0)kPa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减少预压工期的措施</w:t>
            </w:r>
          </w:p>
        </w:tc>
        <w:tc>
          <w:tcPr>
            <w:tcW w:w="7699"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1.增大砂井直径、减小砂井间距增大了排水面积，加速固结；减小排水距离也可以加速固结</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2.超载预压可以减少处理工期，减少工后沉降量（以变形量控制）</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3.对深厚受压土层，在施工能力可行时，应尽可能增加排水竖井深度，加速土层固结，缩短工期</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4.减少含水量、降低液性指数</w:t>
            </w:r>
          </w:p>
        </w:tc>
      </w:tr>
    </w:tbl>
    <w:p>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设排水砂垫层的真空预压与直排式真空预压的对比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60"/>
        <w:gridCol w:w="2919"/>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直排式真空预压法</w:t>
            </w:r>
          </w:p>
        </w:tc>
        <w:tc>
          <w:tcPr>
            <w:tcW w:w="742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在传统的真空预压基础上发展起来的一种较为新型的地基处理加固方式。该法将塑料排水板竖向打入需处理的软土地基中，塑料排水板的上端与水平设置的多根真空滤管直接相连，将与真空滤管连接后的塑料排水板上端埋入工作垫层或置于工作垫层的表面，真空滤管与抽真空设备密封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742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这种方法用软管讲排水板与真空管直接相连，使排水板上部的真空压力直接达到膜下压力，降低了真空能量的沿程损失，提高了真空预压能量。故而该法最大特点是</w:t>
            </w:r>
            <w:r>
              <w:rPr>
                <w:rFonts w:hint="default" w:hAnsi="Cambria Math" w:cs="Times New Roman"/>
                <w:b/>
                <w:bCs/>
                <w:i w:val="0"/>
                <w:iCs/>
                <w:color w:val="000000"/>
                <w:sz w:val="16"/>
                <w:szCs w:val="16"/>
                <w:vertAlign w:val="baseline"/>
                <w:lang w:val="en-US" w:eastAsia="zh-CN"/>
              </w:rPr>
              <w:t>减少了真空度传递及孔隙水渗流路径中砂垫层产生的阻力</w:t>
            </w:r>
            <w:r>
              <w:rPr>
                <w:rFonts w:hint="default" w:hAnsi="Cambria Math" w:cs="Times New Roman"/>
                <w:b w:val="0"/>
                <w:bCs w:val="0"/>
                <w:i w:val="0"/>
                <w:iCs/>
                <w:color w:val="000000"/>
                <w:sz w:val="16"/>
                <w:szCs w:val="16"/>
                <w:vertAlign w:val="baseline"/>
                <w:lang w:val="en-US" w:eastAsia="zh-CN"/>
              </w:rPr>
              <w:t>，提高了真空度传递效率，具有节省电力和</w:t>
            </w:r>
            <w:r>
              <w:rPr>
                <w:rFonts w:hint="default" w:hAnsi="Cambria Math" w:cs="Times New Roman"/>
                <w:b/>
                <w:bCs/>
                <w:i w:val="0"/>
                <w:iCs/>
                <w:color w:val="000000"/>
                <w:sz w:val="16"/>
                <w:szCs w:val="16"/>
                <w:vertAlign w:val="baseline"/>
                <w:lang w:val="en-US" w:eastAsia="zh-CN"/>
              </w:rPr>
              <w:t>中粗砂资源</w:t>
            </w:r>
            <w:r>
              <w:rPr>
                <w:rFonts w:hint="default" w:hAnsi="Cambria Math" w:cs="Times New Roman"/>
                <w:b w:val="0"/>
                <w:bCs w:val="0"/>
                <w:i w:val="0"/>
                <w:iCs/>
                <w:color w:val="000000"/>
                <w:sz w:val="16"/>
                <w:szCs w:val="16"/>
                <w:vertAlign w:val="baseline"/>
                <w:lang w:val="en-US" w:eastAsia="zh-CN"/>
              </w:rPr>
              <w:t>，缩短工程工期、降低了工程造价等特点。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设排水砂垫层的真空预压法</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直排式真空预压法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排水通道</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利用中粗砂垫层作为水平排水</w:t>
            </w:r>
            <w:r>
              <w:rPr>
                <w:rFonts w:hint="eastAsia" w:hAnsi="Cambria Math" w:cs="Times New Roman"/>
                <w:b w:val="0"/>
                <w:bCs w:val="0"/>
                <w:i w:val="0"/>
                <w:iCs/>
                <w:color w:val="000000"/>
                <w:sz w:val="16"/>
                <w:szCs w:val="16"/>
                <w:vertAlign w:val="baseline"/>
                <w:lang w:val="en-US" w:eastAsia="zh-CN"/>
              </w:rPr>
              <w:t>通道</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利用每根排水板与滤管相连的方式形成水平向排水通道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对砂料的要求</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要求较高，成本较为</w:t>
            </w:r>
            <w:r>
              <w:rPr>
                <w:rFonts w:hint="eastAsia" w:hAnsi="Cambria Math" w:cs="Times New Roman"/>
                <w:b w:val="0"/>
                <w:bCs w:val="0"/>
                <w:i w:val="0"/>
                <w:iCs/>
                <w:color w:val="000000"/>
                <w:sz w:val="16"/>
                <w:szCs w:val="16"/>
                <w:vertAlign w:val="baseline"/>
                <w:lang w:val="en-US" w:eastAsia="zh-CN"/>
              </w:rPr>
              <w:t>昂贵）</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可采用细砂、粉砂、粉土等</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相较于普通真空预压法，每平米综合造价降低了 35 元左右</w:t>
            </w:r>
            <w:r>
              <w:rPr>
                <w:rFonts w:hint="eastAsia" w:hAnsi="Cambria Math"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排水潜在问题</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可能存在插板带泥或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”现象对水平排水体的堵塞影响</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大大减小了插板带泥或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现象对水平排水体的堵塞影响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工期方面</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相较于设排水砂垫层的真空预压法</w:t>
            </w:r>
            <w:r>
              <w:rPr>
                <w:rFonts w:hint="eastAsia" w:hAnsi="Cambria Math" w:cs="Times New Roman"/>
                <w:b w:val="0"/>
                <w:bCs w:val="0"/>
                <w:i w:val="0"/>
                <w:iCs/>
                <w:color w:val="000000"/>
                <w:sz w:val="16"/>
                <w:szCs w:val="16"/>
                <w:vertAlign w:val="baseline"/>
                <w:lang w:val="en-US" w:eastAsia="zh-CN"/>
              </w:rPr>
              <w:t>，工期更短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真空度衰减较普通真空预压法为慢，亦即相同深度处真空压力大于普通真空预压法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软土处理深度</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真空压力沿着深度方向衰减较慢，相应的地基处理深度较普通真空预压法为大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最大沉降量</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在同样预压时间内，同样的预压荷载下，直排式真空预压方法处理的地基最大沉降量显著大于普通真空预压法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侧向水平位移</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变形影响深度</w:t>
            </w:r>
          </w:p>
        </w:tc>
        <w:tc>
          <w:tcPr>
            <w:tcW w:w="291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砂井法与砂桩法的对比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3572"/>
        <w:gridCol w:w="4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7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砂井法</w:t>
            </w:r>
          </w:p>
        </w:tc>
        <w:tc>
          <w:tcPr>
            <w:tcW w:w="450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砂桩法（相当于振冲碎石桩）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原理</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1.砂井法:在软黏土地基中设置一系列砂井，在砂井之上铺设砂垫或砂沟，人为地增加土层固结排水通道，缩短排水距离，从而加速固结并加速强度的增长;</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2.砂井直径主要由黏性上层的固结特征和施工期限的要求确定，一般情况下，减小砂井间距比增大砂井直径效果更好，即“细而密”比“粗而稀”效果好</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.秒井法发挥作用需要进行</w:t>
            </w:r>
            <w:r>
              <w:rPr>
                <w:rFonts w:hint="default" w:hAnsi="Cambria Math" w:cs="Times New Roman"/>
                <w:b/>
                <w:bCs/>
                <w:i w:val="0"/>
                <w:iCs/>
                <w:color w:val="000000"/>
                <w:sz w:val="16"/>
                <w:szCs w:val="16"/>
                <w:vertAlign w:val="baseline"/>
                <w:lang w:val="en-US" w:eastAsia="zh-CN"/>
              </w:rPr>
              <w:t>预压</w:t>
            </w:r>
            <w:r>
              <w:rPr>
                <w:rFonts w:hint="default" w:hAnsi="Cambria Math" w:cs="Times New Roman"/>
                <w:b w:val="0"/>
                <w:bCs w:val="0"/>
                <w:i w:val="0"/>
                <w:iCs/>
                <w:color w:val="000000"/>
                <w:sz w:val="16"/>
                <w:szCs w:val="16"/>
                <w:vertAlign w:val="baseline"/>
                <w:lang w:val="en-US" w:eastAsia="zh-CN"/>
              </w:rPr>
              <w:t>，以产生孔隙水向砂井流动的压力</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砂桩也称为挤密砂桩或砂桩挤密法，是指用振动、冲击或水冲等方式在软弱地基中成孔后再将砂挤入土中，形成大直径密实砂桩体的地基加固方式，属于散体材料桩的一种，通过振密、挤密作用，可以显著提高地基强度，改善地基整体稳定性，并减少地基沉降量</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2.砂桩在松散砂土地基起振密、挤密作用，在软黏土中起置换作用，还可以起到排水作用</w:t>
            </w:r>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不需要预压</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3.对变形要求不严格的工程可以用砂桩置换处理，砂桩法也可以处理液化地基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透水性低的软弱黏性土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对于泥炭土等有机质沉积物不适用</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适用于松散砂土、粉土、黏性土、素填土、杂填土等地基，一般不用于饱和软黏土地基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直径</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普通砂井:300~500mm</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袋装砂井:70~120mm</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300~800mm，国外可达2米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填料</w:t>
            </w:r>
          </w:p>
        </w:tc>
        <w:tc>
          <w:tcPr>
            <w:tcW w:w="3572"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中粗砂，黏粒含量不应大于 3%，需设置垫层</w:t>
            </w:r>
          </w:p>
        </w:tc>
        <w:tc>
          <w:tcPr>
            <w:tcW w:w="450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中粗砂，含泥量不大于 5%，需设置垫层</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涂抹效应</w:t>
      </w:r>
      <w:r>
        <w:rPr>
          <w:rFonts w:hint="eastAsia" w:ascii="黑体" w:hAnsi="黑体" w:eastAsia="黑体" w:cs="黑体"/>
          <w:b/>
          <w:bCs/>
          <w:sz w:val="16"/>
          <w:szCs w:val="16"/>
          <w:lang w:val="en-US" w:eastAsia="zh-CN"/>
        </w:rPr>
        <w:t>和井阻效应的影响因素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4337"/>
        <w:gridCol w:w="41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3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涂抹效应</w:t>
            </w:r>
          </w:p>
        </w:tc>
        <w:tc>
          <w:tcPr>
            <w:tcW w:w="41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井阻效应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433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1.涂抹区</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越大，涂抹影响越严重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2.涂抹区土的水平向渗透系数与天然土层的水平渗透系数的比值越小，涂抹影响越严重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3.越靠近</w:t>
            </w:r>
            <w:r>
              <w:rPr>
                <w:rFonts w:hint="eastAsia" w:hAnsi="Cambria Math" w:cs="Times New Roman"/>
                <w:b w:val="0"/>
                <w:bCs w:val="0"/>
                <w:i w:val="0"/>
                <w:iCs/>
                <w:color w:val="000000"/>
                <w:sz w:val="16"/>
                <w:szCs w:val="16"/>
                <w:vertAlign w:val="baseline"/>
                <w:lang w:val="en-US" w:eastAsia="zh-CN"/>
              </w:rPr>
              <w:t>竖</w:t>
            </w:r>
            <w:r>
              <w:rPr>
                <w:rFonts w:hint="default" w:hAnsi="Cambria Math" w:cs="Times New Roman"/>
                <w:b w:val="0"/>
                <w:bCs w:val="0"/>
                <w:i w:val="0"/>
                <w:iCs/>
                <w:color w:val="000000"/>
                <w:sz w:val="16"/>
                <w:szCs w:val="16"/>
                <w:vertAlign w:val="baseline"/>
                <w:lang w:val="en-US" w:eastAsia="zh-CN"/>
              </w:rPr>
              <w:t>井，涂抹区</w:t>
            </w:r>
            <w:r>
              <w:rPr>
                <w:rFonts w:hint="default" w:hAnsi="Cambria Math" w:cs="Times New Roman"/>
                <w:b/>
                <w:bCs/>
                <w:i w:val="0"/>
                <w:iCs/>
                <w:color w:val="000000"/>
                <w:sz w:val="16"/>
                <w:szCs w:val="16"/>
                <w:vertAlign w:val="baseline"/>
                <w:lang w:val="en-US" w:eastAsia="zh-CN"/>
              </w:rPr>
              <w:t>水平向渗透系数</w:t>
            </w:r>
            <w:r>
              <w:rPr>
                <w:rFonts w:hint="default" w:hAnsi="Cambria Math" w:cs="Times New Roman"/>
                <w:b w:val="0"/>
                <w:bCs w:val="0"/>
                <w:i w:val="0"/>
                <w:iCs/>
                <w:color w:val="000000"/>
                <w:sz w:val="16"/>
                <w:szCs w:val="16"/>
                <w:vertAlign w:val="baseline"/>
                <w:lang w:val="en-US" w:eastAsia="zh-CN"/>
              </w:rPr>
              <w:t>越小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4.涂抹对土层固结速率影响显著</w:t>
            </w:r>
          </w:p>
        </w:tc>
        <w:tc>
          <w:tcPr>
            <w:tcW w:w="4167" w:type="dxa"/>
            <w:tcBorders>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1.竖井</w:t>
            </w:r>
            <w:r>
              <w:rPr>
                <w:rFonts w:hint="default" w:hAnsi="Cambria Math" w:cs="Times New Roman"/>
                <w:b/>
                <w:bCs/>
                <w:i w:val="0"/>
                <w:iCs/>
                <w:color w:val="000000"/>
                <w:sz w:val="16"/>
                <w:szCs w:val="16"/>
                <w:vertAlign w:val="baseline"/>
                <w:lang w:val="en-US" w:eastAsia="zh-CN"/>
              </w:rPr>
              <w:t>深度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竖井深度越大，竖井长径比越大</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井对水的渗流阻力较大，井阻效应越大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2.井内填料的</w:t>
            </w:r>
            <w:r>
              <w:rPr>
                <w:rFonts w:hint="default" w:hAnsi="Cambria Math" w:cs="Times New Roman"/>
                <w:b/>
                <w:bCs/>
                <w:i w:val="0"/>
                <w:iCs/>
                <w:color w:val="000000"/>
                <w:sz w:val="16"/>
                <w:szCs w:val="16"/>
                <w:vertAlign w:val="baseline"/>
                <w:lang w:val="en-US" w:eastAsia="zh-CN"/>
              </w:rPr>
              <w:t>渗透性</w:t>
            </w:r>
            <w:r>
              <w:rPr>
                <w:rFonts w:hint="default" w:hAnsi="Cambria Math" w:cs="Times New Roman"/>
                <w:b w:val="0"/>
                <w:bCs w:val="0"/>
                <w:i w:val="0"/>
                <w:iCs/>
                <w:color w:val="000000"/>
                <w:sz w:val="16"/>
                <w:szCs w:val="16"/>
                <w:vertAlign w:val="baseline"/>
                <w:lang w:val="en-US" w:eastAsia="zh-CN"/>
              </w:rPr>
              <w:t>越大，井阻效应越小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3.增大袋装砂井</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，可以减小井阻效应</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4.竖井纵向</w:t>
            </w:r>
            <w:r>
              <w:rPr>
                <w:rFonts w:hint="default" w:hAnsi="Cambria Math" w:cs="Times New Roman"/>
                <w:b/>
                <w:bCs/>
                <w:i w:val="0"/>
                <w:iCs/>
                <w:color w:val="000000"/>
                <w:sz w:val="16"/>
                <w:szCs w:val="16"/>
                <w:vertAlign w:val="baseline"/>
                <w:lang w:val="en-US" w:eastAsia="zh-CN"/>
              </w:rPr>
              <w:t>通水量</w:t>
            </w:r>
            <w:r>
              <w:rPr>
                <w:rFonts w:hint="default" w:hAnsi="Cambria Math" w:cs="Times New Roman"/>
                <w:b w:val="0"/>
                <w:bCs w:val="0"/>
                <w:i w:val="0"/>
                <w:iCs/>
                <w:color w:val="000000"/>
                <w:sz w:val="16"/>
                <w:szCs w:val="16"/>
                <w:vertAlign w:val="baseline"/>
                <w:lang w:val="en-US" w:eastAsia="zh-CN"/>
              </w:rPr>
              <w:t>越大，井阻效应越小</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砂井的施工方法与质量问题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74"/>
        <w:gridCol w:w="1391"/>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施工方法</w:t>
            </w:r>
          </w:p>
        </w:tc>
        <w:tc>
          <w:tcPr>
            <w:tcW w:w="692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普通砂井</w:t>
            </w:r>
          </w:p>
        </w:tc>
        <w:tc>
          <w:tcPr>
            <w:tcW w:w="13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振动沉管法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以振动锤为动力，将套管沉到预定深度，灌砂后振动、提管形成砂井。采用该法施工不仅避免了管内砂随管被带上来的问题，保证砂井的连续性，同时砂受到振密，砂并质量较好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射水法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指利用高压水通过射水管形成高速水流的冲击和环刀的机械切削，使土体破坏，并形成一定直径和深度的砂并孔，然后灌砂而成砂井。射水法成并的设备比较简单，对土的扰动较小，但在泥浆排放、塌孔、缩颈、串孔、灌砂等方面都还存在一定的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对土质较好且均匀的黏性土地基是较适用的</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不适用的情形:</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w:t>
            </w:r>
            <w:r>
              <w:rPr>
                <w:rFonts w:hint="default" w:hAnsi="Cambria Math" w:cs="Times New Roman"/>
                <w:b w:val="0"/>
                <w:bCs w:val="0"/>
                <w:i w:val="0"/>
                <w:iCs/>
                <w:color w:val="000000"/>
                <w:sz w:val="16"/>
                <w:szCs w:val="16"/>
                <w:vertAlign w:val="baseline"/>
                <w:lang w:val="en-US" w:eastAsia="zh-CN"/>
              </w:rPr>
              <w:t>对土质很软的淤泥，因成孔和灌砂过程中容易缩孔，很难保证砂井的直径和连续性</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w:t>
            </w:r>
            <w:r>
              <w:rPr>
                <w:rFonts w:hint="default" w:hAnsi="Cambria Math" w:cs="Times New Roman"/>
                <w:b w:val="0"/>
                <w:bCs w:val="0"/>
                <w:i w:val="0"/>
                <w:iCs/>
                <w:color w:val="000000"/>
                <w:sz w:val="16"/>
                <w:szCs w:val="16"/>
                <w:vertAlign w:val="baseline"/>
                <w:lang w:val="en-US" w:eastAsia="zh-CN"/>
              </w:rPr>
              <w:t>对夹有粉砂薄层的软土地基，若压力控制不严，易在冲水成孔时出现串孔，对地基扰动较大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螺旋钻成孔法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是用动力螺旋钻钻孔，属于干钻法施工，提钻后孔内灌砂成形。该工艺所用设备简单而机动，成孔比较规整，但灌砂质量较难掌握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此法适用于陆上工程、砂井长度在 10m 以内，土质较好，不会出现缩颈和塌孔现象的软弱地基:对很软弱的地基则不太适用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爆破法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是先用直径 73mm 的螺纹钻钻成一个砂并所要求设计深度的孔，在孔中放置由传爆线和炸药组成的条形药包，爆破后将孔扩大，然后往孔内灌砂形成砂井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施工简易，不需要复杂的机具，适用于深度为 6~7m 的浅砂井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普通砂井存在问题</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1.砂井成孔方法易使井周围土扰动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使透水性减弱(即涂抹作用)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或使砂井中混入较多泥砂，或难使孔壁直立</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2.砂井不连续或缩颈、断颈、错位现象很难完全避免</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3.所用成井设备相对笨重，不便于在很软弱地基上进行大面积施工</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4.砂井采用大截面完全为施工的需要，而从排水要求出发并不需要，造成材料大量浪费</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5.造价相对比较高，高于袋装砂井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袋装砂井</w:t>
            </w:r>
          </w:p>
        </w:tc>
        <w:tc>
          <w:tcPr>
            <w:tcW w:w="831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袋装砂井是在合成材料编织袋内充填中粗砂构成的砂袋，装入地基孔内，以加速地基排水固结，其加固原理、设计方法与砂并完全相同。袋装砂井的直径按排水及施工工艺要求确定，一般采用 7~12cm，我国目前较多采用 7cm 直径。袋装砂井的编织袋应具有良好的透水性，袋内的砂不易漏失，袋子的材料应有足够的强度，有一定的抗老化及耐地下水腐蚀的性能</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桩土应力比经验值及其影响因素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10"/>
        <w:gridCol w:w="1882"/>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工程经验值</w:t>
            </w:r>
          </w:p>
        </w:tc>
        <w:tc>
          <w:tcPr>
            <w:tcW w:w="188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黏性土</w:t>
            </w:r>
          </w:p>
        </w:tc>
        <w:tc>
          <w:tcPr>
            <w:tcW w:w="65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砂土、粉土</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1.5~3.0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一般取2~4，原土强度低时取大值，原土强度高时取小值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水泥粉煤灰碎石桩（CFG）</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多数在10~40之间变化，较软的土有的可达100左右，桩承担的荷载占总荷载的比率一般在40%~75%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水泥土搅拌桩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桩土应力比随上部荷载P先变大后变小，有明显峰值，最后趋于稳定，桩土应力比建议取10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散体材料桩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（振冲碎石桩、沉管碎石桩、灰土挤密桩、土挤密桩、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柱锤冲扩桩）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1.地基土强度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地基土强度越大，桩土应力比越小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桩间距越小，桩土应力比越小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在同样的条件下，桩越长，桩土应力比越大，当达到某定值时，n不变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4.桩土模量比: 模量比越大，桩土应力比越大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初期桩土应力比随荷载增大而增大，随荷载的进一步增大，n减小直至到某定值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刚性桩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（钢筋混凝土桩、素混凝土桩、CFG桩、预制桩）</w:t>
            </w:r>
          </w:p>
        </w:tc>
        <w:tc>
          <w:tcPr>
            <w:tcW w:w="65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1.桩间距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随桩间距增大而增大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2.桩径</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随桩径增大而减小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随桩长增大而增大，但到某一定值时，n不变，这个值为合理桩长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4.桩间土变形模量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5.持力层的变形模量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6.荷载水平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初期桩土应力比随荷载增大而增大，随荷载进一步增大，n减小直至到某一定值</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 xml:space="preserve">复合地基承载力计算系数汇总 </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
          </m:rPr>
          <w:rPr>
            <w:rFonts w:hint="default" w:ascii="Cambria Math" w:hAnsi="Cambria Math" w:eastAsia="黑体" w:cs="黑体"/>
            <w:kern w:val="2"/>
            <w:sz w:val="16"/>
            <w:szCs w:val="16"/>
            <w:lang w:val="en-US" w:eastAsia="zh-CN" w:bidi="ar-SA"/>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u</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nary>
          <m:naryPr>
            <m:chr m:val="∑"/>
            <m:limLoc m:val="undOvr"/>
            <m:subHide m:val="1"/>
            <m:supHide m:val="1"/>
            <m:ctrlPr>
              <w:rPr>
                <w:rFonts w:hint="eastAsia" w:ascii="Cambria Math" w:hAnsi="黑体" w:eastAsia="黑体" w:cs="黑体"/>
                <w:b/>
                <w:bCs/>
                <w:i w:val="0"/>
                <w:sz w:val="16"/>
                <w:szCs w:val="16"/>
                <w:lang w:val="en-US" w:eastAsia="zh-CN"/>
              </w:rPr>
            </m:ctrlPr>
          </m:naryPr>
          <m:sub>
            <m:ctrlPr>
              <w:rPr>
                <w:rFonts w:hint="eastAsia" w:ascii="Cambria Math" w:hAnsi="黑体" w:eastAsia="黑体" w:cs="黑体"/>
                <w:b/>
                <w:bCs/>
                <w:i w:val="0"/>
                <w:sz w:val="16"/>
                <w:szCs w:val="16"/>
                <w:lang w:val="en-US" w:eastAsia="zh-CN"/>
              </w:rPr>
            </m:ctrlPr>
          </m:sub>
          <m:sup>
            <m:ctrlPr>
              <w:rPr>
                <w:rFonts w:hint="eastAsia" w:ascii="Cambria Math" w:hAnsi="黑体" w:eastAsia="黑体" w:cs="黑体"/>
                <w:b/>
                <w:bCs/>
                <w:i w:val="0"/>
                <w:sz w:val="16"/>
                <w:szCs w:val="16"/>
                <w:lang w:val="en-US" w:eastAsia="zh-CN"/>
              </w:rPr>
            </m:ctrlPr>
          </m:sup>
          <m:e>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si</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l</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pi</m:t>
                </m:r>
                <m:ctrlPr>
                  <w:rPr>
                    <w:rFonts w:hint="eastAsia" w:ascii="Cambria Math" w:hAnsi="黑体" w:eastAsia="黑体" w:cs="黑体"/>
                    <w:b/>
                    <w:bCs/>
                    <w:i w:val="0"/>
                    <w:sz w:val="16"/>
                    <w:szCs w:val="16"/>
                    <w:lang w:val="en-US" w:eastAsia="zh-CN"/>
                  </w:rPr>
                </m:ctrlPr>
              </m:sub>
            </m:sSub>
            <m:ctrlPr>
              <w:rPr>
                <w:rFonts w:hint="eastAsia" w:ascii="Cambria Math" w:hAnsi="黑体" w:eastAsia="黑体" w:cs="黑体"/>
                <w:b/>
                <w:bCs/>
                <w:i w:val="0"/>
                <w:sz w:val="16"/>
                <w:szCs w:val="16"/>
                <w:lang w:val="en-US" w:eastAsia="zh-CN"/>
              </w:rPr>
            </m:ctrlPr>
          </m:e>
        </m:nary>
        <m:r>
          <m:rPr>
            <m:sty m:val="b"/>
          </m:rPr>
          <w:rPr>
            <w:rFonts w:hint="default" w:ascii="Cambria Math" w:hAnsi="黑体"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rPr>
              <m:t>α</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oMath>
      <w:r>
        <w:rPr>
          <w:rFonts w:hint="eastAsia" w:hAnsi="黑体" w:eastAsia="黑体" w:cs="黑体"/>
          <w:b/>
          <w:bCs/>
          <w:i w:val="0"/>
          <w:sz w:val="16"/>
          <w:szCs w:val="16"/>
          <w:lang w:val="en-US" w:eastAsia="zh-CN"/>
        </w:rPr>
        <w:t>，</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spk</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cs="Times New Roman"/>
            <w:color w:val="000000"/>
            <w:sz w:val="16"/>
            <w:szCs w:val="16"/>
            <w:vertAlign w:val="baseline"/>
            <w:lang w:val="en-US" w:eastAsia="zh-CN"/>
          </w:rPr>
          <m:t>λm</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i"/>
          </m:rPr>
          <w:rPr>
            <w:rFonts w:hint="default" w:ascii="Cambria Math" w:hAnsi="Cambria Math"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eastAsia="黑体" w:cs="Cambria Math"/>
            <w:sz w:val="16"/>
            <w:szCs w:val="16"/>
            <w:lang w:val="en-US" w:eastAsia="zh-CN"/>
          </w:rPr>
          <m:t>β</m:t>
        </m:r>
        <m:r>
          <m:rPr>
            <m:sty m:val="b"/>
          </m:rPr>
          <w:rPr>
            <w:rFonts w:hint="default" w:ascii="Cambria Math" w:hAnsi="Cambria Math" w:eastAsia="黑体" w:cs="Cambria Math"/>
            <w:sz w:val="16"/>
            <w:szCs w:val="16"/>
            <w:lang w:val="en-US" w:eastAsia="zh-CN"/>
          </w:rPr>
          <m:t>(1−</m:t>
        </m:r>
        <m:r>
          <m:rPr>
            <m:sty m:val="bi"/>
          </m:rPr>
          <w:rPr>
            <w:rFonts w:hint="default" w:ascii="Cambria Math" w:hAnsi="Cambria Math" w:eastAsia="黑体" w:cs="Cambria Math"/>
            <w:sz w:val="16"/>
            <w:szCs w:val="16"/>
            <w:lang w:val="en-US" w:eastAsia="zh-CN"/>
          </w:rPr>
          <m:t>m</m:t>
        </m:r>
        <m:r>
          <m:rPr>
            <m:sty m:val="b"/>
          </m:rPr>
          <w:rPr>
            <w:rFonts w:hint="default" w:ascii="Cambria Math" w:hAnsi="Cambria Math" w:eastAsia="黑体" w:cs="Cambria Math"/>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sk</m:t>
            </m:r>
            <m:ctrlPr>
              <w:rPr>
                <w:rFonts w:hint="eastAsia" w:ascii="Cambria Math" w:hAnsi="黑体" w:eastAsia="黑体" w:cs="黑体"/>
                <w:b/>
                <w:bCs/>
                <w:i w:val="0"/>
                <w:sz w:val="16"/>
                <w:szCs w:val="16"/>
                <w:lang w:val="en-US" w:eastAsia="zh-CN"/>
              </w:rPr>
            </m:ctrlPr>
          </m:sub>
        </m:sSub>
      </m:oMath>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906"/>
        <w:gridCol w:w="1834"/>
        <w:gridCol w:w="1652"/>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增强体类型</w:t>
            </w:r>
          </w:p>
        </w:tc>
        <w:tc>
          <w:tcPr>
            <w:tcW w:w="90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单桩</w:t>
            </w:r>
            <w:r>
              <w:rPr>
                <w:rFonts w:hint="default" w:ascii="Times New Roman" w:hAnsi="Times New Roman" w:cs="Times New Roman"/>
                <w:b/>
                <w:bCs/>
                <w:i/>
                <w:iCs w:val="0"/>
                <w:color w:val="000000"/>
                <w:sz w:val="16"/>
                <w:szCs w:val="16"/>
                <w:vertAlign w:val="baseline"/>
                <w:lang w:val="en-US" w:eastAsia="zh-CN"/>
              </w:rPr>
              <w:t>λ</w:t>
            </w:r>
          </w:p>
        </w:tc>
        <w:tc>
          <w:tcPr>
            <w:tcW w:w="18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β</w:t>
            </w:r>
          </w:p>
        </w:tc>
        <w:tc>
          <w:tcPr>
            <w:tcW w:w="165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f</w:t>
            </w:r>
            <w:r>
              <w:rPr>
                <w:rFonts w:hint="default" w:ascii="Times New Roman" w:hAnsi="Times New Roman" w:cs="Times New Roman"/>
                <w:b/>
                <w:bCs/>
                <w:i w:val="0"/>
                <w:iCs/>
                <w:color w:val="000000"/>
                <w:sz w:val="16"/>
                <w:szCs w:val="16"/>
                <w:vertAlign w:val="subscript"/>
                <w:lang w:val="en-US" w:eastAsia="zh-CN"/>
              </w:rPr>
              <w:t>sk</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a</w:t>
            </w:r>
            <w:r>
              <w:rPr>
                <w:rFonts w:hint="default" w:ascii="Times New Roman" w:hAnsi="Times New Roman" w:cs="Times New Roman"/>
                <w:b/>
                <w:bCs/>
                <w:i w:val="0"/>
                <w:iCs/>
                <w:color w:val="000000"/>
                <w:sz w:val="16"/>
                <w:szCs w:val="16"/>
                <w:vertAlign w:val="subscript"/>
                <w:lang w:val="en-US" w:eastAsia="zh-CN"/>
              </w:rPr>
              <w:t>p</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q</w:t>
            </w:r>
            <w:r>
              <w:rPr>
                <w:rFonts w:hint="default" w:ascii="Times New Roman" w:hAnsi="Times New Roman" w:cs="Times New Roman"/>
                <w:b/>
                <w:bCs/>
                <w:i w:val="0"/>
                <w:iCs/>
                <w:color w:val="000000"/>
                <w:sz w:val="16"/>
                <w:szCs w:val="16"/>
                <w:vertAlign w:val="subscript"/>
                <w:lang w:val="en-US" w:eastAsia="zh-CN"/>
              </w:rPr>
              <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水泥土搅拌桩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对淤泥质土和流塑状软土可取0.1~0.4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b w:val="0"/>
                <w:bCs w:val="0"/>
                <w:i w:val="0"/>
                <w:iCs/>
                <w:color w:val="000000"/>
                <w:sz w:val="16"/>
                <w:szCs w:val="16"/>
                <w:vertAlign w:val="baseline"/>
                <w:lang w:val="en-US" w:eastAsia="zh-CN"/>
              </w:rPr>
              <w:t>对其它土层取0.4~0.8</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取f</w:t>
            </w:r>
            <w:r>
              <w:rPr>
                <w:rFonts w:hint="default" w:ascii="Times New Roman" w:hAnsi="Times New Roman" w:cs="Times New Roman"/>
                <w:b w:val="0"/>
                <w:bCs w:val="0"/>
                <w:i w:val="0"/>
                <w:iCs/>
                <w:color w:val="000000"/>
                <w:sz w:val="16"/>
                <w:szCs w:val="16"/>
                <w:vertAlign w:val="subscript"/>
                <w:lang w:val="en-US" w:eastAsia="zh-CN"/>
              </w:rPr>
              <w:t>ak</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0.4~0.6</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天然地基承载力高时取低值</w:t>
            </w:r>
          </w:p>
        </w:tc>
        <w:tc>
          <w:tcPr>
            <w:tcW w:w="146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iCs w:val="0"/>
                <w:color w:val="000000"/>
                <w:sz w:val="16"/>
                <w:szCs w:val="16"/>
                <w:vertAlign w:val="baseline"/>
                <w:lang w:val="en-US" w:eastAsia="zh-CN"/>
              </w:rPr>
              <w:t>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旋喷桩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由试验确定</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CFG桩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0.8~0.9</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非挤土成桩取f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subscript"/>
                <w:lang w:val="en-US" w:eastAsia="zh-CN"/>
              </w:rPr>
            </w:pPr>
            <w:r>
              <w:rPr>
                <w:rFonts w:hint="default" w:ascii="Times New Roman" w:hAnsi="Times New Roman" w:cs="Times New Roman"/>
                <w:b w:val="0"/>
                <w:bCs w:val="0"/>
                <w:i w:val="0"/>
                <w:iCs/>
                <w:color w:val="000000"/>
                <w:sz w:val="16"/>
                <w:szCs w:val="16"/>
                <w:vertAlign w:val="baseline"/>
                <w:lang w:val="en-US" w:eastAsia="zh-CN"/>
              </w:rPr>
              <w:t>挤土成桩黏性土取f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松散砂土、粉土取1.2</w:t>
            </w:r>
            <w:r>
              <w:rPr>
                <w:rFonts w:hint="default" w:ascii="Times New Roman" w:hAnsi="Times New Roman" w:eastAsia="宋体" w:cs="Times New Roman"/>
                <w:b w:val="0"/>
                <w:bCs w:val="0"/>
                <w:i w:val="0"/>
                <w:iCs/>
                <w:color w:val="000000"/>
                <w:kern w:val="2"/>
                <w:sz w:val="16"/>
                <w:szCs w:val="16"/>
                <w:lang w:val="en-US" w:eastAsia="zh-CN" w:bidi="ar"/>
              </w:rPr>
              <w:t>f</w:t>
            </w:r>
            <w:r>
              <w:rPr>
                <w:rFonts w:hint="default" w:ascii="Times New Roman" w:hAnsi="Times New Roman" w:eastAsia="宋体" w:cs="Times New Roman"/>
                <w:b w:val="0"/>
                <w:bCs w:val="0"/>
                <w:i w:val="0"/>
                <w:iCs/>
                <w:color w:val="000000"/>
                <w:kern w:val="2"/>
                <w:sz w:val="16"/>
                <w:szCs w:val="16"/>
                <w:vertAlign w:val="subscript"/>
                <w:lang w:val="en-US" w:eastAsia="zh-CN" w:bidi="ar"/>
              </w:rPr>
              <w:t>ak</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夯实水泥土桩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其它</w:t>
            </w:r>
          </w:p>
        </w:tc>
        <w:tc>
          <w:tcPr>
            <w:tcW w:w="7323" w:type="dxa"/>
            <w:gridSpan w:val="5"/>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b w:val="0"/>
                <w:bCs w:val="0"/>
                <w:i w:val="0"/>
                <w:iCs/>
                <w:color w:val="000000"/>
                <w:sz w:val="16"/>
                <w:szCs w:val="16"/>
                <w:vertAlign w:val="baseline"/>
                <w:lang w:val="en-US" w:eastAsia="zh-CN"/>
              </w:rPr>
              <w:t>桩长↑</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②</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β</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③挤土桩</w:t>
            </w:r>
            <w:r>
              <w:rPr>
                <w:rFonts w:hint="default" w:ascii="Times New Roman" w:hAnsi="Times New Roman" w:cs="Times New Roman"/>
                <w:b w:val="0"/>
                <w:bCs w:val="0"/>
                <w:i/>
                <w:iCs w:val="0"/>
                <w:color w:val="000000"/>
                <w:sz w:val="16"/>
                <w:szCs w:val="16"/>
                <w:vertAlign w:val="baseline"/>
                <w:lang w:val="en-US" w:eastAsia="zh-CN"/>
              </w:rPr>
              <w:t>β</w:t>
            </w:r>
            <w:r>
              <w:rPr>
                <w:rFonts w:hint="eastAsia" w:ascii="Times New Roman" w:hAnsi="Times New Roman" w:cs="Times New Roman"/>
                <w:b w:val="0"/>
                <w:bCs w:val="0"/>
                <w:i/>
                <w:iCs w:val="0"/>
                <w:color w:val="000000"/>
                <w:sz w:val="16"/>
                <w:szCs w:val="16"/>
                <w:vertAlign w:val="baseline"/>
                <w:lang w:val="en-US" w:eastAsia="zh-CN"/>
              </w:rPr>
              <w:t xml:space="preserve"> </w:t>
            </w:r>
            <w:r>
              <w:rPr>
                <w:rFonts w:hint="eastAsia" w:ascii="Times New Roman" w:hAnsi="Times New Roman" w:cs="Times New Roman"/>
                <w:b w:val="0"/>
                <w:bCs w:val="0"/>
                <w:i w:val="0"/>
                <w:iCs/>
                <w:color w:val="000000"/>
                <w:sz w:val="16"/>
                <w:szCs w:val="16"/>
                <w:vertAlign w:val="baseline"/>
                <w:lang w:val="en-US" w:eastAsia="zh-CN"/>
              </w:rPr>
              <w:t>&gt;非挤土桩</w:t>
            </w:r>
            <w:r>
              <w:rPr>
                <w:rFonts w:hint="default" w:ascii="Times New Roman" w:hAnsi="Times New Roman" w:cs="Times New Roman"/>
                <w:b w:val="0"/>
                <w:bCs w:val="0"/>
                <w:i/>
                <w:iCs w:val="0"/>
                <w:color w:val="000000"/>
                <w:sz w:val="16"/>
                <w:szCs w:val="16"/>
                <w:vertAlign w:val="baseline"/>
                <w:lang w:val="en-US" w:eastAsia="zh-CN"/>
              </w:rPr>
              <w:t>β</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砂石桩和碎石桩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32"/>
        <w:gridCol w:w="732"/>
        <w:gridCol w:w="73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gridSpan w:val="2"/>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垫层的作用</w:t>
            </w:r>
          </w:p>
        </w:tc>
        <w:tc>
          <w:tcPr>
            <w:tcW w:w="732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sz w:val="16"/>
                <w:szCs w:val="16"/>
                <w:vertAlign w:val="baseline"/>
                <w:lang w:val="en-US" w:eastAsia="zh-CN"/>
              </w:rPr>
              <w:t>水平排水，加速固结:减小桩土应力比:使间土分担更多荷:对独立基础起到力扩散，降低桩体竖向应力，减少桩体侧向变形，提高承载力，减少地基变形量</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bCs/>
                <w:i w:val="0"/>
                <w:iCs/>
                <w:color w:val="000000"/>
                <w:sz w:val="16"/>
                <w:szCs w:val="16"/>
                <w:vertAlign w:val="baseline"/>
                <w:lang w:val="en-US" w:eastAsia="zh-CN"/>
              </w:rPr>
              <w:t>对于砂土地基，排水不是主要作用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破坏模式</w:t>
            </w:r>
          </w:p>
        </w:tc>
        <w:tc>
          <w:tcPr>
            <w:tcW w:w="73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轴向荷载作用下，散体材料桩复合地基可能出现</w:t>
            </w:r>
            <w:r>
              <w:rPr>
                <w:rFonts w:hint="eastAsia" w:ascii="Times New Roman" w:hAnsi="Times New Roman" w:cs="Times New Roman"/>
                <w:b/>
                <w:bCs/>
                <w:i w:val="0"/>
                <w:iCs/>
                <w:color w:val="000000"/>
                <w:sz w:val="16"/>
                <w:szCs w:val="16"/>
                <w:vertAlign w:val="baseline"/>
                <w:lang w:val="en-US" w:eastAsia="zh-CN"/>
              </w:rPr>
              <w:t>臌胀</w:t>
            </w:r>
            <w:r>
              <w:rPr>
                <w:rFonts w:hint="default" w:ascii="Times New Roman" w:hAnsi="Times New Roman" w:cs="Times New Roman"/>
                <w:b/>
                <w:bCs/>
                <w:i w:val="0"/>
                <w:iCs/>
                <w:color w:val="000000"/>
                <w:sz w:val="16"/>
                <w:szCs w:val="16"/>
                <w:vertAlign w:val="baseline"/>
                <w:lang w:val="en-US" w:eastAsia="zh-CN"/>
              </w:rPr>
              <w:t>破坏</w:t>
            </w:r>
            <w:r>
              <w:rPr>
                <w:rFonts w:hint="default" w:ascii="Times New Roman" w:hAnsi="Times New Roman" w:cs="Times New Roman"/>
                <w:b w:val="0"/>
                <w:bCs w:val="0"/>
                <w:i w:val="0"/>
                <w:iCs/>
                <w:color w:val="000000"/>
                <w:sz w:val="16"/>
                <w:szCs w:val="16"/>
                <w:vertAlign w:val="baseline"/>
                <w:lang w:val="en-US" w:eastAsia="zh-CN"/>
              </w:rPr>
              <w:t>、刺入破坏、整体剪切破坏和整体滑动破坏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单桩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承载力</w:t>
            </w:r>
          </w:p>
        </w:tc>
        <w:tc>
          <w:tcPr>
            <w:tcW w:w="73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影响因素</w:t>
            </w:r>
          </w:p>
        </w:tc>
        <w:tc>
          <w:tcPr>
            <w:tcW w:w="73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桩周土体所能提供的最大水平侧限力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3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提高措施</w:t>
            </w:r>
          </w:p>
        </w:tc>
        <w:tc>
          <w:tcPr>
            <w:tcW w:w="732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1.扩大桩径，提高置换率</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2.提高桩体材料的密实度从而提高内摩擦角</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3.提高桩周土体的抗剪强度，从而提高桩周土的水平侧限压力</w:t>
            </w:r>
            <w:r>
              <w:rPr>
                <w:rFonts w:hint="eastAsia" w:ascii="Times New Roman" w:hAnsi="Times New Roman" w:cs="Times New Roman"/>
                <w:b w:val="0"/>
                <w:bCs w:val="0"/>
                <w:i w:val="0"/>
                <w:iCs/>
                <w:color w:val="000000"/>
                <w:sz w:val="16"/>
                <w:szCs w:val="16"/>
                <w:vertAlign w:val="baseline"/>
                <w:lang w:val="en-US" w:eastAsia="zh-CN"/>
              </w:rPr>
              <w:t>（影响最大）</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多桩型复合地基</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1623"/>
        <w:gridCol w:w="5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液化地基</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软黏土地基</w:t>
            </w:r>
          </w:p>
        </w:tc>
        <w:tc>
          <w:tcPr>
            <w:tcW w:w="162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短碎石桩+长CFG桩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短碎石桩+长水泥土桩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砂井+水泥土搅拌桩</w:t>
            </w:r>
          </w:p>
        </w:tc>
        <w:tc>
          <w:tcPr>
            <w:tcW w:w="56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碎石桩提高一定的承载力，减小沉降和不均匀沉降</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降低液化或湿陷性，CFG桩提供较大的地基承载力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湿陷性黄土</w:t>
            </w:r>
          </w:p>
        </w:tc>
        <w:tc>
          <w:tcPr>
            <w:tcW w:w="162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灰土挤密桩+CFG桩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灰土桩+挤密 CFG桩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灰土桩+预应力管桩</w:t>
            </w:r>
          </w:p>
        </w:tc>
        <w:tc>
          <w:tcPr>
            <w:tcW w:w="56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长桩作用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提高承载力，减小变形，桩体强度要求高，多采用刚性桩</w:t>
            </w:r>
            <w:r>
              <w:rPr>
                <w:rFonts w:hint="eastAsia" w:ascii="Times New Roman" w:hAnsi="Times New Roman" w:cs="Times New Roman"/>
                <w:b w:val="0"/>
                <w:bCs w:val="0"/>
                <w:i w:val="0"/>
                <w:iCs/>
                <w:color w:val="000000"/>
                <w:sz w:val="16"/>
                <w:szCs w:val="16"/>
                <w:vertAlign w:val="baseline"/>
                <w:lang w:val="en-US" w:eastAsia="zh-CN"/>
              </w:rPr>
              <w:t>，如</w:t>
            </w:r>
            <w:r>
              <w:rPr>
                <w:rFonts w:hint="default" w:ascii="Times New Roman" w:hAnsi="Times New Roman" w:cs="Times New Roman" w:eastAsiaTheme="minorEastAsia"/>
                <w:b w:val="0"/>
                <w:bCs w:val="0"/>
                <w:i w:val="0"/>
                <w:iCs/>
                <w:color w:val="000000"/>
                <w:sz w:val="16"/>
                <w:szCs w:val="16"/>
                <w:vertAlign w:val="baseline"/>
                <w:lang w:val="en-US" w:eastAsia="zh-CN"/>
              </w:rPr>
              <w:t>CFG、钢筋混凝土、预制桩</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对土体进行处理，减小浅层的应力集中提高承载力，减小软土层的不均匀沉降，多采用散体桩、柔性桩，如搅拌桩、碎石桩、灰土桩等</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地基处理方法不适用条件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处理方式</w:t>
            </w:r>
          </w:p>
        </w:tc>
        <w:tc>
          <w:tcPr>
            <w:tcW w:w="731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不适用条件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堆载预压</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边施工，边堆载不适用于</w:t>
            </w:r>
            <w:r>
              <w:rPr>
                <w:rFonts w:hint="default" w:ascii="Times New Roman" w:hAnsi="Times New Roman" w:cs="Times New Roman" w:eastAsiaTheme="minorEastAsia"/>
                <w:b w:val="0"/>
                <w:bCs w:val="0"/>
                <w:i w:val="0"/>
                <w:iCs/>
                <w:color w:val="000000"/>
                <w:sz w:val="16"/>
                <w:szCs w:val="16"/>
                <w:vertAlign w:val="baseline"/>
                <w:lang w:val="en-US" w:eastAsia="zh-CN"/>
              </w:rPr>
              <w:t>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真空预压</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1.处理后地基承载力大于</w:t>
            </w:r>
            <w:r>
              <w:rPr>
                <w:rFonts w:hint="default" w:ascii="Times New Roman" w:hAnsi="Times New Roman" w:cs="Times New Roman" w:eastAsiaTheme="minorEastAsia"/>
                <w:b/>
                <w:bCs/>
                <w:i w:val="0"/>
                <w:iCs/>
                <w:color w:val="000000"/>
                <w:sz w:val="16"/>
                <w:szCs w:val="16"/>
                <w:vertAlign w:val="baseline"/>
                <w:lang w:val="en-US" w:eastAsia="zh-CN"/>
              </w:rPr>
              <w:t>80kPa</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bCs/>
                <w:i w:val="0"/>
                <w:iCs/>
                <w:color w:val="000000"/>
                <w:sz w:val="16"/>
                <w:szCs w:val="16"/>
                <w:vertAlign w:val="baseline"/>
                <w:lang w:val="en-US" w:eastAsia="zh-CN"/>
              </w:rPr>
              <w:t>土中夹砂石</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大于25且</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大于85%的淤泥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1.直接夯实压密饱和软土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2.邻近有建筑物和管线时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强夯置换</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振冲挤密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软弱黏性土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砂石、碎石桩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变形严格要求(如高速公路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、甲、乙级建筑物下有软土地基)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（灰）土挤密桩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大于24%，</w:t>
            </w:r>
            <w:r>
              <w:rPr>
                <w:rFonts w:hint="default" w:ascii="Times New Roman" w:hAnsi="Times New Roman" w:cs="Times New Roman" w:eastAsiaTheme="minorEastAsia"/>
                <w:b w:val="0"/>
                <w:bCs w:val="0"/>
                <w:i/>
                <w:iCs w:val="0"/>
                <w:color w:val="000000"/>
                <w:sz w:val="16"/>
                <w:szCs w:val="16"/>
                <w:vertAlign w:val="baseline"/>
                <w:lang w:val="en-US" w:eastAsia="zh-CN"/>
              </w:rPr>
              <w:t>S</w:t>
            </w:r>
            <w:r>
              <w:rPr>
                <w:rFonts w:hint="eastAsia" w:ascii="Times New Roman" w:hAnsi="Times New Roman" w:cs="Times New Roman"/>
                <w:b w:val="0"/>
                <w:bCs w:val="0"/>
                <w:i w:val="0"/>
                <w:iCs/>
                <w:color w:val="000000"/>
                <w:sz w:val="16"/>
                <w:szCs w:val="16"/>
                <w:vertAlign w:val="subscript"/>
                <w:lang w:val="en-US" w:eastAsia="zh-CN"/>
              </w:rPr>
              <w:t>r</w:t>
            </w:r>
            <w:r>
              <w:rPr>
                <w:rFonts w:hint="default" w:ascii="Times New Roman" w:hAnsi="Times New Roman" w:cs="Times New Roman" w:eastAsiaTheme="minorEastAsia"/>
                <w:b w:val="0"/>
                <w:bCs w:val="0"/>
                <w:i w:val="0"/>
                <w:iCs/>
                <w:color w:val="000000"/>
                <w:sz w:val="16"/>
                <w:szCs w:val="16"/>
                <w:vertAlign w:val="baseline"/>
                <w:lang w:val="en-US" w:eastAsia="zh-CN"/>
              </w:rPr>
              <w:t>大于65%时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桩锤冲扩法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r>
              <w:rPr>
                <w:rFonts w:hint="eastAsia" w:ascii="Times New Roman" w:hAnsi="Times New Roman" w:cs="Times New Roman"/>
                <w:b w:val="0"/>
                <w:bCs w:val="0"/>
                <w:i w:val="0"/>
                <w:iCs/>
                <w:color w:val="000000"/>
                <w:sz w:val="16"/>
                <w:szCs w:val="16"/>
                <w:vertAlign w:val="baseline"/>
                <w:lang w:val="en-US" w:eastAsia="zh-CN"/>
              </w:rPr>
              <w:t xml:space="preserve">    3.淤泥质土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水泥搅拌桩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1.含孤石或障碍物不易清除的杂填土、欠固结软土、硬塑及坚硬黏性土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密实砂土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有地下水渗流的土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2.泥炭质土、有机质土、PH值小于4，</w:t>
            </w:r>
            <w:r>
              <w:rPr>
                <w:rFonts w:hint="eastAsia" w:ascii="Times New Roman" w:hAnsi="Times New Roman" w:cs="Times New Roman"/>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大于25的黏土，腐蚀性环境中</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小于30%(黄土小于25%)时不适用干法</w:t>
            </w:r>
            <w:r>
              <w:rPr>
                <w:rFonts w:hint="eastAsia" w:ascii="Times New Roman" w:hAnsi="Times New Roman" w:cs="Times New Roman"/>
                <w:b w:val="0"/>
                <w:bCs w:val="0"/>
                <w:i w:val="0"/>
                <w:iCs/>
                <w:color w:val="000000"/>
                <w:sz w:val="16"/>
                <w:szCs w:val="16"/>
                <w:vertAlign w:val="baseline"/>
                <w:lang w:val="en-US" w:eastAsia="zh-CN"/>
              </w:rPr>
              <w:t xml:space="preserve">    4.自重湿陷性黄土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旋喷桩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1.含有较多大直径块石、大量植物根茎和高含量的有机质时，以及地下水下流速较大的工程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2.对岩溶地段、永冻土以及对水泥有腐蚀的环境下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夯实水泥土桩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2.处理深度大于15m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CFG桩</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淤泥质土或</w:t>
            </w:r>
            <w:r>
              <w:rPr>
                <w:rFonts w:hint="eastAsia" w:ascii="Times New Roman" w:hAnsi="Times New Roman" w:cs="Times New Roman"/>
                <w:b w:val="0"/>
                <w:bCs w:val="0"/>
                <w:i/>
                <w:iCs w:val="0"/>
                <w:color w:val="000000"/>
                <w:sz w:val="16"/>
                <w:szCs w:val="16"/>
                <w:vertAlign w:val="baseline"/>
                <w:lang w:val="en-US" w:eastAsia="zh-CN"/>
              </w:rPr>
              <w:t>f</w:t>
            </w:r>
            <w:r>
              <w:rPr>
                <w:rFonts w:hint="default" w:ascii="Times New Roman" w:hAnsi="Times New Roman" w:cs="Times New Roman" w:eastAsiaTheme="minorEastAsia"/>
                <w:b w:val="0"/>
                <w:bCs w:val="0"/>
                <w:i w:val="0"/>
                <w:iCs/>
                <w:color w:val="000000"/>
                <w:sz w:val="16"/>
                <w:szCs w:val="16"/>
                <w:vertAlign w:val="subscript"/>
                <w:lang w:val="en-US" w:eastAsia="zh-CN"/>
              </w:rPr>
              <w:t>ak</w:t>
            </w:r>
            <w:r>
              <w:rPr>
                <w:rFonts w:hint="default" w:ascii="Times New Roman" w:hAnsi="Times New Roman" w:cs="Times New Roman" w:eastAsiaTheme="minorEastAsia"/>
                <w:b w:val="0"/>
                <w:bCs w:val="0"/>
                <w:i w:val="0"/>
                <w:iCs/>
                <w:color w:val="000000"/>
                <w:sz w:val="16"/>
                <w:szCs w:val="16"/>
                <w:vertAlign w:val="baseline"/>
                <w:lang w:val="en-US" w:eastAsia="zh-CN"/>
              </w:rPr>
              <w:t>小于75kPa 的土</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消除液化的地基处理措施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方法</w:t>
            </w:r>
          </w:p>
        </w:tc>
        <w:tc>
          <w:tcPr>
            <w:tcW w:w="731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原理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换填法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用非液化土替换全部液化土层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强夯法是反复将夯锤提到一定高度使其自由落下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给地基以冲击和振动能量，产生强大动应力，通过振动压密、振动液化、动力固结和触变效应等作用，从而提高地基的承载力并降低其压缩性，消除液化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振冲砂石桩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沉管碎石桩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（优）</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成孔和挤密过程中，桩周土产生水平和竖向位移，密实度增加，同时土体在振动下，局部液化，颗粒重新排列，提高桩间土的抗剪能力和抗液化能力，另外复合地基中的砂石桩桩体强度远大于桩间土强度，在地震剪应力作用下，应力向桩集中，减少桩间土的剪应力，砂石桩体具有增强抗震能力的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水泥粉煤灰碎石桩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若地基土是松散的饱和粉土、粉细砂，以消除液化和提高地基承载力为目的，应选择振动沉管桩基施工，振动沉管属于挤土成桩工艺，对桩间土具有挤密作用，可处理液化地基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柱锤冲扩桩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柱锤冲扩桩成孔和成桩过程中对原土有动力挤密作用，可处理液化地基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多桩型复核地基</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短碎石桩-长CFG桩、短碎石+长水泥土桩、砂井+水泥土搅拌桩</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提高承载力和减小沉降的措施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818"/>
        <w:gridCol w:w="6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提高承载力</w:t>
            </w:r>
          </w:p>
        </w:tc>
        <w:tc>
          <w:tcPr>
            <w:tcW w:w="81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柔性柱</w:t>
            </w:r>
          </w:p>
        </w:tc>
        <w:tc>
          <w:tcPr>
            <w:tcW w:w="650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2.提高桩体强度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3.增加桩长的作用有限，超过有效桩长后，承载力提高不大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刚性桩</w:t>
            </w:r>
          </w:p>
        </w:tc>
        <w:tc>
          <w:tcPr>
            <w:tcW w:w="650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2.增加桩长，应注意桩端持力层的选择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减小沉降</w:t>
            </w:r>
          </w:p>
        </w:tc>
        <w:tc>
          <w:tcPr>
            <w:tcW w:w="81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50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增加桩长</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灌浆法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51"/>
        <w:gridCol w:w="818"/>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灌浆的目的</w:t>
            </w:r>
          </w:p>
        </w:tc>
        <w:tc>
          <w:tcPr>
            <w:tcW w:w="8136"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灌浆法的实质: 是用气压、液压或电化学原理，把某些能周化的浆液注入天然的和人为的裂缝或孔隙中，以改善各种介质的物理力学性质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防渗</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降低渗透性，减少渗流量，提高抗渗能力，降低孔隙水压力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堵漏</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封填孔洞，堵截流水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加固</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提高岩土体的力学强度和变形模量，恢复混凝土结构及工建筑物的整体性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纠偏</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纠正建筑物倾斜，使已发生不均匀沉降的建筑物恢复原位或减少其倾斜度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渗入性灌浆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各种阻力而渗入孔隙和裂隙，压力越大，吸浆量及浆液扩散距离就越大。这种理论假定，在灌浆过程中地层结构不受扰动和破坏，所用的灌浆压力相对较小。渗入性灌浆适用于中砂、粗砂、砾石地基等，灌浆压力一般较小，为低压灌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劈裂灌浆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（适用于密实砂层）</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在灌浆压力作用下，浆液克服地层的初始应力和抗拉强度，引起岩石或土体结构的破坏和扰动，使地层中原有的孔隙或裂隙扩张，或形成新的裂缝或孔隙，从而提高低透水性地层的可灌性和增大浆液的扩散距离</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在处理软弱地基时，通过较高的灌浆压力作用，浆液将克服地基中的初始应力并且抵抗</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体抗拉强度，使得土体发生劈裂，其方向是沿着垂直于主应力的平面或在土体强度最弱的平面，渗入型注浆法不能灌入的土体部分可顺利实施灌注，从而增大浆液扩散范围</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劈裂灌浆:适用于岩基或粉细砂、黏性土地基:灌浆压力范围变化较大，多为高压灌浆</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[注]</w:t>
            </w:r>
            <w:r>
              <w:rPr>
                <w:rFonts w:hint="default" w:ascii="Times New Roman" w:hAnsi="Times New Roman" w:cs="Times New Roman" w:eastAsiaTheme="minorEastAsia"/>
                <w:b/>
                <w:bCs/>
                <w:i w:val="0"/>
                <w:iCs/>
                <w:color w:val="000000"/>
                <w:kern w:val="2"/>
                <w:sz w:val="16"/>
                <w:szCs w:val="16"/>
                <w:vertAlign w:val="baseline"/>
                <w:lang w:val="en-US" w:eastAsia="zh-CN" w:bidi="ar-SA"/>
              </w:rPr>
              <w:t>劈裂灌浆时劈裂缝的发展走向无法人为控制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（适用于松散砂层）</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通过钻孔向土层中压入浓浆，随着土体的压密和浆液的挤入，将在压浆点周围形成灯泡形空间，并因浆液的挤压作用而产生辐射状上抬力，从而引起地层局部隆起，许多工程利用这一原理纠正了地面建筑物的不均匀沉降</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压密灌浆的主要特点之一是它在较软弱的土体中也具有较好的效果，但注浆速率不能过高，以免引起过高的孔隙水压力。压密灌浆最常用于中砂地基，黏性土地基中若有适宜的排松苏限水条件也可采用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固结灌浆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为改善节理裂隙发育或有破碎带的岩石的物理力学性能而进行的灌浆工程。其主要作用是</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提高岩石的整体性与均质性</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提高岩石的抗压强度与弹性模量</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减少岩石的变形与不均匀沉陷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电动化学灌浆</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其方法是在地基中插入金属电极并通以直流电，借助电渗作用将浆液注入土体中，或将浆液注入电渗区，通过电渗使浆液均匀扩散以提高灌浆效果</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复合地基施工检验的方法与间隔时间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3"/>
        <w:gridCol w:w="4313"/>
        <w:gridCol w:w="30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处理方法</w:t>
            </w:r>
          </w:p>
        </w:tc>
        <w:tc>
          <w:tcPr>
            <w:tcW w:w="431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施工质量检验监测</w:t>
            </w:r>
          </w:p>
        </w:tc>
        <w:tc>
          <w:tcPr>
            <w:tcW w:w="301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竣工验收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换填垫层</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w:t>
            </w:r>
            <w:r>
              <w:rPr>
                <w:rFonts w:hint="eastAsia" w:ascii="Times New Roman" w:hAnsi="Times New Roman" w:cs="Times New Roman"/>
                <w:b w:val="0"/>
                <w:bCs w:val="0"/>
                <w:i w:val="0"/>
                <w:iCs/>
                <w:color w:val="000000"/>
                <w:kern w:val="2"/>
                <w:sz w:val="16"/>
                <w:szCs w:val="16"/>
                <w:vertAlign w:val="baseline"/>
                <w:lang w:val="en-US" w:eastAsia="zh-CN" w:bidi="ar-SA"/>
              </w:rPr>
              <w:t>粘</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性</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、灰土、砂石、煤灰垫层采取环刀取样、静力触探、轻型动力触探、标贯试验</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2.对碎石、矿渣进行重型动力</w:t>
            </w:r>
            <w:r>
              <w:rPr>
                <w:rFonts w:hint="eastAsia" w:ascii="Times New Roman" w:hAnsi="Times New Roman" w:cs="Times New Roman"/>
                <w:b w:val="0"/>
                <w:bCs w:val="0"/>
                <w:i w:val="0"/>
                <w:iCs/>
                <w:color w:val="000000"/>
                <w:kern w:val="2"/>
                <w:sz w:val="16"/>
                <w:szCs w:val="16"/>
                <w:vertAlign w:val="baseline"/>
                <w:lang w:val="en-US" w:eastAsia="zh-CN" w:bidi="ar-SA"/>
              </w:rPr>
              <w:t>触探</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3.压实系数采用灌砂法、</w:t>
            </w:r>
            <w:r>
              <w:rPr>
                <w:rFonts w:hint="eastAsia" w:ascii="Times New Roman" w:hAnsi="Times New Roman" w:cs="Times New Roman"/>
                <w:b w:val="0"/>
                <w:bCs w:val="0"/>
                <w:i w:val="0"/>
                <w:iCs/>
                <w:color w:val="000000"/>
                <w:kern w:val="2"/>
                <w:sz w:val="16"/>
                <w:szCs w:val="16"/>
                <w:vertAlign w:val="baseline"/>
                <w:lang w:val="en-US" w:eastAsia="zh-CN" w:bidi="ar-SA"/>
              </w:rPr>
              <w:t>灌水法，测干密度，压实系数</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静载荷试验检验垫层承载力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压实地基</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塑料排水带进行纵向通水量等监测、预压</w:t>
            </w:r>
            <w:r>
              <w:rPr>
                <w:rFonts w:hint="eastAsia" w:ascii="Times New Roman" w:hAnsi="Times New Roman" w:cs="Times New Roman"/>
                <w:b w:val="0"/>
                <w:bCs w:val="0"/>
                <w:i w:val="0"/>
                <w:iCs/>
                <w:color w:val="000000"/>
                <w:kern w:val="2"/>
                <w:sz w:val="16"/>
                <w:szCs w:val="16"/>
                <w:vertAlign w:val="baseline"/>
                <w:lang w:val="en-US" w:eastAsia="zh-CN" w:bidi="ar-SA"/>
              </w:rPr>
              <w:t>工程对地基</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竖向变形、水平位移和孔隙水压力监测，真空一堆载联合预压，尚应进行膜下真空度和预压法地下水的监测</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原位试验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十字板剪切试验、静力触探</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室内试验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地基承载力静载荷实验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地基均匀性检验可采用动力触探、标贯试验</w:t>
            </w:r>
            <w:r>
              <w:rPr>
                <w:rFonts w:hint="eastAsia" w:ascii="Times New Roman" w:hAnsi="Times New Roman" w:cs="Times New Roman"/>
                <w:b w:val="0"/>
                <w:bCs w:val="0"/>
                <w:i w:val="0"/>
                <w:iCs/>
                <w:color w:val="000000"/>
                <w:kern w:val="2"/>
                <w:sz w:val="16"/>
                <w:szCs w:val="16"/>
                <w:vertAlign w:val="baseline"/>
                <w:lang w:val="en-US" w:eastAsia="zh-CN" w:bidi="ar-SA"/>
              </w:rPr>
              <w:t>、静力触探等原位测试及土工试验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地基承载力用静载荷试验、其他原位测试和室内土工试验综合确定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强夯置换</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强夯置换采用超重型、重型动力触探</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单墩静载荷试验、动力触探查明置换墩着底情况及密度随深度的变化情况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振冲</w:t>
            </w:r>
            <w:r>
              <w:rPr>
                <w:rFonts w:hint="eastAsia" w:ascii="Times New Roman" w:hAnsi="Times New Roman" w:cs="Times New Roman"/>
                <w:b w:val="0"/>
                <w:bCs w:val="0"/>
                <w:i w:val="0"/>
                <w:iCs/>
                <w:color w:val="000000"/>
                <w:kern w:val="2"/>
                <w:sz w:val="16"/>
                <w:szCs w:val="16"/>
                <w:vertAlign w:val="baseline"/>
                <w:lang w:val="en-US" w:eastAsia="zh-CN" w:bidi="ar-SA"/>
              </w:rPr>
              <w:t>碎石</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沉管砂石桩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桩体采用重型动力触探，</w:t>
            </w:r>
            <w:r>
              <w:rPr>
                <w:rFonts w:hint="eastAsia" w:ascii="Times New Roman" w:hAnsi="Times New Roman" w:cs="Times New Roman"/>
                <w:b w:val="0"/>
                <w:bCs w:val="0"/>
                <w:i w:val="0"/>
                <w:iCs/>
                <w:color w:val="000000"/>
                <w:kern w:val="2"/>
                <w:sz w:val="16"/>
                <w:szCs w:val="16"/>
                <w:vertAlign w:val="baseline"/>
                <w:lang w:val="en-US" w:eastAsia="zh-CN" w:bidi="ar-SA"/>
              </w:rPr>
              <w:t>桩间土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采用标贯试验、静力触探、动力触探，欲消除液化作用的地基用标贯试验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水泥土搅拌桩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3d 轻型动力触探检查上部桩身均匀性</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7</w:t>
            </w:r>
            <w:r>
              <w:rPr>
                <w:rFonts w:hint="eastAsia" w:ascii="Times New Roman" w:hAnsi="Times New Roman" w:cs="Times New Roman"/>
                <w:b w:val="0"/>
                <w:bCs w:val="0"/>
                <w:i w:val="0"/>
                <w:iCs/>
                <w:color w:val="000000"/>
                <w:kern w:val="2"/>
                <w:sz w:val="16"/>
                <w:szCs w:val="16"/>
                <w:vertAlign w:val="baseline"/>
                <w:lang w:val="en-US" w:eastAsia="zh-CN" w:bidi="ar-SA"/>
              </w:rPr>
              <w:t>d</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 xml:space="preserve"> 浅部开挖头检查</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w:t>
            </w:r>
            <w:r>
              <w:rPr>
                <w:rFonts w:hint="eastAsia" w:ascii="Times New Roman" w:hAnsi="Times New Roman" w:cs="Times New Roman"/>
                <w:b w:val="0"/>
                <w:bCs w:val="0"/>
                <w:i w:val="0"/>
                <w:iCs/>
                <w:color w:val="000000"/>
                <w:kern w:val="2"/>
                <w:sz w:val="16"/>
                <w:szCs w:val="16"/>
                <w:vertAlign w:val="baseline"/>
                <w:lang w:val="en-US" w:eastAsia="zh-CN" w:bidi="ar-SA"/>
              </w:rPr>
              <w:t>载荷</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试验</w:t>
            </w:r>
            <w:r>
              <w:rPr>
                <w:rFonts w:hint="eastAsia" w:ascii="Times New Roman" w:hAnsi="Times New Roman" w:cs="Times New Roman"/>
                <w:b w:val="0"/>
                <w:bCs w:val="0"/>
                <w:i w:val="0"/>
                <w:iCs/>
                <w:color w:val="000000"/>
                <w:kern w:val="2"/>
                <w:sz w:val="16"/>
                <w:szCs w:val="16"/>
                <w:vertAlign w:val="baseline"/>
                <w:lang w:val="en-US" w:eastAsia="zh-CN" w:bidi="ar-SA"/>
              </w:rPr>
              <w:t>，对变形有严格要求的工程，成桩 28d 后钻芯取样做抗压强度试验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旋喷桩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开挖检查、钻孔取芯、标贯试验、动力触探、静载荷实验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灰土挤密桩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土挤密桩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检测扯孔内灰土、土填料的平均压实系数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检测桩间土的平均挤密系数</w:t>
            </w:r>
            <w:r>
              <w:rPr>
                <w:rFonts w:hint="eastAsia" w:ascii="Times New Roman" w:hAnsi="Times New Roman" w:cs="Times New Roman"/>
                <w:b w:val="0"/>
                <w:bCs w:val="0"/>
                <w:i w:val="0"/>
                <w:iCs/>
                <w:color w:val="000000"/>
                <w:kern w:val="2"/>
                <w:sz w:val="16"/>
                <w:szCs w:val="16"/>
                <w:vertAlign w:val="baseline"/>
                <w:lang w:val="en-US" w:eastAsia="zh-CN" w:bidi="ar-SA"/>
              </w:rPr>
              <w:t>；对垫层测干密度，压实系数</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对湿陷性进行现场</w:t>
            </w:r>
            <w:r>
              <w:rPr>
                <w:rFonts w:hint="eastAsia" w:ascii="Times New Roman" w:hAnsi="Times New Roman" w:cs="Times New Roman"/>
                <w:b w:val="0"/>
                <w:bCs w:val="0"/>
                <w:i w:val="0"/>
                <w:iCs/>
                <w:color w:val="000000"/>
                <w:kern w:val="2"/>
                <w:sz w:val="16"/>
                <w:szCs w:val="16"/>
                <w:vertAlign w:val="baseline"/>
                <w:lang w:val="en-US" w:eastAsia="zh-CN" w:bidi="ar-SA"/>
              </w:rPr>
              <w:t>浸水</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载荷试验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夯实水泥土桩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检验桩体干密度</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复合地基静载荷试验和单桩静载荷试验，对大型工程</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进行多桩复合地基静载荷</w:t>
            </w:r>
            <w:r>
              <w:rPr>
                <w:rFonts w:hint="eastAsia" w:ascii="Times New Roman" w:hAnsi="Times New Roman" w:cs="Times New Roman"/>
                <w:b w:val="0"/>
                <w:bCs w:val="0"/>
                <w:i w:val="0"/>
                <w:iCs/>
                <w:color w:val="000000"/>
                <w:kern w:val="2"/>
                <w:sz w:val="16"/>
                <w:szCs w:val="16"/>
                <w:vertAlign w:val="baseline"/>
                <w:lang w:val="en-US" w:eastAsia="zh-CN" w:bidi="ar-SA"/>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水泥粉煤灰碎石桩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混合料坍落度、桩数桩位偏差，</w:t>
            </w:r>
            <w:r>
              <w:rPr>
                <w:rFonts w:hint="eastAsia" w:ascii="Times New Roman" w:hAnsi="Times New Roman" w:cs="Times New Roman"/>
                <w:b w:val="0"/>
                <w:bCs w:val="0"/>
                <w:i w:val="0"/>
                <w:iCs/>
                <w:color w:val="000000"/>
                <w:kern w:val="2"/>
                <w:sz w:val="16"/>
                <w:szCs w:val="16"/>
                <w:vertAlign w:val="baseline"/>
                <w:lang w:val="en-US" w:eastAsia="zh-CN" w:bidi="ar-SA"/>
              </w:rPr>
              <w:t>褥垫层</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厚度</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夯填度、桩体试块抗压强度，桩间土用静力触探、标贯试验、载荷试验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复合地基静载荷试验和单桩静载荷试验，低应变检测桩身完整性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柱锤冲扩桩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重型动力触探、标贯试验对桩身、桩间土检验</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处理黄土时对垫层测干密度，压实系数</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水泥为主剂的注浆</w:t>
            </w:r>
            <w:r>
              <w:rPr>
                <w:rFonts w:hint="eastAsia" w:ascii="Times New Roman" w:hAnsi="Times New Roman" w:cs="Times New Roman"/>
                <w:b w:val="0"/>
                <w:bCs w:val="0"/>
                <w:i w:val="0"/>
                <w:iCs/>
                <w:color w:val="000000"/>
                <w:kern w:val="2"/>
                <w:sz w:val="16"/>
                <w:szCs w:val="16"/>
                <w:vertAlign w:val="baseline"/>
                <w:lang w:val="en-US" w:eastAsia="zh-CN" w:bidi="ar-SA"/>
              </w:rPr>
              <w:t>：标贯、轻型动探、静力触探、面波法，取样进行室内试验，检验土体压缩性、强度或渗透性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硅化注浆</w:t>
            </w:r>
            <w:r>
              <w:rPr>
                <w:rFonts w:hint="eastAsia" w:ascii="Times New Roman" w:hAnsi="Times New Roman" w:cs="Times New Roman"/>
                <w:b w:val="0"/>
                <w:bCs w:val="0"/>
                <w:i w:val="0"/>
                <w:iCs/>
                <w:color w:val="000000"/>
                <w:kern w:val="2"/>
                <w:sz w:val="16"/>
                <w:szCs w:val="16"/>
                <w:vertAlign w:val="baseline"/>
                <w:lang w:val="en-US" w:eastAsia="zh-CN" w:bidi="ar-SA"/>
              </w:rPr>
              <w:t>：动力触探或其他原位测试检验地基均匀性，室内试验测定压缩性和湿陷性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碱液加固</w:t>
            </w:r>
            <w:r>
              <w:rPr>
                <w:rFonts w:hint="eastAsia" w:ascii="Times New Roman" w:hAnsi="Times New Roman" w:cs="Times New Roman"/>
                <w:b w:val="0"/>
                <w:bCs w:val="0"/>
                <w:i w:val="0"/>
                <w:iCs/>
                <w:color w:val="000000"/>
                <w:kern w:val="2"/>
                <w:sz w:val="16"/>
                <w:szCs w:val="16"/>
                <w:vertAlign w:val="baseline"/>
                <w:lang w:val="en-US" w:eastAsia="zh-CN" w:bidi="ar-SA"/>
              </w:rPr>
              <w:t>：开挖、钻孔取样进行无侧限抗压强度试验和水稳性试验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静</w:t>
            </w:r>
            <w:r>
              <w:rPr>
                <w:rFonts w:hint="eastAsia" w:ascii="Times New Roman" w:hAnsi="Times New Roman" w:cs="Times New Roman"/>
                <w:b w:val="0"/>
                <w:bCs w:val="0"/>
                <w:i w:val="0"/>
                <w:iCs/>
                <w:color w:val="000000"/>
                <w:sz w:val="16"/>
                <w:szCs w:val="16"/>
                <w:vertAlign w:val="baseline"/>
                <w:lang w:val="en-US" w:eastAsia="zh-CN"/>
              </w:rPr>
              <w:t>载荷</w:t>
            </w:r>
            <w:r>
              <w:rPr>
                <w:rFonts w:hint="default" w:ascii="Times New Roman" w:hAnsi="Times New Roman" w:cs="Times New Roman" w:eastAsiaTheme="minorEastAsia"/>
                <w:b w:val="0"/>
                <w:bCs w:val="0"/>
                <w:i w:val="0"/>
                <w:iCs/>
                <w:color w:val="000000"/>
                <w:sz w:val="16"/>
                <w:szCs w:val="16"/>
                <w:vertAlign w:val="baseline"/>
                <w:lang w:val="en-US" w:eastAsia="zh-CN"/>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休止时间影响因素</w:t>
            </w:r>
          </w:p>
        </w:tc>
        <w:tc>
          <w:tcPr>
            <w:tcW w:w="7324"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①桩身强度    ②桩周土的强度恢复情况    ③桩周土中的孔隙水压力消散情况</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盾构推进引起的地面沉降</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976"/>
        <w:gridCol w:w="29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沉降类型</w:t>
            </w:r>
          </w:p>
        </w:tc>
        <w:tc>
          <w:tcPr>
            <w:tcW w:w="4394"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主要原因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初始沉降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地下水位降低，土体受挤压密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开挖面前方隆陷</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隆起：盾构机推力过大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沉降：盾构机推力过小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盾构通过时地面沉降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施工震动扰动，剪切错动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盾尾沉降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土体失去盾构支撑，管片壁后注浆不及时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固结沉降</w:t>
            </w:r>
          </w:p>
        </w:tc>
        <w:tc>
          <w:tcPr>
            <w:tcW w:w="4394"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土体后续时效变形</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既有建筑物地基加固与基础托换施工流程</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加固方法</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基础补强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注浆类型按加固机理可分为充填注浆、渗透注浆、挤密注浆和劈裂注浆等四种方法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可根据不同的地层选用不同的注浆类型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搭设钻孔平台</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分区或分段钻孔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搅拌浆液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等强(混凝土形成强度)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效果检测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塑料阀管</w:t>
            </w:r>
            <w:r>
              <w:rPr>
                <w:rFonts w:hint="eastAsia" w:ascii="Times New Roman" w:hAnsi="Times New Roman" w:cs="Times New Roman"/>
                <w:b w:val="0"/>
                <w:bCs w:val="0"/>
                <w:i w:val="0"/>
                <w:iCs/>
                <w:color w:val="000000"/>
                <w:sz w:val="16"/>
                <w:szCs w:val="16"/>
                <w:vertAlign w:val="baseline"/>
                <w:lang w:val="en-US" w:eastAsia="zh-CN"/>
              </w:rPr>
              <w:t>：钻机与灌浆设备就位→</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→灌入封闭泥浆→插入塑料单向阀管→插入双向密封注浆芯管→注浆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加大基础</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底面积法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挖出原基础</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清理原基础面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凿露钢筋或钻孔植筋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焊接、绑扎钢筋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浇筑混凝土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拆除模板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回填土方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加深基础法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开挖托换导坑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将导坑扩展至托换基础下方</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挖至基础下方持力层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用混凝土浇筑基础下方导坑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填实现浇混凝土与基础间空隙，重复上述步骤，直至基础托换全部完成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铺杆静压桩法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挖出基础工作面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开凿压桩孔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钻锚杆孔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埋设</w:t>
            </w:r>
            <w:r>
              <w:rPr>
                <w:rFonts w:hint="eastAsia" w:ascii="Times New Roman" w:hAnsi="Times New Roman" w:cs="Times New Roman"/>
                <w:b w:val="0"/>
                <w:bCs w:val="0"/>
                <w:i w:val="0"/>
                <w:iCs/>
                <w:color w:val="000000"/>
                <w:sz w:val="16"/>
                <w:szCs w:val="16"/>
                <w:vertAlign w:val="baseline"/>
                <w:lang w:val="en-US" w:eastAsia="zh-CN"/>
              </w:rPr>
              <w:t>锚杆→</w:t>
            </w:r>
            <w:r>
              <w:rPr>
                <w:rFonts w:hint="default" w:ascii="Times New Roman" w:hAnsi="Times New Roman" w:cs="Times New Roman" w:eastAsiaTheme="minorEastAsia"/>
                <w:b w:val="0"/>
                <w:bCs w:val="0"/>
                <w:i w:val="0"/>
                <w:iCs/>
                <w:color w:val="000000"/>
                <w:sz w:val="16"/>
                <w:szCs w:val="16"/>
                <w:vertAlign w:val="baseline"/>
                <w:lang w:val="en-US" w:eastAsia="zh-CN"/>
              </w:rPr>
              <w:t>安装压桩架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就位桩孔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起吊下节桩段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重复接桩压桩直至满足设计要求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桩与基础连接</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压桩施工完成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树根桩法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安放钢筋笼和注浆管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填灌碎石</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拔注浆管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振捣桩头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浇筑承台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坑式静压桩法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回填托换坑及导坑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预压桩托换法</w:t>
            </w: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安装托换千斤顶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塞入钢柱及钢垫板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托换千斤顶卸载至零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钢柱两端与桩顶和基底焊接牢固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支模、浇筑混凝土承台</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围岩稳定性的影响因素及稳定性评价指标</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围岩稳定性的影响因素</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1.岩体完整性</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岩体是否完整，岩体中各种节理、片理、层理、断层等结构面的发育程度对洞室稳定性影响极大。主要考虑三方面问题</w:t>
            </w: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结构面的组数、密度和规模</w:t>
            </w: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结构面的强度</w:t>
            </w: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结构面的产状、组合形态及其与洞壁的关系。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2.岩石强度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其主要取决于岩石的物质成分、组织结构、胶结程度和风化程度等。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3.地下水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地下水的长期作用将降低岩石强度、软弱夹层强度，加速岩石风化，对软弱结构面起软化润滑作用，促使岩块极易坍塌。如遇膨胀性岩石，还会引起膨胀，增加围岩压力。地下水位很高，还有静水压力作用，对洞室稳定不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4.工程因素</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洞室的埋深、几何形状、跨度、高度，洞室立体组合关系及间距，施工方法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围岩暴露时间及衬砌类型等，对围岩应力的大小和性质影响很大。对深埋洞室必须考虑地应力的影响。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w:t>
            </w:r>
            <w:r>
              <w:rPr>
                <w:rFonts w:hint="eastAsia" w:ascii="Times New Roman" w:hAnsi="Times New Roman" w:cs="Times New Roman"/>
                <w:b w:val="0"/>
                <w:bCs w:val="0"/>
                <w:i w:val="0"/>
                <w:iCs/>
                <w:color w:val="000000"/>
                <w:sz w:val="16"/>
                <w:szCs w:val="16"/>
                <w:vertAlign w:val="baseline"/>
                <w:lang w:val="en-US" w:eastAsia="zh-CN"/>
              </w:rPr>
              <w:t>性评价指标的选择</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前主要是应用围岩位移、位移速率、围岩位移加速度(由变位-时间曲线看出)等数据，此处的变位数据包括隧道拱顶下沉量、洞顶围岩内部垂直位移量、洞壁围岩径向位移量、隧道收敛位移量。此外还要测试初期支护承受的应力、应变、锚杆的拉拔力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围岩稳定性的判据</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1.实测位移值不应大于隧道的极限位移</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一般情况下将隧道设计的预留变形量作为极限位移，设计变形量应根据检测结果不断修正</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2.根据位移速率变化</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速率大于 1.0mm/d 时，围岩处于急剧变形状态，应加强初期支护，速率变化在 0.2~1.0mm/d 时，应加强观测，做好加固的准备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当速率小于 0.2mm/d 时，围岩达到基本稳定。上述标准适用于一般隧道情形，对于高地应力软岩、膨胀岩土、流变端变岩上和挤压地层等不良地质和特殊性岩土中，需根据具体情况指定判定标准</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3.根据位移速率变化趋势判断</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当围岩位移速率不断下降，围岩出于稳定状态;当围岩位移速率保持不变时，围岩尚不稳定，应加强支护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当围岩位移速率上升时，围岩处于危险状态必须立即停止掘进，采取应急措施</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4.初期支护承受的应力、应变、压力实测值与允许值之比≥0.8 时，围岩不稳定，应加强初期支护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初期支护承受的应力、应变、压力实测值与允许值之比&lt;0.8 时，围岩出于稳定状态</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硐室围岩松驰圈(带)及其声波曲线分析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硐室开挖打破了岩体原有的平衡条件，导致岩体内的应力重分布，出现塑性变形，形成</w:t>
            </w:r>
            <w:r>
              <w:rPr>
                <w:rFonts w:hint="eastAsia" w:ascii="Times New Roman" w:hAnsi="Times New Roman" w:cs="Times New Roman"/>
                <w:b w:val="0"/>
                <w:bCs w:val="0"/>
                <w:i w:val="0"/>
                <w:iCs/>
                <w:color w:val="000000"/>
                <w:kern w:val="2"/>
                <w:sz w:val="16"/>
                <w:szCs w:val="16"/>
                <w:vertAlign w:val="baseline"/>
                <w:lang w:val="en-US" w:eastAsia="zh-CN" w:bidi="ar-SA"/>
              </w:rPr>
              <w:t>非弹性</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变形区，即应力降低区，在洞壁周边的岩体将出现应力释放的松弛带，地应力向外围</w:t>
            </w:r>
            <w:r>
              <w:rPr>
                <w:rFonts w:hint="eastAsia" w:ascii="Times New Roman" w:hAnsi="Times New Roman" w:cs="Times New Roman"/>
                <w:b w:val="0"/>
                <w:bCs w:val="0"/>
                <w:i w:val="0"/>
                <w:iCs/>
                <w:color w:val="000000"/>
                <w:kern w:val="2"/>
                <w:sz w:val="16"/>
                <w:szCs w:val="16"/>
                <w:vertAlign w:val="baseline"/>
                <w:lang w:val="en-US" w:eastAsia="zh-CN" w:bidi="ar-SA"/>
              </w:rPr>
              <w:t>转移，</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形成弹性变形区，即应力升高区，这两个区(即应力降低区+应力升高区)合称为硐室松弛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圈的大小定量反映了岩体强度和受力状况及它们之间的联系，主要取决于岩体所处的地质构造情况、岩石的物理力学特征及地下碉室在岩体中的部位、形状、洞径大小和施工方法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研究</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松弛圈的意义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是分析围岩稳定、确定岩体荷载、确定锚喷范围和厚度、确定</w:t>
            </w:r>
            <w:r>
              <w:rPr>
                <w:rFonts w:hint="eastAsia" w:ascii="Times New Roman" w:hAnsi="Times New Roman" w:cs="Times New Roman"/>
                <w:b w:val="0"/>
                <w:bCs w:val="0"/>
                <w:i w:val="0"/>
                <w:iCs/>
                <w:color w:val="000000"/>
                <w:sz w:val="16"/>
                <w:szCs w:val="16"/>
                <w:vertAlign w:val="baseline"/>
                <w:lang w:val="en-US" w:eastAsia="zh-CN"/>
              </w:rPr>
              <w:t>衬砌</w:t>
            </w:r>
            <w:r>
              <w:rPr>
                <w:rFonts w:hint="default" w:ascii="Times New Roman" w:hAnsi="Times New Roman" w:cs="Times New Roman" w:eastAsiaTheme="minorEastAsia"/>
                <w:b w:val="0"/>
                <w:bCs w:val="0"/>
                <w:i w:val="0"/>
                <w:iCs/>
                <w:color w:val="000000"/>
                <w:sz w:val="16"/>
                <w:szCs w:val="16"/>
                <w:vertAlign w:val="baseline"/>
                <w:lang w:val="en-US" w:eastAsia="zh-CN"/>
              </w:rPr>
              <w:t>支护方式的一个重要参数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eastAsia" w:ascii="Times New Roman" w:hAnsi="Times New Roman" w:cs="Times New Roman"/>
                <w:b w:val="0"/>
                <w:bCs w:val="0"/>
                <w:i w:val="0"/>
                <w:iCs/>
                <w:color w:val="000000"/>
                <w:kern w:val="2"/>
                <w:sz w:val="16"/>
                <w:szCs w:val="16"/>
                <w:vertAlign w:val="baseline"/>
                <w:lang w:val="en-US" w:eastAsia="zh-CN" w:bidi="ar-SA"/>
              </w:rPr>
              <w:t>岩体松弛圈的物理特征</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表现为岩体结构松弛，松弛层之外应力集中并成为碉室的持力层，持力层之外为应力过渡带并最终过渡到原始应力状态，不同应力带的物理参数差异明显，采用物探方法测定松弛圈厚度就是依据围岩不同性质的各带具有不同的物性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1.弹性波测试松弛圈厚度时，松弛层表现为低速层，持力层表现为高速区，初始应力区波速为正常值，通过测定沿垂直洞壁方向且一定深度的岩体波速的变化规律并对各速度区进行分析即可确定松弛层厚度。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2.应用探地雷达测定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主要是利用地下工程围岩松弛圈内存在的许多裂缝界而穿括其中，界面处物性差异很大，导致材料的相对介电常数差别很大，从而会使电磁波产生反射回波信号，根据反射回波信号的同相轴位置变化来判定松弛圈厚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松弛圈的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物探方法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主要探测方法有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单孔声波测试、穿透声波测试、钻孔全孔壁数字成像等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辅助探测方法有：浅层折射波法、瑞利波法、地震 CT 法、探地雷达等。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典型声波测试曲线的分析</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声波法测试的原理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利用波速随着围岩体裂隙发育而降低，随应力增大而加快的特性，可以通过测试超声波波速的变化，可以判断围岩松弛圈的范围。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影响超声波在围岩体中传播速度的主要因素有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围岩体矿物成分、围岩体结构构造特性、</w:t>
            </w:r>
            <w:r>
              <w:rPr>
                <w:rFonts w:hint="eastAsia" w:ascii="Times New Roman" w:hAnsi="Times New Roman" w:cs="Times New Roman"/>
                <w:b w:val="0"/>
                <w:bCs w:val="0"/>
                <w:i w:val="0"/>
                <w:iCs/>
                <w:color w:val="000000"/>
                <w:sz w:val="16"/>
                <w:szCs w:val="16"/>
                <w:vertAlign w:val="baseline"/>
                <w:lang w:val="en-US" w:eastAsia="zh-CN"/>
              </w:rPr>
              <w:t>围岩体的空隙率（包括孔隙、裂隙、溶隙等）、围岩体所在区域的地应力、围岩体含水率、温度等。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将各测点所测得单孔（穿透）波速值绘制成波速~孔深变化的曲线，有以下几种类型：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1、如图(</w:t>
            </w:r>
            <w:r>
              <w:rPr>
                <w:rFonts w:hint="eastAsia" w:ascii="Times New Roman" w:hAnsi="Times New Roman" w:cs="Times New Roman"/>
                <w:b w:val="0"/>
                <w:bCs w:val="0"/>
                <w:i w:val="0"/>
                <w:iCs/>
                <w:color w:val="000000"/>
                <w:sz w:val="16"/>
                <w:szCs w:val="16"/>
                <w:vertAlign w:val="baseline"/>
                <w:lang w:val="en-US" w:eastAsia="zh-CN"/>
              </w:rPr>
              <w:t>a</w:t>
            </w:r>
            <w:r>
              <w:rPr>
                <w:rFonts w:hint="default" w:ascii="Times New Roman" w:hAnsi="Times New Roman" w:cs="Times New Roman" w:eastAsiaTheme="minorEastAsia"/>
                <w:b w:val="0"/>
                <w:bCs w:val="0"/>
                <w:i w:val="0"/>
                <w:iCs/>
                <w:color w:val="000000"/>
                <w:sz w:val="16"/>
                <w:szCs w:val="16"/>
                <w:vertAlign w:val="baseline"/>
                <w:lang w:val="en-US" w:eastAsia="zh-CN"/>
              </w:rPr>
              <w:t>)所示，可清晰划分出应力上升带和不受开挖彩响的原始应力带，洞壁附近波速降低，反映了表层岩体松弛，随着深度增加，出现波速增高，这是硐室周边的应力集中区，波速增高表明该区岩体完整，应力集中明显</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2、如图(b)所示，当洞径较小且四周岩体完整坚硬时，洞壁只有弹性形变，出现应力集中现象，无松弛区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3、如图(</w:t>
            </w:r>
            <w:r>
              <w:rPr>
                <w:rFonts w:hint="eastAsia" w:ascii="Times New Roman" w:hAnsi="Times New Roman" w:cs="Times New Roman"/>
                <w:b w:val="0"/>
                <w:bCs w:val="0"/>
                <w:i w:val="0"/>
                <w:iCs/>
                <w:color w:val="000000"/>
                <w:sz w:val="16"/>
                <w:szCs w:val="16"/>
                <w:vertAlign w:val="baseline"/>
                <w:lang w:val="en-US" w:eastAsia="zh-CN"/>
              </w:rPr>
              <w:t>c</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)所示，洞壁松弛不明显，各测点波速基本一致，波速较高，但总的波速接近于完整岩体波速</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4、如图</w:t>
            </w:r>
            <w:r>
              <w:rPr>
                <w:rFonts w:hint="eastAsia" w:ascii="Times New Roman" w:hAnsi="Times New Roman" w:cs="Times New Roman"/>
                <w:b w:val="0"/>
                <w:bCs w:val="0"/>
                <w:i w:val="0"/>
                <w:iCs/>
                <w:color w:val="000000"/>
                <w:sz w:val="16"/>
                <w:szCs w:val="16"/>
                <w:vertAlign w:val="baseline"/>
                <w:lang w:val="en-US" w:eastAsia="zh-CN"/>
              </w:rPr>
              <w:t>(d)</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所示，洞壁松弛，应力集中现象不明显，这种现象经常出现在洞壁较为破碎的</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center"/>
        <w:textAlignment w:val="auto"/>
      </w:pPr>
      <w:r>
        <w:drawing>
          <wp:inline distT="0" distB="0" distL="114300" distR="114300">
            <wp:extent cx="4118610" cy="3060065"/>
            <wp:effectExtent l="0" t="0" r="15240"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4118610" cy="3060065"/>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滑坡标志及各发展阶段特征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251"/>
        <w:gridCol w:w="7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稳定滑坡标志</w:t>
            </w:r>
          </w:p>
        </w:tc>
        <w:tc>
          <w:tcPr>
            <w:tcW w:w="753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1.后壁较高，长满了树木，出现“马刀树”，找不到擦痕，且十分稳定</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2.滑坡体上的台地已变平缓，滑坡后壁变缓并生长草木，没有崩塌发生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3.滑坡前缘的斜坡较陡，土体密实，长满树木，无松散崩塌现象，前缘迎河部分有被河水冲刷的现象</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4.目前的河水远离滑坡的舌部，甚至在舌部外已有漫滩、阶地分布</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5.滑坡体两侧的自然冲刷沟切割很深，甚至已达基岩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6.滑坡体比较干燥，地表一般没有泉水或湿地，滑坡体舌部的坡脚有清澈的泉水出流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不稳定滑坡标志</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1.滑坡体表面总体坡度较陡，而且延伸很长，坡面高低不平</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2.有滑坡平台，面积不大，且有向下缓倾的现象和未夷平现象</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3.滑坡体表面有泉水、湿地、滑坡两侧多为新生冲沟，沟底多为松散堆积物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4.滑坡表面有不均匀沉陷的局部平台，参差不齐</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5.滑坡前缘上石松散，小型崩塌时有发生，潜坡舌部的坡脚有时有季节性、不稳定泉水出露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主要标志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蠕动阶段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斜坡面上出现不连续裂缝，局部有隆起、错台或向坡下微量移动现象。在蠕动、挤压剧烈地段，可见垂直裂缝或弧形展布的裂缝并有局部的小规模坍塌</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弱变形阶段：滑坡后壁先出现张拉裂缝</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强变形阶段：滑坡后缘张开，拉张裂缝加宽，滑坡体两侧开始出现羽毛状剪切裂缝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滑动阶段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滑坡周界已形成，主裂缝贯通，错台清晰，滑动面已形成。滑坡体沿滑动面缓慢或快速整体向坡下移动。滑坡后缘张裂缝逐渐加宽，水塘、泉水突然干涸或混浊</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滑坡前部鼓胀突起、有坍塌现象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坡脚有泉水、湿地出露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坡面上生长的树木歪斜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稳定阶段</w:t>
            </w:r>
          </w:p>
        </w:tc>
        <w:tc>
          <w:tcPr>
            <w:tcW w:w="753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滑坡体坡面平缓，滑坡舌伸入阶地，滑坡受挤压逐渐密实。坡面上的裂缝、错台多被充填或消失，坡面生长植被或辟为耕地</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滑坡的勘察</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900"/>
        <w:gridCol w:w="67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岩土工程勘察规范</w:t>
            </w:r>
          </w:p>
        </w:tc>
        <w:tc>
          <w:tcPr>
            <w:tcW w:w="90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勘探方法</w:t>
            </w:r>
          </w:p>
        </w:tc>
        <w:tc>
          <w:tcPr>
            <w:tcW w:w="67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钻探、触探、探井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勘探线</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除沿主滑方向布置外，在其两侧滑坡体外也应布置一定数量勘探线，勘探点间距不宜大于 40m，在滑坡体转折处、预计采取工程措施的地段也应布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应穿过最下一层滑面，进入稳定地层，控制性勘探孔应深入稳定地层一定深度，满足滑坡治理设计的需要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铁路工程不良地址勘察规程</w:t>
            </w: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双层岩芯管钻进，或干钻、风压钻进、无泵反循环钻进，土质滑坡采用干钻，严禁采用水钻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沿滑坡主轴断面勘探点不应少于</w:t>
            </w:r>
            <w:r>
              <w:rPr>
                <w:rFonts w:hint="eastAsia" w:ascii="Times New Roman" w:hAnsi="Times New Roman" w:cs="Times New Roman"/>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个，地质条件复杂勘探点应加密，滑坡较复杂或规模较大时，宜布置纵横向勘探断面，滑坡体外必要时应</w:t>
            </w:r>
            <w:r>
              <w:rPr>
                <w:rFonts w:hint="eastAsia" w:ascii="Times New Roman" w:hAnsi="Times New Roman" w:cs="Times New Roman"/>
                <w:b w:val="0"/>
                <w:bCs w:val="0"/>
                <w:i w:val="0"/>
                <w:iCs/>
                <w:color w:val="000000"/>
                <w:sz w:val="16"/>
                <w:szCs w:val="16"/>
                <w:vertAlign w:val="baseline"/>
                <w:lang w:val="en-US" w:eastAsia="zh-CN"/>
              </w:rPr>
              <w:t>布勘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穿透滑动面以下至稳定岩土层不小于5m，多次滑动或滑动有向深部发展可能时加深，钻入基岩的深度不小于滑坡体中最大块石直径的1.5倍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干钻、无泵反循环钻、双层岩芯管钻进、物探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沿着滑坡主滑方向，规模大、性质复杂时，进行综合布置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滑坡体下稳定地层不小于3m，设置支挡部位应满足工程要求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回次进尺</w:t>
            </w:r>
          </w:p>
        </w:tc>
        <w:tc>
          <w:tcPr>
            <w:tcW w:w="673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严格控制回次进尺，至预估的滑动面以上5m 或发现滑动面迹象时，必须进行干钻，回次进尺不得大于0.3m，及时检查岩芯，确定滑动面位置</w:t>
            </w:r>
          </w:p>
        </w:tc>
      </w:tr>
    </w:tbl>
    <w:p>
      <w:pPr>
        <w:spacing w:line="240" w:lineRule="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滑坡推力的计算比较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76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建筑地基基础规范</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（传递系数法）</w:t>
            </w:r>
          </w:p>
        </w:tc>
        <w:tc>
          <w:tcPr>
            <w:tcW w:w="76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当滑体有多层滑动面时，取滑坡推力最大的滑动面确定滑坡推力</w:t>
            </w:r>
            <w:r>
              <w:rPr>
                <w:rFonts w:hint="eastAsia" w:ascii="Times New Roman" w:hAnsi="Times New Roman" w:cs="Times New Roman"/>
                <w:b w:val="0"/>
                <w:bCs w:val="0"/>
                <w:i w:val="0"/>
                <w:iCs/>
                <w:color w:val="000000"/>
                <w:kern w:val="2"/>
                <w:sz w:val="16"/>
                <w:szCs w:val="16"/>
                <w:vertAlign w:val="baseline"/>
                <w:lang w:val="en-US" w:eastAsia="zh-CN" w:bidi="ar-SA"/>
              </w:rPr>
              <w:t>，剩余下滑力方向平行于滑动面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滑坡推力作用点可取滑体厚度的一半处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选择平行于滑动方向的几个具有代表性的断面进行计算，计算断面一般不少于2个，其中应有一个是滑动主轴断面</w:t>
            </w:r>
            <w:r>
              <w:rPr>
                <w:rFonts w:hint="eastAsia" w:ascii="Times New Roman" w:hAnsi="Times New Roman" w:cs="Times New Roman"/>
                <w:b w:val="0"/>
                <w:bCs w:val="0"/>
                <w:i w:val="0"/>
                <w:iCs/>
                <w:color w:val="000000"/>
                <w:sz w:val="16"/>
                <w:szCs w:val="16"/>
                <w:vertAlign w:val="baseline"/>
                <w:lang w:val="en-US" w:eastAsia="zh-CN"/>
              </w:rPr>
              <w:t>；根据滑动面几何特征划分条块，滑坡体不可压缩，不考虑条块间的挤压变形，不考虑力矩平衡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安全系数应根据滑坡现状及其对工程的影响等因素确定，对地基基础设计等级为甲级取1.30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对乙级取1.20，丙级取1.10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岩土工程勘察规范</w:t>
            </w: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出现与滑动方向相反的滑动分力时，下滑力可取负值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当滑坡体内地下水已形成统一水面时，应计入浮托力和动水压力</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动水压力是指地下水在流动过程中作用于岩土体颗粒的力，是使下滑力增加的附加力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采用反分析法时，应采用滑动后实测主断面计算，对正在滑动的安全系数取0.95~1.0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暂时稳定的取 1.00~1.05</w:t>
            </w:r>
            <w:r>
              <w:rPr>
                <w:rFonts w:hint="eastAsia" w:ascii="Times New Roman" w:hAnsi="Times New Roman" w:cs="Times New Roman"/>
                <w:b w:val="0"/>
                <w:bCs w:val="0"/>
                <w:i w:val="0"/>
                <w:iCs/>
                <w:color w:val="000000"/>
                <w:sz w:val="16"/>
                <w:szCs w:val="16"/>
                <w:vertAlign w:val="baseline"/>
                <w:lang w:val="en-US" w:eastAsia="zh-CN"/>
              </w:rPr>
              <w:t>，对地震、暴雨工况的安全系数适当降低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建筑工程边坡技术</w:t>
            </w:r>
            <w:r>
              <w:rPr>
                <w:rFonts w:hint="eastAsia" w:ascii="Times New Roman" w:hAnsi="Times New Roman" w:cs="Times New Roman"/>
                <w:b w:val="0"/>
                <w:bCs w:val="0"/>
                <w:i w:val="0"/>
                <w:iCs/>
                <w:color w:val="000000"/>
                <w:sz w:val="16"/>
                <w:szCs w:val="16"/>
                <w:vertAlign w:val="baseline"/>
                <w:lang w:val="en-US" w:eastAsia="zh-CN"/>
              </w:rPr>
              <w:t>规范</w:t>
            </w: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支挡结构上的滑坡推力根据滑体性质和厚度分为三角形、矩形、梯形，滑体为完整的块石、碎石土时为三角形，采用锚拉桩时推力图形宜取矩形，滑体为黏性土时，取矩形，介于二者之间的滑体取梯形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滑坡推力取最大推力为设计值，并应使每层滑坡均满足稳定性要求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选择平行滑动方向的断面不宜少于 3 条，其中</w:t>
            </w: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条应是主滑断面</w:t>
            </w:r>
          </w:p>
        </w:tc>
      </w:tr>
    </w:tbl>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滑动面、滑带土抗剪强度确定方法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9"/>
        <w:gridCol w:w="7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岩土工程勘察规范</w:t>
            </w:r>
          </w:p>
        </w:tc>
        <w:tc>
          <w:tcPr>
            <w:tcW w:w="762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采用室内、野外滑面重合剪，滑带土宜做重塑土或原状土多次剪试验，并求出多次剪和残余剪的抗剪强度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采用反分析法检验滑动面的抗剪强度指标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铁路工程不良地质勘察</w:t>
            </w:r>
            <w:r>
              <w:rPr>
                <w:rFonts w:hint="eastAsia" w:ascii="Times New Roman" w:hAnsi="Times New Roman" w:cs="Times New Roman"/>
                <w:b w:val="0"/>
                <w:bCs w:val="0"/>
                <w:i w:val="0"/>
                <w:iCs/>
                <w:color w:val="000000"/>
                <w:sz w:val="16"/>
                <w:szCs w:val="16"/>
                <w:vertAlign w:val="baseline"/>
                <w:lang w:val="en-US" w:eastAsia="zh-CN"/>
              </w:rPr>
              <w:t>规程</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正在活动的滑坡、滑带土为黏性土时，采用残余强度剪或多次快剪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已稳定滑坡(包括暂时稳定)，采用固结快剪或三轴剪切试验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若滑带土的稠度不大，滑动面清晰时，采用滑面重合剪试验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若滑动带土为饱和状或泥化流动状时，采用浸水饱和快剪试验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有条件时，可进行原位大面积剪切试验或其他原位测试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对于均匀饱和黏性土，采用综合粘聚力法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滑面重合剪</w:t>
            </w:r>
            <w:r>
              <w:rPr>
                <w:rFonts w:hint="eastAsia" w:ascii="Times New Roman" w:hAnsi="Times New Roman" w:cs="Times New Roman"/>
                <w:b w:val="0"/>
                <w:bCs w:val="0"/>
                <w:i w:val="0"/>
                <w:iCs/>
                <w:color w:val="000000"/>
                <w:kern w:val="2"/>
                <w:sz w:val="16"/>
                <w:szCs w:val="16"/>
                <w:vertAlign w:val="baseline"/>
                <w:lang w:val="en-US" w:eastAsia="zh-CN" w:bidi="ar-SA"/>
              </w:rPr>
              <w:t>、重塑土多次剪，有条件时，宜进行大面积剪切试验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抗剪强度参数的反算</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是通过已知稳定系数及滑面等条件情况下反算滑面的岩土抗剪强度参数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当计算的前提十分清晰和准确时，反算的结果是准确的。这种情况下可以反算参数</w:t>
            </w:r>
            <w:r>
              <w:rPr>
                <w:rFonts w:hint="eastAsia" w:ascii="Times New Roman" w:hAnsi="Times New Roman" w:cs="Times New Roman"/>
                <w:b w:val="0"/>
                <w:bCs w:val="0"/>
                <w:i w:val="0"/>
                <w:iCs/>
                <w:color w:val="000000"/>
                <w:kern w:val="2"/>
                <w:sz w:val="16"/>
                <w:szCs w:val="16"/>
                <w:vertAlign w:val="baseline"/>
                <w:lang w:val="en-US" w:eastAsia="zh-CN" w:bidi="ar-SA"/>
              </w:rPr>
              <w:t>为主，确定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滑带抗剪强度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②有些情况下，获得的计算前提并不十分清晰和准确，因而反算结果可信度也低，通常也只作为校验之用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反算前提</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反算的基本前提条件</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必须知道当时坡体的稳定系数值</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要事前知道滑面的确切位置，包括后缘拉裂缝及前缘剪出口等</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滑坡剧滑动时的工况，必须查清剧滑动前的雨情、震情、水位升降、斜坡弃土等生成剧滑动破坏的外力因素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稳定系数的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经验值</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1.当清坡处于刚滑动阶段，此时正处于极限平衡状态，可认为滑坡稳定系数为1或稍小于1.0</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2.当滑坡处于剧滑动阶段，稳定系数假设为0.95~0.98，这是可以接受的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3.当滑坡处于挤压变形阶段或强变形阶段，一般稳定系数取1.01~1.05</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4.当滑坡处于蠕动变形阶段或弱变形阶段，稳定系数的取值便没有把挥，因为此时滑面还没有真正形成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反算整个</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滑面抗剪强度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的平均值</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当己知反算的三个前提后，就可以反算出某种工况下(一般为自重工况或暴雨工况)整个滑面的平均</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值.反算采用的公式应视滑面来定。</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1.综合内摩擦角法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以</w:t>
            </w:r>
            <w:r>
              <w:rPr>
                <w:rFonts w:hint="eastAsia" w:ascii="Times New Roman" w:hAnsi="Times New Roman" w:cs="Times New Roman"/>
                <w:b w:val="0"/>
                <w:bCs w:val="0"/>
                <w:i w:val="0"/>
                <w:iCs/>
                <w:color w:val="000000"/>
                <w:kern w:val="2"/>
                <w:sz w:val="16"/>
                <w:szCs w:val="16"/>
                <w:vertAlign w:val="baseline"/>
                <w:lang w:val="en-US" w:eastAsia="zh-CN" w:bidi="ar-SA"/>
              </w:rPr>
              <w:t>粗</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粒岩屑或残积物为主，滑动过程可以排出滑带水时，令</w:t>
            </w:r>
            <m:oMath>
              <m:r>
                <m:rPr/>
                <w:rPr>
                  <w:rFonts w:hint="default" w:ascii="Cambria Math" w:hAnsi="Cambria Math" w:cs="Times New Roman"/>
                  <w:color w:val="000000"/>
                  <w:kern w:val="2"/>
                  <w:sz w:val="16"/>
                  <w:szCs w:val="16"/>
                  <w:vertAlign w:val="baseline"/>
                  <w:lang w:val="en-US" w:eastAsia="zh-CN" w:bidi="ar-SA"/>
                </w:rPr>
                <m:t>c=0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2.综合黏聚力法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滑带土成分以黏性土为主，土质均匀，滑动带饱水且排水困难时，假定</w:t>
            </w:r>
            <m:oMath>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3.滑带土是黏性土和岩屑碎粒时，则假定不同的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hAnsi="Cambria Math" w:cs="Times New Roman"/>
                <w:i w:val="0"/>
                <w:color w:val="000000"/>
                <w:kern w:val="2"/>
                <w:sz w:val="16"/>
                <w:szCs w:val="16"/>
                <w:vertAlign w:val="baseline"/>
                <w:lang w:val="en-US" w:eastAsia="zh-CN" w:bidi="ar-SA"/>
              </w:rPr>
              <w:t>组合</w:t>
            </w:r>
            <w:r>
              <w:rPr>
                <w:rFonts w:hint="eastAsia" w:ascii="Times New Roman" w:hAnsi="Times New Roman" w:cs="Times New Roman"/>
                <w:b w:val="0"/>
                <w:bCs w:val="0"/>
                <w:i w:val="0"/>
                <w:iCs/>
                <w:color w:val="000000"/>
                <w:kern w:val="2"/>
                <w:sz w:val="16"/>
                <w:szCs w:val="16"/>
                <w:vertAlign w:val="baseline"/>
                <w:lang w:val="en-US" w:eastAsia="zh-CN" w:bidi="ar-SA"/>
              </w:rPr>
              <w:t>值试算求得合适的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ascii="Times New Roman" w:hAnsi="Times New Roman" w:cs="Times New Roman"/>
                <w:b w:val="0"/>
                <w:bCs w:val="0"/>
                <w:i w:val="0"/>
                <w:iCs/>
                <w:color w:val="000000"/>
                <w:kern w:val="2"/>
                <w:sz w:val="16"/>
                <w:szCs w:val="16"/>
                <w:vertAlign w:val="baseline"/>
                <w:lang w:val="en-US" w:eastAsia="zh-CN" w:bidi="ar-SA"/>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不恢复滑动前原始地面线</w:t>
            </w:r>
          </w:p>
        </w:tc>
        <w:tc>
          <w:tcPr>
            <w:tcW w:w="762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不恢复滑动前斜坡断面的反算方法</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1.对于单一平面形岩石顺层滑坡，因为地面形状变化很小，可不必恢复原地面而直接用现有滑坡断面进行反算</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于古老滑坡，由于滑壁的剥蚀、坍塌，改变了原来的形态，或因缺少原有地形资料，不容易恢复原地面线，这时可不恢复原地面线，而根据滑坡复活时所处的发育阶段及其相应的稳定系数(不一定等于1.0)，用现有断面进行反算。如滑坡处于</w:t>
            </w:r>
            <w:r>
              <w:rPr>
                <w:rFonts w:hint="eastAsia" w:ascii="Times New Roman" w:hAnsi="Times New Roman" w:cs="Times New Roman"/>
                <w:b w:val="0"/>
                <w:bCs w:val="0"/>
                <w:i w:val="0"/>
                <w:iCs/>
                <w:color w:val="000000"/>
                <w:kern w:val="2"/>
                <w:sz w:val="16"/>
                <w:szCs w:val="16"/>
                <w:vertAlign w:val="baseline"/>
                <w:lang w:val="en-US" w:eastAsia="zh-CN" w:bidi="ar-SA"/>
              </w:rPr>
              <w:t>蠕动</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挤压阶段，取稳定系数为1.0</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1.05，正在等速滑动时稳定系数为1.0，加速滑动时稳定系数取0.95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0.98，代入公式进行反算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所得指标反映当前状态</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有建筑物(如挡土墙)或地物被滑坡滑动破坏时，在方程中应包括其可能的最大抗力，即滑坡推力，这就是工程地质类比计算法。此外，在计算中还应根据滑坡发生的具体情况决定是否计入静水压力和地震力的作用</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滑坡的公、铁路选线</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7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1.避开巨型、大型滑坡、错落及滑坡群和错落群、坡脚有地下水出露的山坡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2.滑坡规模小，治理方案可行，选择在有利于滑坡和错落稳定的部位通过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通过稳定的滑坡和错落体时，不宜在其上部填方或下部挖方，不得开挖坡脚，且不应在滑坡体的上方以填方形式通过。一般滑坡体上缘或下缘比滑坡体中部稳定，下缘的路基以路堤形式通过，上缘宜设置成路堑形式(上挖下填的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4.线路不应与大断裂平行，不宜切割松散堆积体或风化破碎岩的坡脚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避开岩层顺层或贯通节理等不利结构面倾向线路的地段，特别是受河水强烈冲刷的傍河顺层地段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6.越岭地段应避开岩层严重风化破碎带或构造断裂带形成的址口，在山坡的同一侧展线时，上下行线宜避免相互影响</w:t>
            </w:r>
          </w:p>
        </w:tc>
      </w:tr>
    </w:tbl>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减轻膨胀土对建筑物破坏的措施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工程措施</w:t>
            </w:r>
          </w:p>
        </w:tc>
        <w:tc>
          <w:tcPr>
            <w:tcW w:w="77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措施内容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增加基础埋深</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增加基础埋深，膨胀土的膨胀量减小，规范要求最低要超过大气急剧影响深度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地基土换填</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换土可采用非膨胀性土或灰土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设置沉降缝</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1.挖方与填方交界处或地基土显著不均匀处</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2.建筑结构(或基础)类型不同部位</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3.建筑物平面转折部位或高度(或荷重)有显著差异部位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宽散水</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散水措施</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是指在房屋等建筑物外墙的墙脚周围，用砖石、混凝土铺成的斜坡，以便将屋面的雨水排至远处，是防止因雨水渗入导致地基下沉的有效措施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结构措施</w:t>
            </w:r>
          </w:p>
        </w:tc>
        <w:tc>
          <w:tcPr>
            <w:tcW w:w="77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1.较均匀的弱膨胀土地基，可采用条基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2.基础埋深较大或条基基底压力较小时，宜采用墩基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3.承重砌体结构可采用拉结较好的实心砖墙，不得采用空斗墙、砌块墙或无砂混凝土砌体，不宜采用砖拱结构、无砂大孔混凝土和无筋中型砌块等对变形敏感的结构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Ⅱ级</w:t>
            </w:r>
            <w:r>
              <w:rPr>
                <w:rFonts w:hint="default"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Ⅲ级膨胀土地区，砂浆强度等级不宜低于 M2.5</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4.房屋顶层和基础顶部宜设置圈梁(地基梁、承台梁可代替基础圈梁)，多层房屋的其他各层可隔层设置，必要时，也可层层设置</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外廊式房屋应采用悬挑结构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5.砖混结构房屋设置圈梁</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盐渍土对建筑材料性能的腐蚀作用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建筑材料</w:t>
            </w:r>
          </w:p>
        </w:tc>
        <w:tc>
          <w:tcPr>
            <w:tcW w:w="77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产生条件及腐蚀特征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沥青</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1.当氯盐含量大于 3%~5%时，随着含盐量增加，沥青的延展度普遍下降</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2.Na</w:t>
            </w:r>
            <w:r>
              <w:rPr>
                <w:rFonts w:hint="eastAsia" w:ascii="Times New Roman" w:hAnsi="Times New Roman" w:cs="Times New Roman"/>
                <w:b w:val="0"/>
                <w:bCs w:val="0"/>
                <w:i w:val="0"/>
                <w:iCs/>
                <w:color w:val="000000"/>
                <w:sz w:val="16"/>
                <w:szCs w:val="16"/>
                <w:vertAlign w:val="subscript"/>
                <w:lang w:val="en-US" w:eastAsia="zh-CN"/>
              </w:rPr>
              <w:t>2</w:t>
            </w:r>
            <w:r>
              <w:rPr>
                <w:rFonts w:hint="default" w:ascii="Times New Roman" w:hAnsi="Times New Roman" w:cs="Times New Roman" w:eastAsiaTheme="minorEastAsia"/>
                <w:b w:val="0"/>
                <w:bCs w:val="0"/>
                <w:i w:val="0"/>
                <w:iCs/>
                <w:color w:val="000000"/>
                <w:sz w:val="16"/>
                <w:szCs w:val="16"/>
                <w:vertAlign w:val="baseline"/>
                <w:lang w:val="en-US" w:eastAsia="zh-CN"/>
              </w:rPr>
              <w:t>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和 NaHCO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能使的亲水性增加，并使土与沥青互相作用形成水溶盐，造成沥材料乳化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混凝土</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1.当氯盐含量超过4%，硫酸钠含量超过1%时，对混凝能产生腐蚀作用，尤以</w:t>
            </w:r>
            <w:r>
              <w:rPr>
                <w:rFonts w:hint="default" w:ascii="Times New Roman" w:hAnsi="Times New Roman" w:cs="Times New Roman" w:eastAsiaTheme="minorEastAsia"/>
                <w:b/>
                <w:bCs/>
                <w:i w:val="0"/>
                <w:iCs/>
                <w:color w:val="000000"/>
                <w:sz w:val="16"/>
                <w:szCs w:val="16"/>
                <w:vertAlign w:val="baseline"/>
                <w:lang w:val="en-US" w:eastAsia="zh-CN"/>
              </w:rPr>
              <w:t>硫酸钠结晶的水合物</w:t>
            </w:r>
            <w:r>
              <w:rPr>
                <w:rFonts w:hint="default" w:ascii="Times New Roman" w:hAnsi="Times New Roman" w:cs="Times New Roman" w:eastAsiaTheme="minorEastAsia"/>
                <w:b w:val="0"/>
                <w:bCs w:val="0"/>
                <w:i w:val="0"/>
                <w:iCs/>
                <w:color w:val="000000"/>
                <w:sz w:val="16"/>
                <w:szCs w:val="16"/>
                <w:vertAlign w:val="baseline"/>
                <w:lang w:val="en-US" w:eastAsia="zh-CN"/>
              </w:rPr>
              <w:t>更严重，使水泥加固的土、砂浆、混凝土等产生松胀剥落、掉皮等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2.氯盐和石膏总含量在2%~3%以下时，能加速水泥硬化，提高水泥加固的土的强度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金属</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1.易溶盐中的各种酸离子与金属材料直接作用，即可腐蚀金属材料</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2.各种盐的强烈化学反应，促使金属材料遇水后产生不均匀的电位差，导致水与氧等对金属材料的锈蚀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其他</w:t>
            </w:r>
          </w:p>
        </w:tc>
        <w:tc>
          <w:tcPr>
            <w:tcW w:w="77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易溶盐对砖、橡胶等材料均有不同程度的腐蚀性</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地基冻胀作用的防护与防护措施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40"/>
        <w:gridCol w:w="905"/>
        <w:gridCol w:w="7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 w:hRule="atLeast"/>
          <w:jc w:val="center"/>
        </w:trPr>
        <w:tc>
          <w:tcPr>
            <w:tcW w:w="240"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冻土地基的防护</w:t>
            </w:r>
          </w:p>
        </w:tc>
        <w:tc>
          <w:tcPr>
            <w:tcW w:w="854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目的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预防冻土天然状态的改变或消除其危害产生的根源，避免冻土对工程产生危害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通风基础</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般包括架空通风和管道通风，是将建筑物通过桩、柱抬升隔离地表，通过埋置通风管道或预设隔热垫层，使建筑物不能和地表直接接触，以达到冻土地基不改变其原始通风基础温度条件而得以维持其稳定性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粗颖粒土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垫高地基</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在年均气温低于</w:t>
            </w:r>
            <w:r>
              <w:rPr>
                <w:rFonts w:hint="eastAsia" w:ascii="Times New Roman" w:hAnsi="Times New Roman" w:cs="Times New Roman"/>
                <w:b w:val="0"/>
                <w:bCs w:val="0"/>
                <w:i w:val="0"/>
                <w:iCs/>
                <w:color w:val="000000"/>
                <w:sz w:val="16"/>
                <w:szCs w:val="16"/>
                <w:vertAlign w:val="baseline"/>
                <w:lang w:val="en-US" w:eastAsia="zh-CN"/>
              </w:rPr>
              <w:t>0℃</w:t>
            </w:r>
            <w:r>
              <w:rPr>
                <w:rFonts w:hint="default" w:ascii="Times New Roman" w:hAnsi="Times New Roman" w:cs="Times New Roman" w:eastAsiaTheme="minorEastAsia"/>
                <w:b w:val="0"/>
                <w:bCs w:val="0"/>
                <w:i w:val="0"/>
                <w:iCs/>
                <w:color w:val="000000"/>
                <w:sz w:val="16"/>
                <w:szCs w:val="16"/>
                <w:vertAlign w:val="baseline"/>
                <w:lang w:val="en-US" w:eastAsia="zh-CN"/>
              </w:rPr>
              <w:t>的冻土地区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大多数建筑地基可采用粗颗粒(碎石、砾石)垫高地基垫高地基超出建筑物外围至少0.3m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铺设隔热层</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作为隔热层的材料必须是具有一定刚度的土工织物或泡沫材料，且使用期间不吸湿(防潮性)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桩基础</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由于桩基可隔离上层建筑与冻土的直接接触，且于其间易于设置架空空间及铺设绝热材料，因此桩基础是冻土区建筑采用相对较为广泛的基础形式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热棒(桩)</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热桩是一种特殊类型的桩，通过自身相转换或强制循环制冷消散土体中热量，故其能够将土体内部的温度降低，因此在改善冻土地基、防止冻土融化下沉和冻胀以及提高地基稳定性方面，都是极好的处理手段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冻土地基的防治</w:t>
            </w: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主要是消除其冻胀和融沉特性，以保证工程建设的正常完成和有效运营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1.多年冻土地基的防冻胀措施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换填，即用粗砂、砾石等非冻胀性的土体材料置换天然地基的冻胀性土，以消除或消弱天然地基的冻胀性</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物理化学法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利用交换阳离子及盐分对冻胀的规律对冻土地基进行改良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2.冻土地基的防融沉措施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主要从改良土体的角度出发，通过剥离土层或其他工业融化方法对冻土进行融、预固结</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采用纯净的粗颗粒土换填富冰土或含土冰层，以直接消除或消弱土层的融沉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工程中也有采取多填方、少挖方的方针，以尽可能避免对冻土的扰动破坏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3.季节性冻土基础工程防冻胀措施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基础四侧换上，采用较纯净的砂、砂砾石等粗颗粒土换填基础四周冻土，填土夯实</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改善基础侧表面平滑度，基础必须浇筑密实，具有平滑表面</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基础侧面在冻土范围内还可以用工业凡</w:t>
            </w:r>
            <w:bookmarkStart w:id="0" w:name="_GoBack"/>
            <w:r>
              <w:rPr>
                <w:rFonts w:hint="default" w:ascii="Times New Roman" w:hAnsi="Times New Roman" w:cs="Times New Roman" w:eastAsiaTheme="minorEastAsia"/>
                <w:b w:val="0"/>
                <w:bCs w:val="0"/>
                <w:i w:val="0"/>
                <w:iCs/>
                <w:color w:val="000000"/>
                <w:sz w:val="16"/>
                <w:szCs w:val="16"/>
                <w:vertAlign w:val="baseline"/>
                <w:lang w:val="en-US" w:eastAsia="zh-CN"/>
              </w:rPr>
              <w:t>士</w:t>
            </w:r>
            <w:bookmarkEnd w:id="0"/>
            <w:r>
              <w:rPr>
                <w:rFonts w:hint="default" w:ascii="Times New Roman" w:hAnsi="Times New Roman" w:cs="Times New Roman" w:eastAsiaTheme="minorEastAsia"/>
                <w:b w:val="0"/>
                <w:bCs w:val="0"/>
                <w:i w:val="0"/>
                <w:iCs/>
                <w:color w:val="000000"/>
                <w:sz w:val="16"/>
                <w:szCs w:val="16"/>
                <w:vertAlign w:val="baseline"/>
                <w:lang w:val="en-US" w:eastAsia="zh-CN"/>
              </w:rPr>
              <w:t>林、渣油等涂刷以减少切向冻胀力</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选用抗冻胀性基础改变基础断面形状，利用冻胀反力的自锚作用增加基础抗冻拔的能力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4.多年冻土地基工程的防融沉措施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一般采取的办法有换填基底土，对采用融化原则的基底上可换填碎、卵、砾石或粗砂等，换填深度可到季节融化深度或受压层深度</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选择好基础形式，对融沉、强融沉土用轻型墩台，适当增大基底面积，减少压应力，或加深基础埋置深度</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注意隔热措施，采取保持冻结原则时施工中注意保护地表上覆盖植被，或以保温性能较好材料铺盖地表减少热渗入量</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施工和养护中，保证结构物周围排水通畅，防止地表水灌入基坑内</w:t>
            </w:r>
          </w:p>
        </w:tc>
      </w:tr>
    </w:tbl>
    <w:p>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铁路路基挡土墙适用范围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重力式挡土墙</w:t>
            </w:r>
          </w:p>
        </w:tc>
        <w:tc>
          <w:tcPr>
            <w:tcW w:w="743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重力式挡土墙适用于一般地区、浸水地区和地震地区。重力式挡土墙可设置于路肩、路堤和路堑等部位。</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1路肩墙、路堤墙，墙高不宜大于10m。2土质路堑地段，墙高不宜大于6m</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石质路堑地段，墙高不宜大于10m。3膨胀岩土路堑地段，墙高不宜大于4m。</w:t>
            </w:r>
            <w:r>
              <w:rPr>
                <w:rFonts w:hint="eastAsia" w:ascii="Times New Roman" w:hAnsi="Times New Roman" w:cs="Times New Roman"/>
                <w:b w:val="0"/>
                <w:bCs w:val="0"/>
                <w:i w:val="0"/>
                <w:iCs/>
                <w:color w:val="000000"/>
                <w:kern w:val="2"/>
                <w:sz w:val="16"/>
                <w:szCs w:val="16"/>
                <w:vertAlign w:val="baseline"/>
                <w:lang w:val="en-US" w:eastAsia="zh-CN" w:bidi="ar-SA"/>
              </w:rPr>
              <w:t>4</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墙身采用浆砌片石时，墙高不宜大于5m。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悬臂式和扶壁式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挡</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eastAsiaTheme="minorEastAsia"/>
                <w:b/>
                <w:bCs/>
                <w:i w:val="0"/>
                <w:iCs/>
                <w:color w:val="000000"/>
                <w:sz w:val="16"/>
                <w:szCs w:val="16"/>
                <w:vertAlign w:val="baseline"/>
                <w:lang w:val="en-US" w:eastAsia="zh-CN"/>
              </w:rPr>
              <w:t>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悬臂式和扶壁式挡</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墙适用于一般地区、浸水地区和地震地区。悬臂式墙高不宜大于6m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扶壁式墙高不宜大于10m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槽型挡土墙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槽型挡土墙适用于地下水位较高的路堑及放坡条件受到限制的路堑或路堤地段</w:t>
            </w:r>
            <w:r>
              <w:rPr>
                <w:rFonts w:hint="eastAsia" w:ascii="Times New Roman" w:hAnsi="Times New Roman" w:cs="Times New Roman"/>
                <w:b w:val="0"/>
                <w:bCs w:val="0"/>
                <w:i w:val="0"/>
                <w:iCs/>
                <w:color w:val="000000"/>
                <w:sz w:val="16"/>
                <w:szCs w:val="16"/>
                <w:vertAlign w:val="baseline"/>
                <w:lang w:val="en-US" w:eastAsia="zh-CN"/>
              </w:rPr>
              <w:t>。边墙悬臂高度不宜大于8m，顶宽不宜小于0.3m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加筋土挡土墙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加筋土挡土墙适用于一般地区和地履地区，可设置于路肩或路堤边坡，单级墙高不宜大于10m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土钉墙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土钉墙适用于一一般地区和地震地区土质及破碎软弱岩质路堑地段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在腐蚀性地层、膨胀土地段、松散的土质边坡以及地下水较发育地段，不宜采用土钉墙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锚杆挡土墙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锚杆挡土墙适用于一般地区和地震地区的岩质和土质边坡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锚杆挡土墙宜设置成单级或两级。在岩层中每级墙高度不宜大于10m:在土层中或拼装预制的柱板式锚杆挡土墙，每级墙高度不宜大于8m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总高度不宜大于16m。上、下两级墙之间应设置平台，宽度不宜小于2m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桩墙结构</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桩墙结构适用于一般地区、浸水地区和地震地区</w:t>
            </w:r>
            <w:r>
              <w:rPr>
                <w:rFonts w:hint="eastAsia" w:ascii="Times New Roman" w:hAnsi="Times New Roman" w:cs="Times New Roman"/>
                <w:b w:val="0"/>
                <w:bCs w:val="0"/>
                <w:i w:val="0"/>
                <w:iCs/>
                <w:color w:val="000000"/>
                <w:sz w:val="16"/>
                <w:szCs w:val="16"/>
                <w:vertAlign w:val="baseline"/>
                <w:lang w:val="en-US" w:eastAsia="zh-CN"/>
              </w:rPr>
              <w:t>。桩悬臂段长度不宜大于12m，大于12m时桩上宜设置预应力锚索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短卸荷板式挡土墙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短卸荷板式挡土墙适用于一般地区地基承载力较高的路肩地段，墙高宜为6m~12m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锚定板挡土墙</w:t>
            </w:r>
          </w:p>
        </w:tc>
        <w:tc>
          <w:tcPr>
            <w:tcW w:w="7431"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锚定板挡土墙可用于一般地区的路肩或路堤地段，单级墙高度不宜大于6m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双级墙总高度不宜大于10</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沉降计算（</w:t>
      </w:r>
      <m:oMath>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f>
          <m:fPr>
            <m:ctrlPr>
              <w:rPr>
                <w:rFonts w:hint="default" w:ascii="Cambria Math" w:hAnsi="Cambria Math" w:eastAsia="黑体" w:cs="黑体"/>
                <w:b/>
                <w:kern w:val="2"/>
                <w:sz w:val="16"/>
                <w:szCs w:val="16"/>
                <w:lang w:val="en-US" w:eastAsia="zh-CN" w:bidi="ar-SA"/>
              </w:rPr>
            </m:ctrlPr>
          </m:fPr>
          <m:num>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ctrlPr>
              <w:rPr>
                <w:rFonts w:hint="default" w:ascii="Cambria Math" w:hAnsi="Cambria Math" w:eastAsia="黑体" w:cs="黑体"/>
                <w:b/>
                <w:kern w:val="2"/>
                <w:sz w:val="16"/>
                <w:szCs w:val="16"/>
                <w:lang w:val="en-US" w:eastAsia="zh-CN" w:bidi="ar-SA"/>
              </w:rPr>
            </m:ctrlPr>
          </m:num>
          <m:den>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ctrlPr>
              <w:rPr>
                <w:rFonts w:hint="default" w:ascii="Cambria Math" w:hAnsi="Cambria Math" w:eastAsia="黑体" w:cs="黑体"/>
                <w:b/>
                <w:kern w:val="2"/>
                <w:sz w:val="16"/>
                <w:szCs w:val="16"/>
                <w:lang w:val="en-US" w:eastAsia="zh-CN" w:bidi="ar-SA"/>
              </w:rPr>
            </m:ctrlPr>
          </m:den>
        </m:f>
      </m:oMath>
      <w:r>
        <w:rPr>
          <w:rFonts w:hint="eastAsia"/>
          <w:sz w:val="18"/>
          <w:szCs w:val="21"/>
          <w:lang w:val="en-US" w:eastAsia="zh-CN"/>
        </w:rPr>
        <w:t xml:space="preserve">   </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520"/>
        <w:gridCol w:w="1076"/>
        <w:gridCol w:w="447"/>
        <w:gridCol w:w="660"/>
        <w:gridCol w:w="660"/>
        <w:gridCol w:w="1312"/>
        <w:gridCol w:w="713"/>
        <w:gridCol w:w="1794"/>
        <w:gridCol w:w="802"/>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107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4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66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66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1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71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179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r>
                  <m:rPr>
                    <m:sty m:val="b"/>
                  </m:rPr>
                  <w:rPr>
                    <w:rFonts w:hint="default" w:ascii="Cambria Math" w:hAnsi="Cambria Math" w:cs="Times New Roman"/>
                    <w:color w:val="000000"/>
                    <w:kern w:val="2"/>
                    <w:sz w:val="13"/>
                    <w:szCs w:val="13"/>
                    <w:vertAlign w:val="baseline"/>
                    <w:lang w:val="en-US" w:eastAsia="zh-CN" w:bidi="ar-SA"/>
                  </w:rPr>
                  <m:t>=</m:t>
                </m:r>
                <m:f>
                  <m:fPr>
                    <m:ctrlPr>
                      <w:rPr>
                        <w:rFonts w:hint="default" w:ascii="Cambria Math" w:hAnsi="Cambria Math" w:cs="Times New Roman"/>
                        <w:b/>
                        <w:bCs w:val="0"/>
                        <w:iCs/>
                        <w:color w:val="000000"/>
                        <w:kern w:val="2"/>
                        <w:sz w:val="13"/>
                        <w:szCs w:val="13"/>
                        <w:vertAlign w:val="baseline"/>
                        <w:lang w:val="en-US" w:eastAsia="zh-CN" w:bidi="ar-SA"/>
                      </w:rPr>
                    </m:ctrlPr>
                  </m:fPr>
                  <m:num>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bCs w:val="0"/>
                        <w:iCs/>
                        <w:color w:val="000000"/>
                        <w:kern w:val="2"/>
                        <w:sz w:val="13"/>
                        <w:szCs w:val="13"/>
                        <w:vertAlign w:val="baseline"/>
                        <w:lang w:val="en-US" w:eastAsia="zh-CN"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Cs/>
                        <w:color w:val="000000"/>
                        <w:kern w:val="2"/>
                        <w:sz w:val="13"/>
                        <w:szCs w:val="13"/>
                        <w:vertAlign w:val="baseline"/>
                        <w:lang w:val="en-US" w:eastAsia="zh-CN" w:bidi="ar-SA"/>
                      </w:rPr>
                    </m:ctrlPr>
                  </m:den>
                </m:f>
              </m:oMath>
            </m:oMathPara>
          </w:p>
        </w:tc>
        <w:tc>
          <w:tcPr>
            <w:tcW w:w="80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nary>
                  <m:naryPr>
                    <m:chr m:val="∑"/>
                    <m:limLoc m:val="undOvr"/>
                    <m:ctrlPr>
                      <w:rPr>
                        <w:rFonts w:hint="default" w:ascii="Cambria Math" w:hAnsi="Cambria Math" w:cs="Times New Roman"/>
                        <w:b/>
                        <w:bCs w:val="0"/>
                        <w:i/>
                        <w:iCs/>
                        <w:color w:val="000000"/>
                        <w:kern w:val="2"/>
                        <w:sz w:val="13"/>
                        <w:szCs w:val="13"/>
                        <w:vertAlign w:val="baseline"/>
                        <w:lang w:val="en-US" w:eastAsia="zh-CN" w:bidi="ar-SA"/>
                      </w:rPr>
                    </m:ctrlPr>
                  </m:naryPr>
                  <m:sub>
                    <m:r>
                      <m:rPr>
                        <m:sty m:val="b"/>
                      </m:rPr>
                      <w:rPr>
                        <w:rFonts w:hint="default" w:ascii="Cambria Math" w:hAnsi="Cambria Math" w:cs="Times New Roman"/>
                        <w:color w:val="000000"/>
                        <w:kern w:val="2"/>
                        <w:sz w:val="13"/>
                        <w:szCs w:val="13"/>
                        <w:vertAlign w:val="baseline"/>
                        <w:lang w:val="en-US" w:eastAsia="zh-CN" w:bidi="ar-SA"/>
                      </w:rPr>
                      <m:t>j</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eastAsia="zh-CN" w:bidi="ar-SA"/>
                      </w:rPr>
                    </m:ctrlPr>
                  </m:sub>
                  <m:sup>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eastAsia="zh-CN" w:bidi="ar-SA"/>
                      </w:rPr>
                    </m:ctrlPr>
                  </m:sup>
                  <m:e>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j</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eastAsia="zh-CN" w:bidi="ar-SA"/>
                      </w:rPr>
                    </m:ctrlPr>
                  </m:e>
                </m:nary>
              </m:oMath>
            </m:oMathPara>
          </w:p>
        </w:tc>
        <w:tc>
          <w:tcPr>
            <w:tcW w:w="803" w:type="dxa"/>
            <w:tcBorders>
              <w:top w:val="single" w:color="auto" w:sz="12"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val="0"/>
                <w:i/>
                <w:iCs/>
                <w:color w:val="000000"/>
                <w:kern w:val="2"/>
                <w:sz w:val="13"/>
                <w:szCs w:val="13"/>
                <w:vertAlign w:val="baseline"/>
                <w:lang w:val="en-US"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i"/>
                  </m:rPr>
                  <w:rPr>
                    <w:rFonts w:hint="default" w:ascii="Cambria Math" w:hAnsi="Cambria Math" w:cs="Cambria Math"/>
                    <w:color w:val="000000"/>
                    <w:kern w:val="2"/>
                    <w:sz w:val="13"/>
                    <w:szCs w:val="13"/>
                    <w:vertAlign w:val="baseline"/>
                    <w:lang w:val="en-US" w:bidi="ar-SA"/>
                  </w:rPr>
                  <m:t>≤</m:t>
                </m:r>
                <m:r>
                  <m:rPr>
                    <m:sty m:val="bi"/>
                  </m:rPr>
                  <w:rPr>
                    <w:rFonts w:hint="default" w:ascii="Cambria Math" w:hAnsi="Cambria Math" w:cs="Times New Roman"/>
                    <w:color w:val="000000"/>
                    <w:kern w:val="2"/>
                    <w:sz w:val="13"/>
                    <w:szCs w:val="13"/>
                    <w:vertAlign w:val="baseline"/>
                    <w:lang w:val="en-US" w:eastAsia="zh-CN" w:bidi="ar-SA"/>
                  </w:rPr>
                  <m:t>0.025</m:t>
                </m:r>
                <m:r>
                  <m:rPr>
                    <m:sty m:val="b"/>
                  </m:rPr>
                  <w:rPr>
                    <w:rFonts w:hint="eastAsia" w:ascii="Cambria Math" w:hAnsi="Cambria Math" w:cs="Times New Roman"/>
                    <w:color w:val="000000"/>
                    <w:kern w:val="2"/>
                    <w:sz w:val="13"/>
                    <w:szCs w:val="13"/>
                    <w:vertAlign w:val="baseline"/>
                    <w:lang w:val="en-US" w:eastAsia="zh-CN" w:bidi="ar-SA"/>
                  </w:rPr>
                  <m:t>满足</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4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drawing>
          <wp:anchor distT="0" distB="0" distL="114300" distR="114300" simplePos="0" relativeHeight="251662336" behindDoc="0" locked="0" layoutInCell="1" allowOverlap="1">
            <wp:simplePos x="0" y="0"/>
            <wp:positionH relativeFrom="column">
              <wp:posOffset>3623945</wp:posOffset>
            </wp:positionH>
            <wp:positionV relativeFrom="paragraph">
              <wp:posOffset>141605</wp:posOffset>
            </wp:positionV>
            <wp:extent cx="1756410" cy="279400"/>
            <wp:effectExtent l="0" t="0" r="15240" b="6350"/>
            <wp:wrapNone/>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1756410" cy="279400"/>
                    </a:xfrm>
                    <a:prstGeom prst="rect">
                      <a:avLst/>
                    </a:prstGeom>
                    <a:noFill/>
                    <a:ln>
                      <a:noFill/>
                    </a:ln>
                  </pic:spPr>
                </pic:pic>
              </a:graphicData>
            </a:graphic>
          </wp:anchor>
        </w:drawing>
      </w: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sSub>
          <m:sSubPr>
            <m:ctrlPr>
              <w:rPr>
                <w:rFonts w:hint="eastAsia" w:ascii="Times New Roman" w:hAnsi="Times New Roman" w:cs="Times New Roman" w:eastAsiaTheme="minorEastAsia"/>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l</m:t>
            </m:r>
            <m:ctrlPr>
              <w:rPr>
                <w:rFonts w:hint="eastAsia" w:ascii="Times New Roman" w:hAnsi="Times New Roman" w:cs="Times New Roman" w:eastAsiaTheme="minorEastAsia"/>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eastAsia" w:ascii="Times New Roman" w:hAnsi="Times New Roman" w:cs="Times New Roman" w:eastAsiaTheme="minorEastAsia"/>
                <w:b w:val="0"/>
                <w:bCs w:val="0"/>
                <w:i w:val="0"/>
                <w:iCs/>
                <w:color w:val="000000"/>
                <w:sz w:val="16"/>
                <w:szCs w:val="16"/>
                <w:vertAlign w:val="baseline"/>
                <w:lang w:val="en-US" w:eastAsia="zh-CN"/>
              </w:rPr>
            </m:ctrlPr>
          </m:sub>
        </m:sSub>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pPr>
        <w:spacing w:line="240" w:lineRule="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试验温度</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71"/>
        <w:gridCol w:w="1771"/>
        <w:gridCol w:w="1771"/>
        <w:gridCol w:w="17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土含水率，烘干温度</w:t>
            </w:r>
          </w:p>
        </w:tc>
        <w:tc>
          <w:tcPr>
            <w:tcW w:w="219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一般土：105~110℃</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有机土：65~70℃</w:t>
            </w:r>
          </w:p>
        </w:tc>
        <w:tc>
          <w:tcPr>
            <w:tcW w:w="2196" w:type="dxa"/>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土渗透系数，标准水温</w:t>
            </w:r>
          </w:p>
        </w:tc>
        <w:tc>
          <w:tcPr>
            <w:tcW w:w="219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易溶盐含量，烘干温度</w:t>
            </w:r>
          </w:p>
        </w:tc>
        <w:tc>
          <w:tcPr>
            <w:tcW w:w="21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105~110℃</w:t>
            </w:r>
          </w:p>
        </w:tc>
        <w:tc>
          <w:tcPr>
            <w:tcW w:w="2196"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盐溶解度，水温</w:t>
            </w:r>
          </w:p>
        </w:tc>
        <w:tc>
          <w:tcPr>
            <w:tcW w:w="219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20℃</w:t>
            </w:r>
          </w:p>
        </w:tc>
      </w:tr>
    </w:tbl>
    <w:p>
      <w:pPr>
        <w:spacing w:line="240" w:lineRule="auto"/>
        <w:rPr>
          <w:rFonts w:hint="eastAsia"/>
          <w:lang w:val="en-US" w:eastAsia="zh-CN"/>
        </w:rPr>
      </w:pPr>
    </w:p>
    <w:p>
      <w:pPr>
        <w:spacing w:line="240" w:lineRule="auto"/>
        <w:rPr>
          <w:rFonts w:hint="eastAsia"/>
          <w:lang w:val="en-US" w:eastAsia="zh-CN"/>
        </w:rPr>
      </w:pPr>
      <w:r>
        <w:drawing>
          <wp:inline distT="0" distB="0" distL="114300" distR="114300">
            <wp:extent cx="5579745" cy="2417445"/>
            <wp:effectExtent l="0" t="0" r="1905" b="19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5579745" cy="2417445"/>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矩形面积上均布荷载作用下角点附加应力系数</w:t>
      </w:r>
      <m:oMath>
        <m:r>
          <m:rPr/>
          <w:rPr>
            <w:rStyle w:val="9"/>
            <w:rFonts w:hint="default" w:ascii="Cambria Math" w:hAnsi="Cambria Math"/>
          </w:rPr>
          <m:t>α</m:t>
        </m:r>
      </m:oMath>
    </w:p>
    <w:tbl>
      <w:tblPr>
        <w:tblStyle w:val="6"/>
        <w:tblW w:w="793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9"/>
        <w:gridCol w:w="619"/>
        <w:gridCol w:w="619"/>
        <w:gridCol w:w="619"/>
        <w:gridCol w:w="619"/>
        <w:gridCol w:w="619"/>
        <w:gridCol w:w="619"/>
        <w:gridCol w:w="619"/>
        <w:gridCol w:w="619"/>
        <w:gridCol w:w="619"/>
        <w:gridCol w:w="619"/>
        <w:gridCol w:w="619"/>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z/b</w:t>
            </w:r>
          </w:p>
        </w:tc>
        <w:tc>
          <w:tcPr>
            <w:tcW w:w="7428" w:type="dxa"/>
            <w:gridSpan w:val="1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l/b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b/>
                <w:bCs/>
                <w:i w:val="0"/>
                <w:iCs w:val="0"/>
                <w:color w:val="000000"/>
                <w:sz w:val="13"/>
                <w:szCs w:val="13"/>
                <w:u w:val="none"/>
              </w:rPr>
            </w:pP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5.0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6.0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条形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r>
    </w:tbl>
    <w:p>
      <w:pPr>
        <w:spacing w:line="240" w:lineRule="auto"/>
        <w:rPr>
          <w:rFonts w:hint="eastAsia"/>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lang w:val="en-US" w:eastAsia="zh-CN"/>
        </w:rPr>
        <w:br w:type="page"/>
      </w:r>
      <w:r>
        <w:rPr>
          <w:rFonts w:hint="eastAsia" w:ascii="黑体" w:hAnsi="黑体" w:eastAsia="黑体" w:cs="黑体"/>
          <w:b/>
          <w:bCs/>
          <w:kern w:val="2"/>
          <w:sz w:val="16"/>
          <w:szCs w:val="16"/>
          <w:lang w:val="en-US" w:eastAsia="zh-CN" w:bidi="ar-SA"/>
        </w:rPr>
        <w:t>矩形面积上均布荷载作用下角点的平均附加应力系数</w:t>
      </w:r>
      <m:oMath>
        <m:acc>
          <m:accPr>
            <m:chr m:val="̅"/>
            <m:ctrlPr>
              <w:rPr>
                <w:rFonts w:hint="eastAsia" w:ascii="Cambria Math" w:hAnsi="Cambria Math" w:eastAsia="黑体" w:cs="黑体"/>
                <w:b/>
                <w:bCs/>
                <w:kern w:val="2"/>
                <w:sz w:val="16"/>
                <w:szCs w:val="16"/>
                <w:lang w:val="en-US" w:eastAsia="zh-CN" w:bidi="ar-SA"/>
              </w:rPr>
            </m:ctrlPr>
          </m:accPr>
          <m:e>
            <m:r>
              <m:rPr>
                <m:sty m:val="b"/>
              </m:rPr>
              <w:rPr>
                <w:rFonts w:hint="default" w:ascii="Cambria Math" w:hAnsi="Cambria Math" w:eastAsia="黑体" w:cs="黑体"/>
                <w:kern w:val="2"/>
                <w:sz w:val="16"/>
                <w:szCs w:val="16"/>
                <w:lang w:val="en-US" w:eastAsia="zh-CN" w:bidi="ar-SA"/>
              </w:rPr>
              <m:t>α</m:t>
            </m:r>
            <m:ctrlPr>
              <w:rPr>
                <w:rFonts w:hint="eastAsia" w:ascii="Cambria Math" w:hAnsi="Cambria Math" w:eastAsia="黑体" w:cs="黑体"/>
                <w:b/>
                <w:bCs/>
                <w:kern w:val="2"/>
                <w:sz w:val="16"/>
                <w:szCs w:val="16"/>
                <w:lang w:val="en-US" w:eastAsia="zh-CN" w:bidi="ar-SA"/>
              </w:rPr>
            </m:ctrlPr>
          </m:e>
        </m:acc>
      </m:oMath>
    </w:p>
    <w:tbl>
      <w:tblPr>
        <w:tblStyle w:val="6"/>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76"/>
        <w:gridCol w:w="606"/>
        <w:gridCol w:w="606"/>
        <w:gridCol w:w="606"/>
        <w:gridCol w:w="606"/>
        <w:gridCol w:w="606"/>
        <w:gridCol w:w="606"/>
        <w:gridCol w:w="606"/>
        <w:gridCol w:w="606"/>
        <w:gridCol w:w="606"/>
        <w:gridCol w:w="606"/>
        <w:gridCol w:w="606"/>
        <w:gridCol w:w="606"/>
        <w:gridCol w:w="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vMerge w:val="restart"/>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z/b</w:t>
            </w:r>
          </w:p>
        </w:tc>
        <w:tc>
          <w:tcPr>
            <w:tcW w:w="7878" w:type="dxa"/>
            <w:gridSpan w:val="13"/>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l/b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continue"/>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4.0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0.2423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0.2313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0.2335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0.2099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0.2113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0.1500</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0.0524</w:t>
            </w:r>
          </w:p>
        </w:tc>
      </w:tr>
    </w:tbl>
    <w:p>
      <w:pPr>
        <w:spacing w:line="240" w:lineRule="auto"/>
        <w:rPr>
          <w:rFonts w:hint="eastAsia" w:eastAsiaTheme="minor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r>
        <w:rPr>
          <w:rFonts w:hint="eastAsia"/>
          <w:lang w:val="en-US" w:eastAsia="zh-CN"/>
        </w:rPr>
        <w:drawing>
          <wp:inline distT="0" distB="0" distL="114300" distR="114300">
            <wp:extent cx="5760085" cy="8124825"/>
            <wp:effectExtent l="0" t="0" r="12065" b="9525"/>
            <wp:docPr id="22" name="图片 22" descr="布丁扫描2023-09-26 07-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布丁扫描2023-09-26 07-37-50"/>
                    <pic:cNvPicPr>
                      <a:picLocks noChangeAspect="1"/>
                    </pic:cNvPicPr>
                  </pic:nvPicPr>
                  <pic:blipFill>
                    <a:blip r:embed="rId24"/>
                    <a:srcRect l="8895" t="5830" r="7123" b="10398"/>
                    <a:stretch>
                      <a:fillRect/>
                    </a:stretch>
                  </pic:blipFill>
                  <pic:spPr>
                    <a:xfrm>
                      <a:off x="0" y="0"/>
                      <a:ext cx="5760085" cy="8124825"/>
                    </a:xfrm>
                    <a:prstGeom prst="rect">
                      <a:avLst/>
                    </a:prstGeom>
                  </pic:spPr>
                </pic:pic>
              </a:graphicData>
            </a:graphic>
          </wp:inline>
        </w:drawing>
      </w: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泥石流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74"/>
        <w:gridCol w:w="750"/>
        <w:gridCol w:w="588"/>
        <w:gridCol w:w="589"/>
        <w:gridCol w:w="663"/>
        <w:gridCol w:w="560"/>
        <w:gridCol w:w="1280"/>
        <w:gridCol w:w="590"/>
        <w:gridCol w:w="611"/>
        <w:gridCol w:w="639"/>
        <w:gridCol w:w="1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《工程地质手册》分类</w:t>
            </w:r>
          </w:p>
        </w:tc>
        <w:tc>
          <w:tcPr>
            <w:tcW w:w="750"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流域特征</w:t>
            </w:r>
          </w:p>
        </w:tc>
        <w:tc>
          <w:tcPr>
            <w:tcW w:w="117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标准型泥石流</w:t>
            </w:r>
          </w:p>
        </w:tc>
        <w:tc>
          <w:tcPr>
            <w:tcW w:w="6186" w:type="dxa"/>
            <w:gridSpan w:val="7"/>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呈扇状，可以明显分出形成区、通过区、堆积区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河谷型泥石流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狭长形，形成区不明显，松散物质来源于中游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面积小，呈漏斗状，流通区不明显，形成区与堆积区直接相连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固体物质特征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以黏性土为主，混少量砂土、块石，黏度大，呈黏稠状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由大量的黏性土和粒径不等的砂、块石组成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以大小不等的块石、砂土为主，黏性土含量很少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物质状态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含大量黏性土的泥石流或泥流，水不是搬运介质而是组成物质，块石呈悬浮或支撑状态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水是主要成分，黏性土含量少，有很大分散性，水是搬运介质，块石滚动向前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《岩土工程勘察规范》分类</w:t>
            </w: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Ⅰ</w:t>
            </w:r>
            <w:r>
              <w:rPr>
                <w:rFonts w:hint="eastAsia" w:ascii="Times New Roman" w:hAnsi="Times New Roman" w:cs="Times New Roman"/>
                <w:b w:val="0"/>
                <w:bCs w:val="0"/>
                <w:i w:val="0"/>
                <w:iCs/>
                <w:color w:val="000000"/>
                <w:kern w:val="2"/>
                <w:sz w:val="16"/>
                <w:szCs w:val="16"/>
                <w:vertAlign w:val="baseline"/>
                <w:lang w:val="en-US" w:eastAsia="zh-CN" w:bidi="ar-SA"/>
              </w:rPr>
              <w:t>高频率泥石流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每年基本都发生，固体物质主要来源于沟谷的滑坡、崩塌、滑坡、崩塌严重的沟谷多发生黏性泥石流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Ⅱ</w:t>
            </w:r>
            <w:r>
              <w:rPr>
                <w:rFonts w:hint="eastAsia" w:ascii="Times New Roman" w:hAnsi="Times New Roman" w:cs="Times New Roman"/>
                <w:b w:val="0"/>
                <w:bCs w:val="0"/>
                <w:i w:val="0"/>
                <w:iCs/>
                <w:color w:val="000000"/>
                <w:kern w:val="2"/>
                <w:sz w:val="16"/>
                <w:szCs w:val="16"/>
                <w:vertAlign w:val="baseline"/>
                <w:lang w:val="en-US" w:eastAsia="zh-CN" w:bidi="ar-SA"/>
              </w:rPr>
              <w:t>低频率泥石流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爆发周期一般10年以上，固体物质来源于沟床，性质有粘有稀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《铁路工程不良地质勘察规程》分类</w:t>
            </w: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固体物质成分</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固体物质为黏粒、粉粒，少量砂砾、碎石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固体物质为黏粒、粉粒、砂砾、砾石、碎石、块石、漂石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固体物质为块石、碎石、砾石，少量黏粒、粉粒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规模</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类别</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峰值流量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/s)</w:t>
            </w:r>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固体物质一次最大冲出量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小型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20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&lt;100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大型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100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特大型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高频</w:t>
            </w:r>
          </w:p>
        </w:tc>
        <w:tc>
          <w:tcPr>
            <w:tcW w:w="1840"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中频</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低频</w:t>
            </w:r>
          </w:p>
        </w:tc>
        <w:tc>
          <w:tcPr>
            <w:tcW w:w="184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极低频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≥1次/年</w:t>
            </w:r>
          </w:p>
        </w:tc>
        <w:tc>
          <w:tcPr>
            <w:tcW w:w="1840"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1次/10年~小于1次/年</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5"/>
                <w:szCs w:val="15"/>
                <w:vertAlign w:val="baseline"/>
                <w:lang w:val="en-US" w:eastAsia="zh-CN" w:bidi="ar-SA"/>
              </w:rPr>
              <w:t>1次/100年~小于1次/10年</w:t>
            </w:r>
          </w:p>
        </w:tc>
        <w:tc>
          <w:tcPr>
            <w:tcW w:w="184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&lt;1次/100年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流域形态特征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沟谷型</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流域面积&gt;lkm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default" w:ascii="Times New Roman" w:hAnsi="Times New Roman" w:cs="Times New Roman"/>
                <w:b w:val="0"/>
                <w:bCs w:val="0"/>
                <w:i w:val="0"/>
                <w:iCs/>
                <w:color w:val="000000"/>
                <w:kern w:val="2"/>
                <w:sz w:val="16"/>
                <w:szCs w:val="16"/>
                <w:vertAlign w:val="baseline"/>
                <w:lang w:val="en-US" w:eastAsia="zh-CN" w:bidi="ar-SA"/>
              </w:rPr>
              <w:t>，主沟长度&gt;2km，沟谷形态明显，一般上游宽下游窄，堆积物呈扇形或带状，颗粒有一定磨圆度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流域面积&lt;lk</w:t>
            </w:r>
            <w:r>
              <w:rPr>
                <w:rFonts w:hint="default" w:ascii="Times New Roman" w:hAnsi="Times New Roman" w:cs="Times New Roman"/>
                <w:b w:val="0"/>
                <w:bCs w:val="0"/>
                <w:i w:val="0"/>
                <w:iCs/>
                <w:color w:val="000000"/>
                <w:kern w:val="2"/>
                <w:sz w:val="16"/>
                <w:szCs w:val="16"/>
                <w:vertAlign w:val="baseline"/>
                <w:lang w:val="en-US" w:eastAsia="zh-CN" w:bidi="ar-SA"/>
              </w:rPr>
              <w:t>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eastAsia" w:ascii="Times New Roman" w:hAnsi="Times New Roman" w:cs="Times New Roman"/>
                <w:b w:val="0"/>
                <w:bCs w:val="0"/>
                <w:i w:val="0"/>
                <w:iCs/>
                <w:color w:val="000000"/>
                <w:kern w:val="2"/>
                <w:sz w:val="16"/>
                <w:szCs w:val="16"/>
                <w:vertAlign w:val="baseline"/>
                <w:lang w:val="en-US" w:eastAsia="zh-CN" w:bidi="ar-SA"/>
              </w:rPr>
              <w:t>，主沟长度&lt;2kmn，沟谷短、浅、陡，一般无支沟，堆积物呈锥形，颗粒粗大，棱角明显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流体性质</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性质</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流体密度(kg/m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流态特征</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堆积特征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w:t>
            </w: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&gt;1.5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层流、固液等速运动</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多呈舌状，表层有泥球，粗颗粒有悬浮特点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2.3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w:t>
            </w:r>
            <w:r>
              <w:rPr>
                <w:rFonts w:hint="eastAsia" w:ascii="Times New Roman" w:hAnsi="Times New Roman" w:cs="Times New Roman"/>
                <w:b w:val="0"/>
                <w:bCs w:val="0"/>
                <w:i w:val="0"/>
                <w:iCs/>
                <w:color w:val="000000"/>
                <w:kern w:val="2"/>
                <w:sz w:val="16"/>
                <w:szCs w:val="16"/>
                <w:vertAlign w:val="baseline"/>
                <w:lang w:val="en-US" w:eastAsia="zh-CN" w:bidi="ar-SA"/>
              </w:rPr>
              <w:t>固</w:t>
            </w:r>
            <w:r>
              <w:rPr>
                <w:rFonts w:hint="default" w:ascii="Times New Roman" w:hAnsi="Times New Roman" w:cs="Times New Roman"/>
                <w:b w:val="0"/>
                <w:bCs w:val="0"/>
                <w:i w:val="0"/>
                <w:iCs/>
                <w:color w:val="000000"/>
                <w:kern w:val="2"/>
                <w:sz w:val="16"/>
                <w:szCs w:val="16"/>
                <w:vertAlign w:val="baseline"/>
                <w:lang w:val="en-US" w:eastAsia="zh-CN" w:bidi="ar-SA"/>
              </w:rPr>
              <w:t>、液两相物质呈整体等速运动，能将巨大的漂石悬移或滚动</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多呈扇状或舌状，砾石、块石呈悬浮或支撑状，堆积物无分选，一次堆积无层次，各次堆积分层明显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w:t>
            </w: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状，砾石、碎石块石至滚动或跃移前进，弯道处常见泥浆</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扇状或垄岗状，间有“泥球”出现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状，漂块石呈滚动或跃移前进</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扇状或举岗状，堆积物分选差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122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&lt;1.2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状，砾石、块石呈推移式前进</w:t>
            </w:r>
          </w:p>
        </w:tc>
        <w:tc>
          <w:tcPr>
            <w:tcW w:w="2482"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一般</w:t>
            </w: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扇状，堆积物有分选性</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eastAsia="zh-CN"/>
        </w:rPr>
      </w:pPr>
      <w:r>
        <w:drawing>
          <wp:inline distT="0" distB="0" distL="114300" distR="114300">
            <wp:extent cx="2651125" cy="181737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rcRect l="49717"/>
                    <a:stretch>
                      <a:fillRect/>
                    </a:stretch>
                  </pic:blipFill>
                  <pic:spPr>
                    <a:xfrm>
                      <a:off x="0" y="0"/>
                      <a:ext cx="2651125" cy="1817370"/>
                    </a:xfrm>
                    <a:prstGeom prst="rect">
                      <a:avLst/>
                    </a:prstGeom>
                    <a:noFill/>
                    <a:ln>
                      <a:noFill/>
                    </a:ln>
                  </pic:spPr>
                </pic:pic>
              </a:graphicData>
            </a:graphic>
          </wp:inline>
        </w:drawing>
      </w:r>
      <w:r>
        <w:drawing>
          <wp:inline distT="0" distB="0" distL="114300" distR="114300">
            <wp:extent cx="2588895" cy="181737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rcRect l="614" r="50283"/>
                    <a:stretch>
                      <a:fillRect/>
                    </a:stretch>
                  </pic:blipFill>
                  <pic:spPr>
                    <a:xfrm>
                      <a:off x="0" y="0"/>
                      <a:ext cx="2588895" cy="1817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细粒土塑性图分类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1464"/>
        <w:gridCol w:w="1464"/>
        <w:gridCol w:w="1464"/>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5856" w:type="dxa"/>
            <w:gridSpan w:val="4"/>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土的塑性指数在塑性图中的位置</w:t>
            </w:r>
          </w:p>
        </w:tc>
        <w:tc>
          <w:tcPr>
            <w:tcW w:w="1464"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土类代号</w:t>
            </w:r>
          </w:p>
        </w:tc>
        <w:tc>
          <w:tcPr>
            <w:tcW w:w="1467"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2928"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10mm液限</w:t>
            </w:r>
            <w:r>
              <w:rPr>
                <w:rFonts w:hint="eastAsia" w:ascii="Times New Roman" w:hAnsi="Times New Roman" w:cs="Times New Roman"/>
                <w:b/>
                <w:bCs/>
                <w:i w:val="0"/>
                <w:iCs/>
                <w:color w:val="000000"/>
                <w:spacing w:val="0"/>
                <w:w w:val="66"/>
                <w:kern w:val="0"/>
                <w:sz w:val="13"/>
                <w:szCs w:val="13"/>
                <w:fitText w:val="2080" w:id="20862122"/>
                <w:vertAlign w:val="baseline"/>
                <w:lang w:val="en-US" w:eastAsia="zh-CN"/>
              </w:rPr>
              <w:t>（《土的工程分类》、《土工试验》、《铁路路基》</w:t>
            </w:r>
            <w:r>
              <w:rPr>
                <w:rFonts w:hint="eastAsia" w:ascii="Times New Roman" w:hAnsi="Times New Roman" w:cs="Times New Roman"/>
                <w:b/>
                <w:bCs/>
                <w:i w:val="0"/>
                <w:iCs/>
                <w:color w:val="000000"/>
                <w:spacing w:val="7"/>
                <w:w w:val="66"/>
                <w:kern w:val="0"/>
                <w:sz w:val="13"/>
                <w:szCs w:val="13"/>
                <w:fitText w:val="2080" w:id="20862122"/>
                <w:vertAlign w:val="baseline"/>
                <w:lang w:val="en-US" w:eastAsia="zh-CN"/>
              </w:rPr>
              <w:t>）</w:t>
            </w:r>
          </w:p>
        </w:tc>
        <w:tc>
          <w:tcPr>
            <w:tcW w:w="2928"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17mm液限</w:t>
            </w:r>
            <w:r>
              <w:rPr>
                <w:rFonts w:hint="eastAsia" w:ascii="Times New Roman" w:hAnsi="Times New Roman" w:cs="Times New Roman"/>
                <w:b/>
                <w:bCs/>
                <w:i w:val="0"/>
                <w:iCs/>
                <w:color w:val="000000"/>
                <w:sz w:val="16"/>
                <w:szCs w:val="16"/>
                <w:vertAlign w:val="baseline"/>
                <w:lang w:val="en-US" w:eastAsia="zh-CN"/>
              </w:rPr>
              <w:t>（《岩土勘察》）</w:t>
            </w:r>
          </w:p>
        </w:tc>
        <w:tc>
          <w:tcPr>
            <w:tcW w:w="1464"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17</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7</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CH</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高液限黏土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CL</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液限黏土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&lt;10</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&lt;4</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MH</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高液限粉土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ML</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液限粉土</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试验数据统计计算方法</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870"/>
        <w:gridCol w:w="2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12"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舍弃试验数据</w:t>
            </w:r>
          </w:p>
        </w:tc>
        <w:tc>
          <w:tcPr>
            <w:tcW w:w="2382" w:type="dxa"/>
            <w:tcBorders>
              <w:top w:val="single" w:color="auto" w:sz="12"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cs="Cambria Math"/>
                    <w:sz w:val="16"/>
                    <w:szCs w:val="16"/>
                    <w:lang w:val="en-US"/>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3</m:t>
                    </m:r>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sz w:val="16"/>
                <w:szCs w:val="16"/>
                <w:lang w:val="en-US" w:eastAsia="zh-CN"/>
              </w:rPr>
              <w:t>原位试验数据的平均值:</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sz w:val="16"/>
                <w:szCs w:val="16"/>
                <w:lang w:val="en-US" w:eastAsia="zh-CN"/>
              </w:rPr>
              <w:t>原位试验数据的标准差:</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r>
                  <m:rPr/>
                  <w:rPr>
                    <w:rFonts w:hint="default" w:ascii="Cambria Math" w:hAnsi="Cambria Math"/>
                    <w:sz w:val="16"/>
                    <w:szCs w:val="16"/>
                    <w:lang w:val="en-US" w:eastAsia="zh-CN"/>
                  </w:rPr>
                  <m:t>=</m:t>
                </m:r>
                <m:rad>
                  <m:radPr>
                    <m:degHide m:val="1"/>
                    <m:ctrlPr>
                      <w:rPr>
                        <w:rFonts w:hint="default" w:ascii="Cambria Math" w:hAnsi="Cambria Math"/>
                        <w:i/>
                        <w:sz w:val="16"/>
                        <w:szCs w:val="16"/>
                        <w:lang w:val="en-US" w:eastAsia="zh-CN"/>
                      </w:rPr>
                    </m:ctrlPr>
                  </m:radPr>
                  <m:deg>
                    <m:ctrlPr>
                      <w:rPr>
                        <w:rFonts w:hint="default" w:ascii="Cambria Math" w:hAnsi="Cambria Math"/>
                        <w:i/>
                        <w:sz w:val="16"/>
                        <w:szCs w:val="16"/>
                        <w:lang w:val="en-US" w:eastAsia="zh-CN"/>
                      </w:rPr>
                    </m:ctrlPr>
                  </m:deg>
                  <m:e>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n−1</m:t>
                        </m:r>
                        <m:ctrlPr>
                          <w:rPr>
                            <w:rFonts w:hint="default" w:ascii="Cambria Math" w:hAnsi="Cambria Math"/>
                            <w:i/>
                            <w:sz w:val="16"/>
                            <w:szCs w:val="16"/>
                            <w:lang w:val="en-US" w:eastAsia="zh-CN"/>
                          </w:rPr>
                        </m:ctrlPr>
                      </m:den>
                    </m:f>
                    <m:d>
                      <m:dPr>
                        <m:begChr m:val="["/>
                        <m:endChr m:val="]"/>
                        <m:ctrlPr>
                          <w:rPr>
                            <w:rFonts w:hint="default" w:ascii="Cambria Math" w:hAnsi="Cambria Math"/>
                            <w:i/>
                            <w:sz w:val="16"/>
                            <w:szCs w:val="16"/>
                            <w:lang w:val="en-US" w:eastAsia="zh-CN"/>
                          </w:rPr>
                        </m:ctrlPr>
                      </m:dPr>
                      <m:e>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Sup>
                              <m:sSubSupPr>
                                <m:ctrlPr>
                                  <w:rPr>
                                    <w:rFonts w:ascii="Cambria Math" w:hAnsi="Cambria Math"/>
                                    <w:i/>
                                    <w:sz w:val="16"/>
                                    <w:szCs w:val="16"/>
                                    <w:lang w:val="en-US"/>
                                  </w:rPr>
                                </m:ctrlPr>
                              </m:sSubSup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up>
                                <m:r>
                                  <m:rPr/>
                                  <w:rPr>
                                    <w:rFonts w:hint="default" w:ascii="Cambria Math" w:hAnsi="Cambria Math"/>
                                    <w:sz w:val="16"/>
                                    <w:szCs w:val="16"/>
                                    <w:lang w:val="en-US" w:eastAsia="zh-CN"/>
                                  </w:rPr>
                                  <m:t>2</m:t>
                                </m:r>
                                <m:ctrlPr>
                                  <w:rPr>
                                    <w:rFonts w:ascii="Cambria Math" w:hAnsi="Cambria Math"/>
                                    <w:i/>
                                    <w:sz w:val="16"/>
                                    <w:szCs w:val="16"/>
                                    <w:lang w:val="en-US"/>
                                  </w:rPr>
                                </m:ctrlPr>
                              </m:sup>
                            </m:sSubSup>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p>
                              <m:sSupPr>
                                <m:ctrlPr>
                                  <w:rPr>
                                    <w:rFonts w:hint="default" w:ascii="Cambria Math" w:hAnsi="Cambria Math"/>
                                    <w:i/>
                                    <w:sz w:val="16"/>
                                    <w:szCs w:val="16"/>
                                    <w:lang w:val="en-US" w:eastAsia="zh-CN"/>
                                  </w:rPr>
                                </m:ctrlPr>
                              </m:sSupPr>
                              <m:e>
                                <m:r>
                                  <m:rPr/>
                                  <w:rPr>
                                    <w:rFonts w:hint="default" w:ascii="Cambria Math" w:hAnsi="Cambria Math"/>
                                    <w:sz w:val="16"/>
                                    <w:szCs w:val="16"/>
                                    <w:lang w:val="en-US" w:eastAsia="zh-CN"/>
                                  </w:rPr>
                                  <m:t>(</m:t>
                                </m:r>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ctrlPr>
                                  <w:rPr>
                                    <w:rFonts w:hint="default" w:ascii="Cambria Math" w:hAnsi="Cambria Math"/>
                                    <w:i/>
                                    <w:sz w:val="16"/>
                                    <w:szCs w:val="16"/>
                                    <w:lang w:val="en-US" w:eastAsia="zh-CN"/>
                                  </w:rPr>
                                </m:ctrlPr>
                              </m:e>
                              <m:sup>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p>
                            </m:sSup>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ctrlPr>
                          <w:rPr>
                            <w:rFonts w:hint="default" w:ascii="Cambria Math" w:hAnsi="Cambria Math"/>
                            <w:i/>
                            <w:sz w:val="16"/>
                            <w:szCs w:val="16"/>
                            <w:lang w:val="en-US" w:eastAsia="zh-CN"/>
                          </w:rPr>
                        </m:ctrlPr>
                      </m:e>
                    </m:d>
                    <m:ctrlPr>
                      <w:rPr>
                        <w:rFonts w:hint="default" w:ascii="Cambria Math" w:hAnsi="Cambria Math"/>
                        <w:i/>
                        <w:sz w:val="16"/>
                        <w:szCs w:val="16"/>
                        <w:lang w:val="en-US" w:eastAsia="zh-CN"/>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原位试验数据的变异系数:</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r>
                  <m:rPr/>
                  <w:rPr>
                    <w:rFonts w:ascii="Cambria Math" w:hAnsi="Cambria Math"/>
                    <w:sz w:val="16"/>
                    <w:szCs w:val="16"/>
                    <w:lang w:val="en-US"/>
                  </w:rPr>
                  <m:t>δ</m:t>
                </m:r>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ctrlPr>
                      <w:rPr>
                        <w:rFonts w:hint="default" w:ascii="Cambria Math" w:hAnsi="Cambria Math"/>
                        <w:i/>
                        <w:sz w:val="16"/>
                        <w:szCs w:val="16"/>
                        <w:lang w:val="en-US" w:eastAsia="zh-CN"/>
                      </w:rPr>
                    </m:ctrlPr>
                  </m:num>
                  <m:den>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ctrlPr>
                      <w:rPr>
                        <w:rFonts w:hint="default" w:ascii="Cambria Math" w:hAnsi="Cambria Math"/>
                        <w:i/>
                        <w:sz w:val="16"/>
                        <w:szCs w:val="16"/>
                        <w:lang w:val="en-US" w:eastAsia="zh-CN"/>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统计修正系数:</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=1−</m:t>
                </m:r>
                <m:d>
                  <m:dPr>
                    <m:begChr m:val="{"/>
                    <m:endChr m:val="}"/>
                    <m:ctrlPr>
                      <w:rPr>
                        <w:rFonts w:hint="default" w:ascii="Cambria Math" w:hAnsi="Cambria Math" w:cs="Times New Roman"/>
                        <w:bCs w:val="0"/>
                        <w:i/>
                        <w:iCs/>
                        <w:color w:val="000000"/>
                        <w:sz w:val="16"/>
                        <w:szCs w:val="16"/>
                        <w:vertAlign w:val="baseline"/>
                        <w:lang w:val="en-US" w:eastAsia="zh-CN"/>
                      </w:rPr>
                    </m:ctrlPr>
                  </m:dPr>
                  <m:e>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1.704</m:t>
                        </m:r>
                        <m:ctrlPr>
                          <w:rPr>
                            <w:rFonts w:hint="default" w:ascii="Cambria Math" w:hAnsi="Cambria Math" w:cs="Times New Roman"/>
                            <w:bCs w:val="0"/>
                            <w:i/>
                            <w:iCs/>
                            <w:color w:val="000000"/>
                            <w:sz w:val="16"/>
                            <w:szCs w:val="16"/>
                            <w:vertAlign w:val="baseline"/>
                            <w:lang w:val="en-US" w:eastAsia="zh-CN"/>
                          </w:rPr>
                        </m:ctrlPr>
                      </m:num>
                      <m:den>
                        <m:rad>
                          <m:radPr>
                            <m:degHide m:val="1"/>
                            <m:ctrlPr>
                              <w:rPr>
                                <w:rFonts w:hint="default" w:ascii="Cambria Math" w:hAnsi="Cambria Math" w:cs="Times New Roman"/>
                                <w:bCs w:val="0"/>
                                <w:i/>
                                <w:iCs/>
                                <w:color w:val="000000"/>
                                <w:sz w:val="16"/>
                                <w:szCs w:val="16"/>
                                <w:vertAlign w:val="baseline"/>
                                <w:lang w:val="en-US" w:eastAsia="zh-CN"/>
                              </w:rPr>
                            </m:ctrlPr>
                          </m:radPr>
                          <m:deg>
                            <m:ctrlPr>
                              <w:rPr>
                                <w:rFonts w:hint="default" w:ascii="Cambria Math" w:hAnsi="Cambria Math" w:cs="Times New Roman"/>
                                <w:bCs w:val="0"/>
                                <w:i/>
                                <w:iCs/>
                                <w:color w:val="000000"/>
                                <w:sz w:val="16"/>
                                <w:szCs w:val="16"/>
                                <w:vertAlign w:val="baseline"/>
                                <w:lang w:val="en-US" w:eastAsia="zh-CN"/>
                              </w:rPr>
                            </m:ctrlPr>
                          </m:deg>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rad>
                        <m:ctrlPr>
                          <w:rPr>
                            <w:rFonts w:hint="default" w:ascii="Cambria Math" w:hAnsi="Cambria Math" w:cs="Times New Roman"/>
                            <w:bCs w:val="0"/>
                            <w:i/>
                            <w:iCs/>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4.678</m:t>
                        </m:r>
                        <m:ctrlPr>
                          <w:rPr>
                            <w:rFonts w:hint="default" w:ascii="Cambria Math" w:hAnsi="Cambria Math" w:cs="Times New Roman"/>
                            <w:bCs w:val="0"/>
                            <w:i/>
                            <w:iCs/>
                            <w:color w:val="000000"/>
                            <w:sz w:val="16"/>
                            <w:szCs w:val="16"/>
                            <w:vertAlign w:val="baseline"/>
                            <w:lang w:val="en-US" w:eastAsia="zh-CN"/>
                          </w:rPr>
                        </m:ctrlPr>
                      </m:num>
                      <m:den>
                        <m:sSup>
                          <m:sSupPr>
                            <m:ctrlPr>
                              <w:rPr>
                                <w:rFonts w:hint="default" w:ascii="Cambria Math" w:hAnsi="Cambria Math" w:cs="Times New Roman"/>
                                <w:bCs w:val="0"/>
                                <w:i/>
                                <w:iCs/>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Cs w:val="0"/>
                                <w:i/>
                                <w:iCs/>
                                <w:color w:val="000000"/>
                                <w:sz w:val="16"/>
                                <w:szCs w:val="16"/>
                                <w:vertAlign w:val="baseline"/>
                                <w:lang w:val="en-US" w:eastAsia="zh-CN"/>
                              </w:rPr>
                            </m:ctrlPr>
                          </m:sup>
                        </m:sSup>
                        <m:ctrlPr>
                          <w:rPr>
                            <w:rFonts w:hint="default" w:ascii="Cambria Math" w:hAnsi="Cambria Math" w:cs="Times New Roman"/>
                            <w:bCs w:val="0"/>
                            <w:i/>
                            <w:iCs/>
                            <w:color w:val="000000"/>
                            <w:sz w:val="16"/>
                            <w:szCs w:val="16"/>
                            <w:vertAlign w:val="baseline"/>
                            <w:lang w:val="en-US" w:eastAsia="zh-CN"/>
                          </w:rPr>
                        </m:ctrlPr>
                      </m:den>
                    </m:f>
                    <m:ctrlPr>
                      <w:rPr>
                        <w:rFonts w:hint="default" w:ascii="Cambria Math" w:hAnsi="Cambria Math" w:cs="Times New Roman"/>
                        <w:bCs w:val="0"/>
                        <w:i/>
                        <w:iCs/>
                        <w:color w:val="000000"/>
                        <w:sz w:val="16"/>
                        <w:szCs w:val="16"/>
                        <w:vertAlign w:val="baseline"/>
                        <w:lang w:val="en-US" w:eastAsia="zh-CN"/>
                      </w:rPr>
                    </m:ctrlPr>
                  </m:e>
                </m:d>
                <m:r>
                  <m:rPr/>
                  <w:rPr>
                    <w:rFonts w:ascii="Cambria Math" w:hAnsi="Cambria Math"/>
                    <w:sz w:val="16"/>
                    <w:szCs w:val="16"/>
                    <w:lang w:val="en-US"/>
                  </w:rPr>
                  <m:t>δ</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原位试验数据的标准值:</w:t>
            </w:r>
          </w:p>
        </w:tc>
        <w:tc>
          <w:tcPr>
            <w:tcW w:w="2382" w:type="dxa"/>
            <w:tcBorders>
              <w:top w:val="single" w:color="auto" w:sz="4" w:space="0"/>
              <w:left w:val="nil"/>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k</m:t>
                    </m:r>
                    <m:ctrlPr>
                      <w:rPr>
                        <w:rFonts w:ascii="Cambria Math" w:hAnsi="Cambria Math"/>
                        <w:i/>
                        <w:sz w:val="16"/>
                        <w:szCs w:val="16"/>
                        <w:lang w:val="en-US"/>
                      </w:rPr>
                    </m:ctrlPr>
                  </m:sub>
                </m:sSub>
                <m:r>
                  <m:rPr/>
                  <w:rPr>
                    <w:rFonts w:hint="default" w:ascii="Cambria Math" w:hAnsi="Cambria Math"/>
                    <w:sz w:val="16"/>
                    <w:szCs w:val="16"/>
                    <w:lang w:val="en-US" w:eastAsia="zh-CN"/>
                  </w:rPr>
                  <m:t>=</m:t>
                </m:r>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oMath>
            </m:oMathPara>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塌方程度系数A值</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0"/>
        <w:gridCol w:w="5170"/>
        <w:gridCol w:w="1137"/>
        <w:gridCol w:w="86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塌方程度</w:t>
            </w:r>
          </w:p>
        </w:tc>
        <w:tc>
          <w:tcPr>
            <w:tcW w:w="517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塌方区岩性及边坡特征</w:t>
            </w:r>
          </w:p>
        </w:tc>
        <w:tc>
          <w:tcPr>
            <w:tcW w:w="113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塌方面积率</w:t>
            </w:r>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iCs/>
                      <w:color w:val="000000"/>
                      <w:sz w:val="16"/>
                      <w:szCs w:val="16"/>
                      <w:vertAlign w:val="baseline"/>
                      <w:lang w:val="en-US" w:eastAsia="zh-CN"/>
                    </w:rPr>
                  </m:ctrlPr>
                </m:sub>
              </m:sSub>
            </m:oMath>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严重的</w:t>
            </w:r>
          </w:p>
        </w:tc>
        <w:tc>
          <w:tcPr>
            <w:tcW w:w="517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塌方区经常处于不稳定状态，表层松散，多为近代残积、坡积层，第三系半胶结粉细砂岩，泥灰岩。松散堆积层厚度大于10m，塌方集中，多滑坡，冲沟发育，沟头多为葫芦状</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20~30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b w:val="0"/>
                <w:bCs w:val="0"/>
                <w:i w:val="0"/>
                <w:iCs/>
                <w:color w:val="000000"/>
                <w:kern w:val="2"/>
                <w:sz w:val="16"/>
                <w:szCs w:val="16"/>
                <w:vertAlign w:val="baseline"/>
                <w:lang w:val="en-US" w:eastAsia="zh-CN" w:bidi="ar-SA"/>
              </w:rPr>
              <w:t>500</w:t>
            </w:r>
          </w:p>
        </w:tc>
        <w:tc>
          <w:tcPr>
            <w:tcW w:w="8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1.1~1.4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较严重的</w:t>
            </w:r>
          </w:p>
        </w:tc>
        <w:tc>
          <w:tcPr>
            <w:tcW w:w="517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山坡不很稳定，岩层破碎，残积、坡积层厚3~10m，中等密实，表层松散，塌方区不太集中，沟岸冲刷严重，但对其上方山坡稳定性影响小</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10~20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350~500</w:t>
            </w:r>
          </w:p>
        </w:tc>
        <w:tc>
          <w:tcPr>
            <w:tcW w:w="8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0.9~1.1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一般的</w:t>
            </w:r>
          </w:p>
        </w:tc>
        <w:tc>
          <w:tcPr>
            <w:tcW w:w="517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山坡为砂页岩互层，风化较严重，堆积层不厚，表上含砂量大，有小型塌方和小型冲沟，且分散</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5~10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270~400</w:t>
            </w:r>
          </w:p>
        </w:tc>
        <w:tc>
          <w:tcPr>
            <w:tcW w:w="8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0.7~0.9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轻微的</w:t>
            </w:r>
          </w:p>
        </w:tc>
        <w:tc>
          <w:tcPr>
            <w:tcW w:w="517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塌方区边坡般较缓，或上陡下缓，有趋于稳定的现象，沟岸等处堆积层趋于稳定，少部分山坡岩层风化剥落，其他多属死塌方、死滑坡</w:t>
            </w:r>
          </w:p>
        </w:tc>
        <w:tc>
          <w:tcPr>
            <w:tcW w:w="113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w:t>
            </w:r>
          </w:p>
        </w:tc>
        <w:tc>
          <w:tcPr>
            <w:tcW w:w="860"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250~350</w:t>
            </w:r>
          </w:p>
        </w:tc>
        <w:tc>
          <w:tcPr>
            <w:tcW w:w="86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0.5~0.7</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both"/>
        <w:textAlignment w:val="auto"/>
        <w:rPr>
          <w:rFonts w:hint="default"/>
          <w:sz w:val="16"/>
          <w:szCs w:val="16"/>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离子含量mmol/L、mg/L与me/L换算系数表（</w:t>
      </w:r>
      <m:oMath>
        <m:r>
          <m:rPr>
            <m:sty m:val="b"/>
          </m:rPr>
          <w:rPr>
            <w:rFonts w:hint="default" w:ascii="Cambria Math" w:hAnsi="Cambria Math" w:eastAsia="黑体" w:cs="黑体"/>
            <w:kern w:val="2"/>
            <w:sz w:val="16"/>
            <w:szCs w:val="16"/>
            <w:lang w:val="en-US" w:eastAsia="zh-CN" w:bidi="ar-SA"/>
          </w:rPr>
          <m:t>mmol/L=</m:t>
        </m:r>
        <m:f>
          <m:fPr>
            <m:ctrlPr>
              <w:rPr>
                <w:rFonts w:hint="default" w:ascii="Cambria Math" w:hAnsi="Cambria Math" w:eastAsia="黑体" w:cs="黑体"/>
                <w:b/>
                <w:bCs/>
                <w:kern w:val="2"/>
                <w:sz w:val="16"/>
                <w:szCs w:val="16"/>
                <w:lang w:val="en-US" w:eastAsia="zh-CN" w:bidi="ar-SA"/>
              </w:rPr>
            </m:ctrlPr>
          </m:fPr>
          <m:num>
            <m:r>
              <m:rPr>
                <m:sty m:val="b"/>
              </m:rPr>
              <w:rPr>
                <w:rFonts w:hint="default" w:ascii="Cambria Math" w:hAnsi="Cambria Math" w:eastAsia="黑体" w:cs="黑体"/>
                <w:kern w:val="2"/>
                <w:sz w:val="16"/>
                <w:szCs w:val="16"/>
                <w:lang w:val="en-US" w:eastAsia="zh-CN" w:bidi="ar-SA"/>
              </w:rPr>
              <m:t>mg/L</m:t>
            </m:r>
            <m:ctrlPr>
              <w:rPr>
                <w:rFonts w:hint="default" w:ascii="Cambria Math" w:hAnsi="Cambria Math" w:eastAsia="黑体" w:cs="黑体"/>
                <w:b/>
                <w:bCs/>
                <w:kern w:val="2"/>
                <w:sz w:val="16"/>
                <w:szCs w:val="16"/>
                <w:lang w:val="en-US" w:eastAsia="zh-CN" w:bidi="ar-SA"/>
              </w:rPr>
            </m:ctrlPr>
          </m:num>
          <m:den>
            <m:r>
              <m:rPr>
                <m:sty m:val="p"/>
              </m:rPr>
              <w:rPr>
                <w:rFonts w:hint="eastAsia" w:ascii="Times New Roman" w:hAnsi="Times New Roman" w:cs="Times New Roman"/>
                <w:color w:val="000000"/>
                <w:sz w:val="16"/>
                <w:szCs w:val="16"/>
                <w:vertAlign w:val="baseline"/>
                <w:lang w:val="en-US" w:eastAsia="zh-CN"/>
              </w:rPr>
              <m:t>化学结构式量</m:t>
            </m:r>
            <m:ctrlPr>
              <w:rPr>
                <w:rFonts w:hint="default" w:ascii="Cambria Math" w:hAnsi="Cambria Math" w:eastAsia="黑体" w:cs="黑体"/>
                <w:b/>
                <w:bCs/>
                <w:kern w:val="2"/>
                <w:sz w:val="16"/>
                <w:szCs w:val="16"/>
                <w:lang w:val="en-US" w:eastAsia="zh-CN" w:bidi="ar-SA"/>
              </w:rPr>
            </m:ctrlPr>
          </m:den>
        </m:f>
      </m:oMath>
      <w:r>
        <w:rPr>
          <w:rFonts w:hint="eastAsia" w:hAnsi="Cambria Math" w:eastAsia="黑体" w:cs="黑体"/>
          <w:b/>
          <w:bCs/>
          <w:i w:val="0"/>
          <w:kern w:val="2"/>
          <w:sz w:val="16"/>
          <w:szCs w:val="16"/>
          <w:lang w:val="en-US" w:eastAsia="zh-CN" w:bidi="ar-SA"/>
        </w:rPr>
        <w:t>；</w:t>
      </w:r>
      <m:oMath>
        <m:r>
          <m:rPr>
            <m:sty m:val="b"/>
          </m:rPr>
          <w:rPr>
            <w:rFonts w:hint="default" w:ascii="Cambria Math" w:hAnsi="Cambria Math" w:eastAsia="黑体" w:cs="黑体"/>
            <w:kern w:val="2"/>
            <w:sz w:val="16"/>
            <w:szCs w:val="16"/>
            <w:lang w:val="en-US" w:eastAsia="zh-CN" w:bidi="ar-SA"/>
          </w:rPr>
          <m:t>me/L=mg/L×换算系数</m:t>
        </m:r>
      </m:oMath>
      <w:r>
        <w:rPr>
          <w:rFonts w:hint="eastAsia" w:ascii="黑体" w:hAnsi="黑体" w:eastAsia="黑体" w:cs="黑体"/>
          <w:b/>
          <w:bCs/>
          <w:sz w:val="16"/>
          <w:szCs w:val="16"/>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96"/>
        <w:gridCol w:w="731"/>
        <w:gridCol w:w="651"/>
        <w:gridCol w:w="651"/>
        <w:gridCol w:w="651"/>
        <w:gridCol w:w="651"/>
        <w:gridCol w:w="651"/>
        <w:gridCol w:w="651"/>
        <w:gridCol w:w="6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离子名称</w:t>
            </w:r>
          </w:p>
        </w:tc>
        <w:tc>
          <w:tcPr>
            <w:tcW w:w="73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Na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Mg</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NH</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Cl</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SO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HCO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化学结构式量</w:t>
            </w:r>
          </w:p>
        </w:tc>
        <w:tc>
          <w:tcPr>
            <w:tcW w:w="73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23</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40</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24</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18</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35.5</w:t>
            </w:r>
          </w:p>
        </w:tc>
        <w:tc>
          <w:tcPr>
            <w:tcW w:w="6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96</w:t>
            </w:r>
          </w:p>
        </w:tc>
        <w:tc>
          <w:tcPr>
            <w:tcW w:w="6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61</w:t>
            </w:r>
          </w:p>
        </w:tc>
        <w:tc>
          <w:tcPr>
            <w:tcW w:w="65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mg/L换算为me/L的系数</w:t>
            </w:r>
          </w:p>
        </w:tc>
        <w:tc>
          <w:tcPr>
            <w:tcW w:w="73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0.043</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0.050</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0.082</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0.055</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0.028</w:t>
            </w:r>
          </w:p>
        </w:tc>
        <w:tc>
          <w:tcPr>
            <w:tcW w:w="65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0.021</w:t>
            </w:r>
          </w:p>
        </w:tc>
        <w:tc>
          <w:tcPr>
            <w:tcW w:w="65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0.016</w:t>
            </w:r>
          </w:p>
        </w:tc>
        <w:tc>
          <w:tcPr>
            <w:tcW w:w="65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0.033</w:t>
            </w:r>
          </w:p>
        </w:tc>
      </w:tr>
    </w:tbl>
    <w:p>
      <w:pPr>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地表变形最大值计算</w:t>
      </w:r>
    </w:p>
    <w:tbl>
      <w:tblPr>
        <w:tblStyle w:val="7"/>
        <w:tblW w:w="680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08"/>
        <w:gridCol w:w="1333"/>
        <w:gridCol w:w="759"/>
        <w:gridCol w:w="1208"/>
        <w:gridCol w:w="21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restart"/>
            <w:tcBorders>
              <w:top w:val="single" w:color="auto" w:sz="12"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地表最大下沉值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（垂直移动）</w:t>
            </w:r>
          </w:p>
        </w:tc>
        <w:tc>
          <w:tcPr>
            <w:tcW w:w="2092" w:type="dxa"/>
            <w:gridSpan w:val="2"/>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充分采动</w:t>
            </w:r>
          </w:p>
        </w:tc>
        <w:tc>
          <w:tcPr>
            <w:tcW w:w="3403" w:type="dxa"/>
            <w:gridSpan w:val="2"/>
            <w:tcBorders>
              <w:top w:val="single" w:color="auto" w:sz="12"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20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非充分采动</w:t>
            </w:r>
          </w:p>
        </w:tc>
        <w:tc>
          <w:tcPr>
            <w:tcW w:w="3403" w:type="dxa"/>
            <w:gridSpan w:val="2"/>
            <w:tcBorders>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Cambria Math"/>
                <w:i w:val="0"/>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fm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∙n∙</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m:oMath>
              <m:r>
                <m:rPr/>
                <w:rPr>
                  <w:rFonts w:hint="default" w:ascii="Cambria Math" w:hAnsi="Cambria Math" w:cs="Times New Roman"/>
                  <w:color w:val="000000"/>
                  <w:kern w:val="2"/>
                  <w:sz w:val="16"/>
                  <w:szCs w:val="16"/>
                  <w:vertAlign w:val="baseline"/>
                  <w:lang w:val="en-US" w:eastAsia="zh-CN" w:bidi="ar-SA"/>
                </w:rPr>
                <m:t>n</m:t>
              </m:r>
              <m:r>
                <m:rPr>
                  <m:sty m:val="p"/>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val="0"/>
                      <w:i w:val="0"/>
                      <w:iCs/>
                      <w:color w:val="000000"/>
                      <w:kern w:val="2"/>
                      <w:sz w:val="16"/>
                      <w:szCs w:val="16"/>
                      <w:vertAlign w:val="baseline"/>
                      <w:lang w:val="en-US" w:eastAsia="zh-CN" w:bidi="ar-SA"/>
                    </w:rPr>
                  </m:ctrlPr>
                </m:radPr>
                <m:deg>
                  <m:ctrlPr>
                    <w:rPr>
                      <w:rFonts w:hint="default" w:ascii="Cambria Math" w:hAnsi="Cambria Math" w:cs="Times New Roman"/>
                      <w:b w:val="0"/>
                      <w:bCs w:val="0"/>
                      <w:i w:val="0"/>
                      <w:iCs/>
                      <w:color w:val="000000"/>
                      <w:kern w:val="2"/>
                      <w:sz w:val="16"/>
                      <w:szCs w:val="16"/>
                      <w:vertAlign w:val="baseline"/>
                      <w:lang w:val="en-US" w:eastAsia="zh-CN" w:bidi="ar-SA"/>
                    </w:rPr>
                  </m:ctrlPr>
                </m:deg>
                <m:e>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sSub>
                    <m:sSubPr>
                      <m:ctrlPr>
                        <w:rPr>
                          <w:rFonts w:hint="default" w:ascii="Cambria Math" w:hAnsi="Cambria Math" w:cs="Cambria Math"/>
                          <w:i/>
                          <w:color w:val="000000"/>
                          <w:kern w:val="2"/>
                          <w:sz w:val="16"/>
                          <w:szCs w:val="16"/>
                          <w:vertAlign w:val="baseline"/>
                          <w:lang w:val="en-US" w:eastAsia="zh-CN" w:bidi="ar-SA"/>
                        </w:rPr>
                      </m:ctrlPr>
                    </m:sSubPr>
                    <m:e>
                      <m:r>
                        <m:rPr/>
                        <w:rPr>
                          <w:rFonts w:hint="default" w:ascii="Cambria Math" w:hAnsi="Cambria Math" w:cs="Cambria Math"/>
                          <w:color w:val="000000"/>
                          <w:kern w:val="2"/>
                          <w:sz w:val="16"/>
                          <w:szCs w:val="16"/>
                          <w:vertAlign w:val="baseline"/>
                          <w:lang w:val="en-US" w:eastAsia="zh-CN" w:bidi="ar-SA"/>
                        </w:rPr>
                        <m:t>n</m:t>
                      </m:r>
                      <m:ctrlPr>
                        <w:rPr>
                          <w:rFonts w:hint="default" w:ascii="Cambria Math" w:hAnsi="Cambria Math" w:cs="Cambria Math"/>
                          <w:i/>
                          <w:color w:val="000000"/>
                          <w:kern w:val="2"/>
                          <w:sz w:val="16"/>
                          <w:szCs w:val="16"/>
                          <w:vertAlign w:val="baseline"/>
                          <w:lang w:val="en-US" w:eastAsia="zh-CN" w:bidi="ar-SA"/>
                        </w:rPr>
                      </m:ctrlPr>
                    </m:e>
                    <m:sub>
                      <m:r>
                        <m:rPr/>
                        <w:rPr>
                          <w:rFonts w:hint="default" w:ascii="Cambria Math" w:hAnsi="Cambria Math" w:cs="Cambria Math"/>
                          <w:color w:val="000000"/>
                          <w:kern w:val="2"/>
                          <w:sz w:val="16"/>
                          <w:szCs w:val="16"/>
                          <w:vertAlign w:val="baseline"/>
                          <w:lang w:val="en-US" w:eastAsia="zh-CN" w:bidi="ar-SA"/>
                        </w:rPr>
                        <m:t>3</m:t>
                      </m:r>
                      <m:ctrlPr>
                        <w:rPr>
                          <w:rFonts w:hint="default" w:ascii="Cambria Math" w:hAnsi="Cambria Math" w:cs="Cambria Math"/>
                          <w:i/>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rad>
            </m:oMath>
            <w:r>
              <w:rPr>
                <w:rFonts w:hint="eastAsia" w:hAnsi="Cambria Math" w:cs="Times New Roman"/>
                <w:b w:val="0"/>
                <w:bCs w:val="0"/>
                <w:i w:val="0"/>
                <w:iCs/>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r>
              <w:rPr>
                <w:rFonts w:hint="eastAsia" w:hAnsi="Cambria Math" w:cs="Cambria Math"/>
                <w:i w:val="0"/>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地表最大</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水平移动值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（水平移动）</w:t>
            </w:r>
          </w:p>
        </w:tc>
        <w:tc>
          <w:tcPr>
            <w:tcW w:w="20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沿煤层倾斜走向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Cs/>
                <w:i w:val="0"/>
                <w:iCs/>
                <w:color w:val="000000"/>
                <w:kern w:val="2"/>
                <w:sz w:val="16"/>
                <w:szCs w:val="16"/>
                <w:vertAlign w:val="baseline"/>
                <w:lang w:val="en-US" w:eastAsia="zh-CN" w:bidi="ar-SA"/>
              </w:rPr>
            </w:pP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ascii="Cambria Math" w:hAnsi="Cambria Math" w:cs="Cambria Math"/>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r>
              <w:rPr>
                <w:rFonts w:hint="eastAsia" w:hAnsi="Cambria Math" w:cs="Times New Roman"/>
                <w:bCs/>
                <w:i w:val="0"/>
                <w:iCs/>
                <w:color w:val="000000"/>
                <w:kern w:val="2"/>
                <w:sz w:val="16"/>
                <w:szCs w:val="16"/>
                <w:vertAlign w:val="baseline"/>
                <w:lang w:val="en-US" w:eastAsia="zh-CN" w:bidi="ar-SA"/>
              </w:rPr>
              <w:t>或</w:t>
            </w: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=(b+0.7</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i/>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i/>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num>
                  <m:den>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地面主要影响半径</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 xml:space="preserve">   (m)</m:t>
                </m:r>
              </m:oMath>
            </m:oMathPara>
          </w:p>
        </w:tc>
        <w:tc>
          <w:tcPr>
            <w:tcW w:w="120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最大倾斜变形值</w:t>
            </w:r>
          </w:p>
        </w:tc>
        <w:tc>
          <w:tcPr>
            <w:tcW w:w="2195"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i</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10</m:t>
                </m:r>
                <m:r>
                  <m:rPr>
                    <m:sty m:val="p"/>
                  </m:rPr>
                  <w:rPr>
                    <w:rFonts w:hint="default" w:ascii="Cambria Math" w:hAnsi="Cambria Math" w:cs="Times New Roman"/>
                    <w:color w:val="000000"/>
                    <w:kern w:val="2"/>
                    <w:sz w:val="16"/>
                    <w:szCs w:val="16"/>
                    <w:vertAlign w:val="baseline"/>
                    <w:lang w:val="en-US" w:eastAsia="zh-CN" w:bidi="ar-SA"/>
                  </w:rPr>
                  <m:t>mm/m</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最大水平变形值</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ε</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=1.52b</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m:t>
                </m:r>
              </m:oMath>
            </m:oMathPara>
          </w:p>
        </w:tc>
        <w:tc>
          <w:tcPr>
            <w:tcW w:w="120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最大曲率变形值</w:t>
            </w:r>
          </w:p>
        </w:tc>
        <w:tc>
          <w:tcPr>
            <w:tcW w:w="2195"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sSup>
                      <m:sSupPr>
                        <m:ctrlPr>
                          <w:rPr>
                            <w:rFonts w:hint="default" w:ascii="Cambria Math" w:hAnsi="Cambria Math" w:cs="Times New Roman"/>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color w:val="000000"/>
                            <w:kern w:val="2"/>
                            <w:sz w:val="16"/>
                            <w:szCs w:val="16"/>
                            <w:vertAlign w:val="baseline"/>
                            <w:lang w:val="en-US" w:eastAsia="zh-CN" w:bidi="ar-SA"/>
                          </w:rPr>
                        </m:ctrlPr>
                      </m:sup>
                    </m:sSup>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≤0.</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t>
                </m:r>
                <m:sSup>
                  <m:sSupPr>
                    <m:ctrlPr>
                      <w:rPr>
                        <w:rFonts w:hint="default" w:ascii="Cambria Math" w:hAnsi="Cambria Math" w:cs="Times New Roman"/>
                        <w:b w:val="0"/>
                        <w:i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i w:val="0"/>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i w:val="0"/>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采深采厚比</w:t>
            </w:r>
          </w:p>
        </w:tc>
        <w:tc>
          <w:tcPr>
            <w:tcW w:w="5495" w:type="dxa"/>
            <w:gridSpan w:val="4"/>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ascii="Cambria Math" w:hAnsi="Cambria Math" w:cs="Times New Roman"/>
                <w:bCs w:val="0"/>
                <w:i/>
                <w:iCs/>
                <w:color w:val="000000"/>
                <w:kern w:val="2"/>
                <w:sz w:val="16"/>
                <w:szCs w:val="16"/>
                <w:vertAlign w:val="baseline"/>
                <w:lang w:val="en-US" w:bidi="ar-SA"/>
                <w:oMath/>
              </w:rPr>
            </w:pPr>
            <m:oMathPara>
              <m:oMath>
                <m:r>
                  <m:rPr>
                    <m:sty m:val="p"/>
                  </m:rPr>
                  <w:rPr>
                    <w:rFonts w:hint="default" w:ascii="Times New Roman" w:hAnsi="Times New Roman" w:cs="Times New Roman" w:eastAsiaTheme="minorEastAsia"/>
                    <w:color w:val="000000"/>
                    <w:kern w:val="2"/>
                    <w:sz w:val="16"/>
                    <w:szCs w:val="16"/>
                    <w:vertAlign w:val="baseline"/>
                    <w:lang w:val="en-US" w:eastAsia="zh-CN" w:bidi="ar-SA"/>
                  </w:rPr>
                  <m:t>采深采厚比</m:t>
                </m:r>
                <m:r>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开采深度</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矿层真厚度</m:t>
                </m:r>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30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single" w:color="auto" w:sz="4" w:space="0"/>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充分采动条件下地表最大下沉值(mm)</w:t>
            </w:r>
          </w:p>
        </w:tc>
        <w:tc>
          <w:tcPr>
            <w:tcW w:w="4162" w:type="dxa"/>
            <w:gridSpan w:val="3"/>
            <w:tcBorders>
              <w:top w:val="single" w:color="auto" w:sz="4" w:space="0"/>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采出矿层法向厚度，即真厚度(m)</w:t>
            </w:r>
            <m:oMath>
              <m:r>
                <m:rPr>
                  <m:sty m:val="p"/>
                </m:rPr>
                <w:rPr>
                  <w:rFonts w:hint="default" w:ascii="Cambria Math" w:hAnsi="Cambria Math" w:cs="Times New Roman"/>
                  <w:color w:val="000000"/>
                  <w:kern w:val="2"/>
                  <w:sz w:val="11"/>
                  <w:szCs w:val="11"/>
                  <w:vertAlign w:val="baseline"/>
                  <w:lang w:val="en-US" w:eastAsia="zh-CN" w:bidi="ar-SA"/>
                </w:rPr>
                <m:t>=(底埋深−顶埋深)</m:t>
              </m:r>
              <m:r>
                <m:rPr>
                  <m:sty m:val="p"/>
                </m:rPr>
                <w:rPr>
                  <w:rFonts w:hint="default" w:ascii="Cambria Math" w:hAnsi="Cambria Math" w:cs="Times New Roman"/>
                  <w:color w:val="000000"/>
                  <w:kern w:val="2"/>
                  <w:sz w:val="11"/>
                  <w:szCs w:val="11"/>
                  <w:vertAlign w:val="baseline"/>
                  <w:lang w:val="en-US" w:bidi="ar-SA"/>
                </w:rPr>
                <m:t>×</m:t>
              </m:r>
              <m:func>
                <m:funcPr>
                  <m:ctrlPr>
                    <w:rPr>
                      <w:rFonts w:hint="default" w:ascii="Cambria Math" w:hAnsi="Cambria Math" w:cs="Times New Roman"/>
                      <w:b w:val="0"/>
                      <w:bCs w:val="0"/>
                      <w:iCs/>
                      <w:color w:val="000000"/>
                      <w:kern w:val="2"/>
                      <w:sz w:val="11"/>
                      <w:szCs w:val="11"/>
                      <w:vertAlign w:val="baseline"/>
                      <w:lang w:val="en-US" w:eastAsia="zh-CN" w:bidi="ar-SA"/>
                    </w:rPr>
                  </m:ctrlPr>
                </m:funcPr>
                <m:fName>
                  <m:r>
                    <m:rPr>
                      <m:sty m:val="p"/>
                    </m:rPr>
                    <w:rPr>
                      <w:rFonts w:hint="default" w:ascii="Cambria Math" w:hAnsi="Cambria Math" w:cs="Times New Roman"/>
                      <w:color w:val="000000"/>
                      <w:kern w:val="2"/>
                      <w:sz w:val="11"/>
                      <w:szCs w:val="11"/>
                      <w:vertAlign w:val="baseline"/>
                      <w:lang w:val="en-US" w:bidi="ar-SA"/>
                    </w:rPr>
                    <m:t>cos</m:t>
                  </m:r>
                  <m:ctrlPr>
                    <w:rPr>
                      <w:rFonts w:hint="default" w:ascii="Cambria Math" w:hAnsi="Cambria Math" w:cs="Times New Roman"/>
                      <w:b w:val="0"/>
                      <w:bCs w:val="0"/>
                      <w:iCs/>
                      <w:color w:val="000000"/>
                      <w:kern w:val="2"/>
                      <w:sz w:val="11"/>
                      <w:szCs w:val="11"/>
                      <w:vertAlign w:val="baseline"/>
                      <w:lang w:val="en-US" w:eastAsia="zh-CN" w:bidi="ar-SA"/>
                    </w:rPr>
                  </m:ctrlPr>
                </m:fName>
                <m:e>
                  <m:r>
                    <m:rPr/>
                    <w:rPr>
                      <w:rFonts w:hint="default" w:ascii="Cambria Math" w:hAnsi="Cambria Math" w:cs="Times New Roman"/>
                      <w:color w:val="000000"/>
                      <w:kern w:val="2"/>
                      <w:sz w:val="11"/>
                      <w:szCs w:val="11"/>
                      <w:vertAlign w:val="baseline"/>
                      <w:lang w:val="en-US" w:bidi="ar-SA"/>
                    </w:rPr>
                    <m:t>α</m:t>
                  </m:r>
                  <m:ctrlPr>
                    <w:rPr>
                      <w:rFonts w:hint="default" w:ascii="Cambria Math" w:hAnsi="Cambria Math" w:cs="Times New Roman"/>
                      <w:b w:val="0"/>
                      <w:bCs w:val="0"/>
                      <w:i w:val="0"/>
                      <w:iCs/>
                      <w:color w:val="000000"/>
                      <w:kern w:val="2"/>
                      <w:sz w:val="11"/>
                      <w:szCs w:val="11"/>
                      <w:vertAlign w:val="baseline"/>
                      <w:lang w:val="en-US" w:eastAsia="zh-CN" w:bidi="ar-SA"/>
                    </w:rPr>
                  </m:ctrlPr>
                </m:e>
              </m:func>
              <m:r>
                <m:rPr>
                  <m:sty m:val="p"/>
                </m:rPr>
                <w:rPr>
                  <w:rFonts w:hint="default" w:ascii="Cambria Math" w:hAnsi="Cambria Math" w:cs="Times New Roman"/>
                  <w:color w:val="000000"/>
                  <w:kern w:val="2"/>
                  <w:sz w:val="11"/>
                  <w:szCs w:val="11"/>
                  <w:vertAlign w:val="baseline"/>
                  <w:lang w:val="en-US" w:eastAsia="zh-CN" w:bidi="ar-SA"/>
                </w:rPr>
                <m:t>=揭露厚度</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——充分采动条件下的下沉系数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bidi="ar-SA"/>
                </w:rPr>
                <m:t>α</m:t>
              </m:r>
            </m:oMath>
            <w:r>
              <w:rPr>
                <w:rFonts w:hint="default" w:ascii="Times New Roman" w:hAnsi="Times New Roman" w:cs="Times New Roman"/>
                <w:bCs/>
                <w:i w:val="0"/>
                <w:iCs/>
                <w:color w:val="000000"/>
                <w:kern w:val="2"/>
                <w:sz w:val="12"/>
                <w:szCs w:val="12"/>
                <w:vertAlign w:val="baseline"/>
                <w:lang w:val="en-US" w:eastAsia="zh-CN" w:bidi="ar-SA"/>
              </w:rPr>
              <w:t>——煤层倾角</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fm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——非充分采动条件下地表最大下沉值(mm)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color w:val="000000"/>
                <w:kern w:val="2"/>
                <w:sz w:val="12"/>
                <w:szCs w:val="12"/>
                <w:vertAlign w:val="baseline"/>
                <w:lang w:val="en-US" w:bidi="ar-SA"/>
                <w:oMath/>
              </w:rPr>
            </w:pPr>
            <m:oMath>
              <m:r>
                <m:rPr>
                  <m:sty m:val="p"/>
                </m:rPr>
                <w:rPr>
                  <w:rFonts w:hint="default" w:ascii="Cambria Math" w:hAnsi="Cambria Math" w:cs="Times New Roman"/>
                  <w:color w:val="000000"/>
                  <w:kern w:val="2"/>
                  <w:sz w:val="12"/>
                  <w:szCs w:val="12"/>
                  <w:vertAlign w:val="baseline"/>
                  <w:lang w:val="en-US" w:eastAsia="zh-CN" w:bidi="ar-SA"/>
                </w:rPr>
                <m:t>n</m:t>
              </m:r>
            </m:oMath>
            <w:r>
              <w:rPr>
                <w:rFonts w:hint="default" w:ascii="Times New Roman" w:hAnsi="Times New Roman" w:cs="Times New Roman"/>
                <w:bCs/>
                <w:i w:val="0"/>
                <w:iCs/>
                <w:color w:val="000000"/>
                <w:kern w:val="2"/>
                <w:sz w:val="12"/>
                <w:szCs w:val="12"/>
                <w:vertAlign w:val="baseline"/>
                <w:lang w:val="en-US" w:eastAsia="zh-CN" w:bidi="ar-SA"/>
              </w:rPr>
              <w:t>——地表充分采动系数，</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大于1时取1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——倾向及走向工作面长度(m)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oMath/>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1"/>
                <w:szCs w:val="11"/>
                <w:vertAlign w:val="baseline"/>
                <w:lang w:val="en-US" w:eastAsia="zh-CN" w:bidi="ar-SA"/>
              </w:rPr>
              <w:t>与覆岩岩性有关的系数，坚硬岩层取0.7，较硬岩层取0.8，软弱岩层取0.9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H</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——采空区的平均采深(m)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i w:val="0"/>
                <w:color w:val="000000"/>
                <w:kern w:val="2"/>
                <w:sz w:val="12"/>
                <w:szCs w:val="12"/>
                <w:vertAlign w:val="baseline"/>
                <w:lang w:val="en-US" w:eastAsia="zh-CN" w:bidi="ar-SA"/>
                <w:oMath/>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U</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——充分开采的最大水平移动值(mm)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ascii="Cambria Math" w:hAnsi="Cambria Math" w:cs="Cambria Math"/>
                  <w:color w:val="000000"/>
                  <w:kern w:val="2"/>
                  <w:sz w:val="12"/>
                  <w:szCs w:val="12"/>
                  <w:vertAlign w:val="baseline"/>
                  <w:lang w:val="en-US" w:bidi="ar-SA"/>
                </w:rPr>
                <m:t>α</m:t>
              </m:r>
              <m:r>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——水平移动系数(无量纲)，随倾角</w:t>
            </w:r>
            <w:r>
              <w:rPr>
                <w:rFonts w:hint="default" w:ascii="Times New Roman" w:hAnsi="Times New Roman" w:cs="Times New Roman"/>
                <w:bCs/>
                <w:i/>
                <w:iCs w:val="0"/>
                <w:color w:val="000000"/>
                <w:kern w:val="2"/>
                <w:sz w:val="12"/>
                <w:szCs w:val="12"/>
                <w:vertAlign w:val="baseline"/>
                <w:lang w:val="en-US" w:eastAsia="zh-CN" w:bidi="ar-SA"/>
              </w:rPr>
              <w:t>α</w:t>
            </w:r>
            <w:r>
              <w:rPr>
                <w:rFonts w:hint="default" w:ascii="Times New Roman" w:hAnsi="Times New Roman" w:cs="Times New Roman"/>
                <w:bCs/>
                <w:i w:val="0"/>
                <w:iCs/>
                <w:color w:val="000000"/>
                <w:kern w:val="2"/>
                <w:sz w:val="12"/>
                <w:szCs w:val="12"/>
                <w:vertAlign w:val="baseline"/>
                <w:lang w:val="en-US" w:eastAsia="zh-CN" w:bidi="ar-SA"/>
              </w:rPr>
              <w:t>变化</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bCs/>
                <w:i w:val="0"/>
                <w:iCs/>
                <w:color w:val="000000"/>
                <w:kern w:val="2"/>
                <w:sz w:val="12"/>
                <w:szCs w:val="12"/>
                <w:vertAlign w:val="baseline"/>
                <w:lang w:val="en-US" w:eastAsia="zh-CN" w:bidi="ar-SA"/>
              </w:rPr>
              <w:t>——水平移动系数(无量纲)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P</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——计算系数，当小于0时，取0</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bCs/>
                <w:i w:val="0"/>
                <w:iCs/>
                <w:color w:val="000000"/>
                <w:kern w:val="2"/>
                <w:sz w:val="12"/>
                <w:szCs w:val="12"/>
                <w:vertAlign w:val="baseline"/>
                <w:lang w:val="en-US" w:eastAsia="zh-CN" w:bidi="ar-SA"/>
              </w:rPr>
              <w:t>——松散层厚度(m)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bidi="ar-SA"/>
                </w:rPr>
                <m:t>β</m:t>
              </m:r>
            </m:oMath>
            <w:r>
              <w:rPr>
                <w:rFonts w:hint="default" w:ascii="Times New Roman" w:hAnsi="Times New Roman" w:cs="Times New Roman"/>
                <w:bCs/>
                <w:i w:val="0"/>
                <w:iCs/>
                <w:color w:val="000000"/>
                <w:kern w:val="2"/>
                <w:sz w:val="12"/>
                <w:szCs w:val="12"/>
                <w:vertAlign w:val="baseline"/>
                <w:lang w:val="en-US" w:eastAsia="zh-CN" w:bidi="ar-SA"/>
              </w:rPr>
              <w:t>——移动角(主要影响角)(°)</w:t>
            </w:r>
          </w:p>
        </w:tc>
        <w:tc>
          <w:tcPr>
            <w:tcW w:w="4162" w:type="dxa"/>
            <w:gridSpan w:val="3"/>
            <w:tcBorders>
              <w:top w:val="nil"/>
              <w:left w:val="nil"/>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bCs/>
                <w:i w:val="0"/>
                <w:iCs/>
                <w:color w:val="000000"/>
                <w:kern w:val="2"/>
                <w:sz w:val="12"/>
                <w:szCs w:val="12"/>
                <w:vertAlign w:val="baseline"/>
                <w:lang w:val="en-US" w:eastAsia="zh-CN" w:bidi="ar-SA"/>
              </w:rPr>
              <w:t>——采空区采深，即开采深度，矿层开采顶面的埋深(m)</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渗透注浆注浆量计算</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center"/>
        </m:oMathParaP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n</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(l+r)αβ</m:t>
          </m:r>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firstLine="1984" w:firstLineChars="1240"/>
        <w:jc w:val="both"/>
        <w:textAlignment w:val="auto"/>
        <w:rPr>
          <w:rFonts w:hint="eastAsia" w:hAnsi="Cambria Math" w:cs="Cambria Math" w:eastAsiaTheme="minorEastAsia"/>
          <w:i w:val="0"/>
          <w:kern w:val="2"/>
          <w:sz w:val="15"/>
          <w:szCs w:val="15"/>
          <w:lang w:val="en-US" w:eastAsia="zh-CN" w:bidi="ar"/>
        </w:rPr>
      </w:pPr>
      <w:r>
        <w:rPr>
          <w:rFonts w:hint="eastAsia" w:hAnsi="Cambria Math" w:cs="Times New Roman" w:eastAsiaTheme="minorEastAsia"/>
          <w:i w:val="0"/>
          <w:kern w:val="2"/>
          <w:sz w:val="16"/>
          <w:szCs w:val="16"/>
          <w:lang w:val="en-US" w:eastAsia="zh-CN" w:bidi="ar"/>
        </w:rPr>
        <w:t>对岩石地基</w:t>
      </w:r>
      <w:r>
        <w:rPr>
          <w:rFonts w:hint="eastAsia" w:hAnsi="Cambria Math" w:cs="Times New Roman" w:eastAsiaTheme="minorEastAsia"/>
          <w:i w:val="0"/>
          <w:kern w:val="2"/>
          <w:sz w:val="16"/>
          <w:szCs w:val="16"/>
          <w:lang w:val="en-US" w:eastAsia="zh-CN" w:bidi="ar"/>
        </w:rPr>
        <w:tab/>
      </w:r>
      <w:r>
        <w:rPr>
          <w:rFonts w:hint="eastAsia" w:hAnsi="Cambria Math" w:cs="Times New Roman" w:eastAsiaTheme="minorEastAsia"/>
          <w:i w:val="0"/>
          <w:kern w:val="2"/>
          <w:sz w:val="16"/>
          <w:szCs w:val="16"/>
          <w:lang w:val="en-US" w:eastAsia="zh-CN" w:bidi="ar"/>
        </w:rPr>
        <w:t xml:space="preserve">  </w:t>
      </w: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ascii="Cambria Math" w:hAnsi="Cambria Math" w:cs="Times New Roman"/>
            <w:kern w:val="2"/>
            <w:sz w:val="16"/>
            <w:szCs w:val="16"/>
            <w:lang w:val="en-US" w:bidi="ar"/>
          </w:rPr>
          <m:t>μ</m:t>
        </m:r>
        <m:r>
          <m:rPr/>
          <w:rPr>
            <w:rFonts w:hint="default" w:ascii="Cambria Math" w:hAnsi="Cambria Math" w:cs="Times New Roman"/>
            <w:kern w:val="2"/>
            <w:sz w:val="16"/>
            <w:szCs w:val="16"/>
            <w:lang w:val="en-US" w:eastAsia="zh-CN" w:bidi="ar"/>
          </w:rPr>
          <m:t>(1−</m:t>
        </m:r>
        <m:r>
          <m:rPr/>
          <w:rPr>
            <w:rFonts w:ascii="Cambria Math" w:hAnsi="Cambria Math" w:cs="Times New Roman"/>
            <w:kern w:val="2"/>
            <w:sz w:val="16"/>
            <w:szCs w:val="16"/>
            <w:lang w:val="en-US" w:bidi="ar"/>
          </w:rPr>
          <m:t>γ</m:t>
        </m:r>
        <m:r>
          <m:rPr/>
          <w:rPr>
            <w:rFonts w:hint="default" w:ascii="Cambria Math" w:hAnsi="Cambria Math" w:cs="Times New Roman"/>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lαβ</m:t>
        </m:r>
      </m:oMath>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Q</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n</m:t>
        </m:r>
      </m:oMath>
      <w:r>
        <w:rPr>
          <w:rFonts w:hint="eastAsia" w:hAnsi="Cambria Math" w:cs="Cambria Math" w:eastAsiaTheme="minorEastAsia"/>
          <w:i w:val="0"/>
          <w:kern w:val="2"/>
          <w:sz w:val="15"/>
          <w:szCs w:val="15"/>
          <w:lang w:val="en-US" w:eastAsia="zh-CN" w:bidi="ar"/>
        </w:rPr>
        <w:t xml:space="preserve">：土平均孔隙率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：浆液扩散半径（m）   </w:t>
      </w:r>
      <m:oMath>
        <m:r>
          <m:rPr/>
          <w:rPr>
            <w:rFonts w:hint="default" w:ascii="Cambria Math" w:hAnsi="Cambria Math" w:cs="Cambria Math" w:eastAsiaTheme="minorEastAsia"/>
            <w:kern w:val="2"/>
            <w:sz w:val="16"/>
            <w:szCs w:val="16"/>
            <w:lang w:val="en-US" w:eastAsia="zh-CN" w:bidi="ar"/>
          </w:rPr>
          <m:t>l</m:t>
        </m:r>
      </m:oMath>
      <w:r>
        <w:rPr>
          <w:rFonts w:hint="eastAsia" w:hAnsi="Cambria Math" w:cs="Cambria Math" w:eastAsiaTheme="minorEastAsia"/>
          <w:i w:val="0"/>
          <w:kern w:val="2"/>
          <w:sz w:val="15"/>
          <w:szCs w:val="15"/>
          <w:lang w:val="en-US" w:eastAsia="zh-CN" w:bidi="ar"/>
        </w:rPr>
        <w:t>：注浆段长度或厚度（m）</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6"/>
            <w:szCs w:val="16"/>
            <w:lang w:val="en-US" w:eastAsia="zh-CN" w:bidi="ar"/>
          </w:rPr>
          <m:t>α</m:t>
        </m:r>
      </m:oMath>
      <w:r>
        <w:rPr>
          <w:rFonts w:hint="eastAsia" w:hAnsi="Cambria Math" w:cs="Cambria Math" w:eastAsiaTheme="minorEastAsia"/>
          <w:i w:val="0"/>
          <w:kern w:val="2"/>
          <w:sz w:val="15"/>
          <w:szCs w:val="15"/>
          <w:lang w:val="en-US" w:eastAsia="zh-CN" w:bidi="ar"/>
        </w:rPr>
        <w:t xml:space="preserve">：有效充填系数（注浆系数），宜0.8~1.0   </w:t>
      </w:r>
      <m:oMath>
        <m:r>
          <m:rPr/>
          <w:rPr>
            <w:rFonts w:hint="default" w:ascii="Cambria Math" w:hAnsi="Cambria Math" w:cs="Cambria Math" w:eastAsiaTheme="minorEastAsia"/>
            <w:kern w:val="2"/>
            <w:sz w:val="16"/>
            <w:szCs w:val="16"/>
            <w:lang w:val="en-US" w:eastAsia="zh-CN" w:bidi="ar"/>
          </w:rPr>
          <m:t>β</m:t>
        </m:r>
      </m:oMath>
      <w:r>
        <w:rPr>
          <w:rFonts w:hint="eastAsia" w:hAnsi="Cambria Math" w:cs="Cambria Math" w:eastAsiaTheme="minorEastAsia"/>
          <w:i w:val="0"/>
          <w:kern w:val="2"/>
          <w:sz w:val="15"/>
          <w:szCs w:val="15"/>
          <w:lang w:val="en-US" w:eastAsia="zh-CN" w:bidi="ar"/>
        </w:rPr>
        <w:t xml:space="preserve">：工作条件系数（超灌系数），宜1.2~1.5   </w:t>
      </w:r>
      <m:oMath>
        <m:r>
          <m:rPr/>
          <w:rPr>
            <w:rFonts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：岩溶裂隙率</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pPr>
        <w:pStyle w:val="2"/>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水利行业岩土物理力学参数取值</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5"/>
        <w:gridCol w:w="2573"/>
        <w:gridCol w:w="3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458"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参数</w:t>
            </w:r>
          </w:p>
        </w:tc>
        <w:tc>
          <w:tcPr>
            <w:tcW w:w="36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标准值确定方法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物理性参数</w:t>
            </w:r>
          </w:p>
        </w:tc>
        <w:tc>
          <w:tcPr>
            <w:tcW w:w="620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算术平均值作为标准值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抗剪强度</w:t>
            </w:r>
          </w:p>
        </w:tc>
        <w:tc>
          <w:tcPr>
            <w:tcW w:w="620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直剪试验峰值强度的小值平均值作为标准值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有效应力进行稳定性分析</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三轴试验测定的抗剪强度，取平均值作为标准值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边坡工程</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饱和固结快剪、快剪强度的小值平均值或三轴压缩的平均值作为标准值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压缩模量</w:t>
            </w:r>
          </w:p>
        </w:tc>
        <w:tc>
          <w:tcPr>
            <w:tcW w:w="620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对于高压缩性软土，宜以压缩模量的小值平均值作为标准值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渗透系数</w:t>
            </w: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人工降低地下水及排水计算</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渠道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渗漏量、地下洞室涌水量、基坑涌水量</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采用抽水试验的大值平均值作为标准值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浸没区预测</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采用试验的平均值作为标准值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供水工程计算</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岩石</w:t>
            </w:r>
          </w:p>
        </w:tc>
        <w:tc>
          <w:tcPr>
            <w:tcW w:w="6202"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密度、单轴抗压强度、抗拉强度、点荷载强度、波速等指标取算术平均值作为标准值</w:t>
            </w:r>
          </w:p>
        </w:tc>
      </w:tr>
    </w:tbl>
    <w:p>
      <w:pPr>
        <w:keepNext w:val="0"/>
        <w:keepLines w:val="0"/>
        <w:pageBreakBefore w:val="0"/>
        <w:widowControl w:val="0"/>
        <w:kinsoku/>
        <w:wordWrap/>
        <w:overflowPunct/>
        <w:topLinePunct w:val="0"/>
        <w:autoSpaceDE/>
        <w:autoSpaceDN/>
        <w:bidi w:val="0"/>
        <w:adjustRightInd/>
        <w:snapToGrid w:val="0"/>
        <w:spacing w:line="240" w:lineRule="auto"/>
        <w:ind w:firstLine="643" w:firstLineChars="4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小值平均值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小于平均值的数值再平均</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bCs/>
          <w:i w:val="0"/>
          <w:iCs/>
          <w:color w:val="000000"/>
          <w:sz w:val="16"/>
          <w:szCs w:val="16"/>
          <w:vertAlign w:val="baseline"/>
          <w:lang w:val="en-US" w:eastAsia="zh-CN"/>
        </w:rPr>
        <w:t>大值平均值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大于平均值的数值再平均</w:t>
      </w:r>
    </w:p>
    <w:p>
      <w:pPr>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岩浆岩的分类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19"/>
        <w:gridCol w:w="1777"/>
        <w:gridCol w:w="1098"/>
        <w:gridCol w:w="1098"/>
        <w:gridCol w:w="1098"/>
        <w:gridCol w:w="1098"/>
        <w:gridCol w:w="1098"/>
        <w:gridCol w:w="11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 w:hRule="atLeast"/>
          <w:jc w:val="center"/>
        </w:trPr>
        <w:tc>
          <w:tcPr>
            <w:tcW w:w="2196" w:type="dxa"/>
            <w:gridSpan w:val="2"/>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化学成分</w:t>
            </w:r>
          </w:p>
        </w:tc>
        <w:tc>
          <w:tcPr>
            <w:tcW w:w="32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含Si、Al为主</w:t>
            </w:r>
          </w:p>
        </w:tc>
        <w:tc>
          <w:tcPr>
            <w:tcW w:w="219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含Fe、Mg为主</w:t>
            </w:r>
          </w:p>
        </w:tc>
        <w:tc>
          <w:tcPr>
            <w:tcW w:w="1101" w:type="dxa"/>
            <w:vMerge w:val="restart"/>
            <w:tcBorders>
              <w:top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gridSpan w:val="2"/>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酸基性</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酸性</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中性</w:t>
            </w:r>
          </w:p>
        </w:tc>
        <w:tc>
          <w:tcPr>
            <w:tcW w:w="1098" w:type="dxa"/>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基性</w:t>
            </w:r>
          </w:p>
        </w:tc>
        <w:tc>
          <w:tcPr>
            <w:tcW w:w="1098"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超基性</w:t>
            </w:r>
          </w:p>
        </w:tc>
        <w:tc>
          <w:tcPr>
            <w:tcW w:w="1101" w:type="dxa"/>
            <w:vMerge w:val="continue"/>
            <w:tcBorders>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颜色</w:t>
            </w:r>
          </w:p>
        </w:tc>
        <w:tc>
          <w:tcPr>
            <w:tcW w:w="3294"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浅色的</w:t>
            </w: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(浅灰、浅红、红色、黄色)</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深色的 (深灰、绿色、黑色)</w:t>
            </w:r>
          </w:p>
        </w:tc>
        <w:tc>
          <w:tcPr>
            <w:tcW w:w="1101" w:type="dxa"/>
            <w:vMerge w:val="continue"/>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196" w:type="dxa"/>
            <w:gridSpan w:val="2"/>
            <w:vMerge w:val="restart"/>
            <w:tcBorders>
              <w:top w:val="single" w:color="auto" w:sz="4" w:space="0"/>
              <w:right w:val="single" w:color="auto" w:sz="4" w:space="0"/>
            </w:tcBorders>
            <w:shd w:val="clear" w:color="auto" w:fill="auto"/>
            <w:vAlign w:val="center"/>
            <mc:AlternateContent>
              <mc:Choice Requires="wpsCustomData">
                <wpsCustomData:diagonals>
                  <wpsCustomData:diagonal from="10000" to="30000">
                    <wpsCustomData:border w:val="single" w:color="auto" w:sz="4" w:space="0"/>
                  </wpsCustomData:diagonal>
                </wpsCustomData:diagonals>
              </mc:Choice>
            </mc:AlternateContent>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right"/>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i w:val="0"/>
                <w:iCs/>
                <w:color w:val="000000"/>
                <w:kern w:val="2"/>
                <w:sz w:val="16"/>
                <w:szCs w:val="16"/>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mc:AlternateContent>
                <mc:Choice Requires="wpsCustomData">
                  <wpsCustomData:diagonalParaType/>
                </mc:Choice>
              </mc:AlternateContent>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成因及结构</w:t>
            </w:r>
          </w:p>
          <w:p>
            <w:pPr>
              <w:keepNext w:val="0"/>
              <w:keepLines w:val="0"/>
              <w:pageBreakBefore w:val="0"/>
              <w:widowControl w:val="0"/>
              <w:kinsoku/>
              <w:wordWrap w:val="0"/>
              <w:overflowPunct/>
              <w:topLinePunct w:val="0"/>
              <w:autoSpaceDE/>
              <w:autoSpaceDN/>
              <w:bidi w:val="0"/>
              <w:adjustRightInd/>
              <w:snapToGrid w:val="0"/>
              <w:spacing w:line="240" w:lineRule="auto"/>
              <w:ind w:left="0" w:leftChars="0" w:firstLine="0" w:firstLineChars="0"/>
              <w:jc w:val="righ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 xml:space="preserve">矿物成分 </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含正长石</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含斜长石</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不含长石</w:t>
            </w:r>
          </w:p>
        </w:tc>
        <w:tc>
          <w:tcPr>
            <w:tcW w:w="1101" w:type="dxa"/>
            <w:vMerge w:val="restart"/>
            <w:tcBorders>
              <w:top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196" w:type="dxa"/>
            <w:gridSpan w:val="2"/>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石英、云母、 角闪石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黑云母、角闪石、 辉石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角闪石、辉石、 黑云母</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辉石、角闪石、橄榄石</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辉石、橄榄石 角闪石</w:t>
            </w:r>
          </w:p>
        </w:tc>
        <w:tc>
          <w:tcPr>
            <w:tcW w:w="1101" w:type="dxa"/>
            <w:vMerge w:val="continue"/>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深成的</w:t>
            </w:r>
          </w:p>
        </w:tc>
        <w:tc>
          <w:tcPr>
            <w:tcW w:w="17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等粒状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有时为斑状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所有矿物皆能用肉眼鉴别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闪长岩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辉长岩</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橄榄岩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辉岩</w:t>
            </w:r>
          </w:p>
        </w:tc>
        <w:tc>
          <w:tcPr>
            <w:tcW w:w="1101"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41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浅成的</w:t>
            </w:r>
          </w:p>
        </w:tc>
        <w:tc>
          <w:tcPr>
            <w:tcW w:w="17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斑状(斑晶较大且可分辨出矿物名称)</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辉绿岩</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苦橄玢岩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(少见)</w:t>
            </w:r>
          </w:p>
        </w:tc>
        <w:tc>
          <w:tcPr>
            <w:tcW w:w="1101"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岩脉岩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枝岩盘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喷出的</w:t>
            </w:r>
          </w:p>
        </w:tc>
        <w:tc>
          <w:tcPr>
            <w:tcW w:w="17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有时为细粒班状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矿物难于用肉眼鉴别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流纹岩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粗面岩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安山岩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玄武岩</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苦橄岩(少见)</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金伯利岩</w:t>
            </w:r>
          </w:p>
        </w:tc>
        <w:tc>
          <w:tcPr>
            <w:tcW w:w="1101"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熔岩流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77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玻璃状或碎屑状</w:t>
            </w:r>
          </w:p>
        </w:tc>
        <w:tc>
          <w:tcPr>
            <w:tcW w:w="5490" w:type="dxa"/>
            <w:gridSpan w:val="5"/>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黑曜岩、浮石、火山凝灰岩、火山碎屑岩、火山玻璃</w:t>
            </w:r>
          </w:p>
        </w:tc>
        <w:tc>
          <w:tcPr>
            <w:tcW w:w="1101"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火山喷出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的堆积物</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沉积岩的分类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15"/>
        <w:gridCol w:w="1918"/>
        <w:gridCol w:w="1478"/>
        <w:gridCol w:w="1907"/>
        <w:gridCol w:w="21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w:t>
            </w:r>
          </w:p>
        </w:tc>
        <w:tc>
          <w:tcPr>
            <w:tcW w:w="191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硅质的</w:t>
            </w:r>
          </w:p>
        </w:tc>
        <w:tc>
          <w:tcPr>
            <w:tcW w:w="147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泥质的</w:t>
            </w:r>
          </w:p>
        </w:tc>
        <w:tc>
          <w:tcPr>
            <w:tcW w:w="1907" w:type="dxa"/>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灰质的</w:t>
            </w:r>
          </w:p>
        </w:tc>
        <w:tc>
          <w:tcPr>
            <w:tcW w:w="2169" w:type="dxa"/>
            <w:tcBorders>
              <w:top w:val="single" w:color="auto" w:sz="12"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其他成分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15"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碎屑沉积</w:t>
            </w:r>
          </w:p>
        </w:tc>
        <w:tc>
          <w:tcPr>
            <w:tcW w:w="19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石英砾岩、石英角砾岩、燧石角砾岩、砂岩、石英岩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泥岩、页岩、黏</w:t>
            </w:r>
            <w:r>
              <w:rPr>
                <w:rFonts w:hint="eastAsia" w:ascii="Times New Roman" w:hAnsi="Times New Roman" w:cs="Times New Roman"/>
                <w:b w:val="0"/>
                <w:bCs w:val="0"/>
                <w:i w:val="0"/>
                <w:iCs/>
                <w:color w:val="000000"/>
                <w:kern w:val="2"/>
                <w:sz w:val="16"/>
                <w:szCs w:val="16"/>
                <w:vertAlign w:val="baseline"/>
                <w:lang w:val="en-US" w:eastAsia="zh-CN" w:bidi="ar-SA"/>
              </w:rPr>
              <w:t>土岩</w:t>
            </w:r>
          </w:p>
        </w:tc>
        <w:tc>
          <w:tcPr>
            <w:tcW w:w="190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石灰砾岩、石灰角砾岩、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多种石灰岩</w:t>
            </w:r>
          </w:p>
        </w:tc>
        <w:tc>
          <w:tcPr>
            <w:tcW w:w="2169" w:type="dxa"/>
            <w:tcBorders>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集块岩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化学沉积</w:t>
            </w:r>
          </w:p>
        </w:tc>
        <w:tc>
          <w:tcPr>
            <w:tcW w:w="19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硅华、燧石、石髓岩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泥铁石</w:t>
            </w:r>
          </w:p>
        </w:tc>
        <w:tc>
          <w:tcPr>
            <w:tcW w:w="190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石笋、石钟乳、石灰华、白云岩、石灰岩、泥灰岩</w:t>
            </w:r>
          </w:p>
        </w:tc>
        <w:tc>
          <w:tcPr>
            <w:tcW w:w="2169" w:type="dxa"/>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岩盐、石膏、硬石膏、硝石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生物沉积</w:t>
            </w:r>
          </w:p>
        </w:tc>
        <w:tc>
          <w:tcPr>
            <w:tcW w:w="191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硅藻土</w:t>
            </w:r>
          </w:p>
        </w:tc>
        <w:tc>
          <w:tcPr>
            <w:tcW w:w="1478"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油页岩</w:t>
            </w:r>
          </w:p>
        </w:tc>
        <w:tc>
          <w:tcPr>
            <w:tcW w:w="190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白垩、白云岩、珊瑚石灰岩</w:t>
            </w:r>
          </w:p>
        </w:tc>
        <w:tc>
          <w:tcPr>
            <w:tcW w:w="2169" w:type="dxa"/>
            <w:tcBorders>
              <w:top w:val="single" w:color="auto" w:sz="4" w:space="0"/>
              <w:left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煤炭、油砂、某种磷酸盐岩石</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变质岩的分类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18"/>
        <w:gridCol w:w="1029"/>
        <w:gridCol w:w="1436"/>
        <w:gridCol w:w="54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岩石类别</w:t>
            </w:r>
          </w:p>
        </w:tc>
        <w:tc>
          <w:tcPr>
            <w:tcW w:w="10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岩石名称</w:t>
            </w:r>
          </w:p>
        </w:tc>
        <w:tc>
          <w:tcPr>
            <w:tcW w:w="143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主要矿物成分</w:t>
            </w:r>
          </w:p>
        </w:tc>
        <w:tc>
          <w:tcPr>
            <w:tcW w:w="5404" w:type="dxa"/>
            <w:tcBorders>
              <w:top w:val="single" w:color="auto" w:sz="12"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鉴 定 特 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restart"/>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片状岩石类</w:t>
            </w:r>
          </w:p>
        </w:tc>
        <w:tc>
          <w:tcPr>
            <w:tcW w:w="102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片麻岩</w:t>
            </w:r>
          </w:p>
        </w:tc>
        <w:tc>
          <w:tcPr>
            <w:tcW w:w="1436"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石英、长石、云母</w:t>
            </w:r>
          </w:p>
        </w:tc>
        <w:tc>
          <w:tcPr>
            <w:tcW w:w="5404" w:type="dxa"/>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片麻状构造</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浅色长石带和深色云母带互相交错</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结晶粒状或斑状结构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具有薄片理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片理面上有强的</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石英凭肉眼常看不到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绿色</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常为鳞片状或叶片状的绿泥石块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鳞片状或叶片状的滑石块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用指甲可刻划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有滑感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普通角闪石、石英</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片理常常表现不明显</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坚硬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千枚岩、板岩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云母、石英等</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肉眼不易识别矿物</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锤击声清脆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并具有</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千枚岩表现得很明显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块状岩石类</w:t>
            </w: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大理岩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方解石、少量白云石</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结晶粒状结构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遇盐酸起泡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石英岩</w:t>
            </w:r>
          </w:p>
        </w:tc>
        <w:tc>
          <w:tcPr>
            <w:tcW w:w="143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w:t>
            </w:r>
          </w:p>
        </w:tc>
        <w:tc>
          <w:tcPr>
            <w:tcW w:w="5404"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致密的、细粒的块体</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坚硬</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莫氏硬度为7</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玻璃光泽、断☐贝壳状或次贝壳状</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岩爆发生的最小埋深</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left"/>
        </m:oMathParaPr>
        <m:oMath>
          <m:sSub>
            <m:sSubPr>
              <m:ctrlPr>
                <w:rPr>
                  <w:rFonts w:hint="default" w:ascii="Cambria Math" w:hAnsi="Cambria Math" w:cs="Times New Roman" w:eastAsiaTheme="minorEastAsia"/>
                  <w:i/>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H</m:t>
              </m:r>
              <m:ctrlPr>
                <w:rPr>
                  <w:rFonts w:hint="default" w:ascii="Cambria Math" w:hAnsi="Cambria Math" w:cs="Times New Roman" w:eastAsiaTheme="minorEastAsia"/>
                  <w:i/>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cr</m:t>
              </m:r>
              <m:ctrlPr>
                <w:rPr>
                  <w:rFonts w:hint="default" w:ascii="Cambria Math" w:hAnsi="Cambria Math" w:cs="Times New Roman" w:eastAsiaTheme="minorEastAsia"/>
                  <w:i/>
                  <w:kern w:val="2"/>
                  <w:sz w:val="16"/>
                  <w:szCs w:val="16"/>
                  <w:lang w:val="en-US" w:eastAsia="zh-CN" w:bidi="ar"/>
                </w:rPr>
              </m:ctrlPr>
            </m:sub>
          </m:sSub>
          <m:r>
            <m:rPr>
              <m:sty m:val="p"/>
            </m:rPr>
            <w:rPr>
              <w:rFonts w:hint="default" w:ascii="Cambria Math" w:hAnsi="Cambria Math" w:cs="Times New Roman" w:eastAsiaTheme="minorEastAsia"/>
              <w:kern w:val="2"/>
              <w:sz w:val="16"/>
              <w:szCs w:val="16"/>
              <w:lang w:val="en-US" w:eastAsia="zh-CN" w:bidi="ar"/>
            </w:rPr>
            <m:t>=</m:t>
          </m:r>
          <m:f>
            <m:fPr>
              <m:ctrlPr>
                <w:rPr>
                  <w:rFonts w:hint="default" w:ascii="Cambria Math" w:hAnsi="Cambria Math" w:cs="Times New Roman" w:eastAsiaTheme="minorEastAsia"/>
                  <w:b w:val="0"/>
                  <w:i w:val="0"/>
                  <w:kern w:val="2"/>
                  <w:sz w:val="16"/>
                  <w:szCs w:val="16"/>
                  <w:lang w:val="en-US" w:eastAsia="zh-CN" w:bidi="ar"/>
                </w:rPr>
              </m:ctrlPr>
            </m:fPr>
            <m:num>
              <m:r>
                <m:rPr>
                  <m:sty m:val="p"/>
                </m:rPr>
                <w:rPr>
                  <w:rFonts w:hint="default" w:ascii="Cambria Math" w:hAnsi="Cambria Math" w:cs="Times New Roman" w:eastAsiaTheme="minorEastAsia"/>
                  <w:kern w:val="2"/>
                  <w:sz w:val="16"/>
                  <w:szCs w:val="16"/>
                  <w:lang w:val="en-US" w:eastAsia="zh-CN" w:bidi="ar"/>
                </w:rPr>
                <m:t>0.318</m:t>
              </m:r>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r>
                <m:rPr>
                  <m:sty m:val="p"/>
                </m:rPr>
                <w:rPr>
                  <w:rFonts w:hint="default" w:ascii="Cambria Math" w:hAnsi="Cambria Math" w:cs="Times New Roman" w:eastAsiaTheme="minorEastAsia"/>
                  <w:kern w:val="2"/>
                  <w:sz w:val="16"/>
                  <w:szCs w:val="16"/>
                  <w:lang w:val="en-US" w:eastAsia="zh-CN" w:bidi="ar"/>
                </w:rPr>
                <m:t>(1−</m:t>
              </m:r>
              <m:r>
                <m:rPr/>
                <w:rPr>
                  <w:rFonts w:hint="default" w:ascii="Cambria Math" w:hAnsi="Cambria Math" w:cs="Times New Roman"/>
                  <w:kern w:val="2"/>
                  <w:sz w:val="16"/>
                  <w:szCs w:val="16"/>
                  <w:lang w:val="en-US" w:bidi="ar"/>
                </w:rPr>
                <m:t>μ</m:t>
              </m:r>
              <m:r>
                <m:rPr>
                  <m:sty m:val="p"/>
                </m:rPr>
                <w:rPr>
                  <w:rFonts w:hint="default" w:ascii="Cambria Math" w:hAnsi="Cambria Math" w:cs="Times New Roman" w:eastAsiaTheme="minorEastAsia"/>
                  <w:kern w:val="2"/>
                  <w:sz w:val="16"/>
                  <w:szCs w:val="16"/>
                  <w:lang w:val="en-US" w:eastAsia="zh-CN" w:bidi="ar"/>
                </w:rPr>
                <m:t>)</m:t>
              </m:r>
              <m:ctrlPr>
                <w:rPr>
                  <w:rFonts w:hint="default" w:ascii="Cambria Math" w:hAnsi="Cambria Math" w:cs="Times New Roman" w:eastAsiaTheme="minorEastAsia"/>
                  <w:b w:val="0"/>
                  <w:i w:val="0"/>
                  <w:kern w:val="2"/>
                  <w:sz w:val="16"/>
                  <w:szCs w:val="16"/>
                  <w:lang w:val="en-US" w:eastAsia="zh-CN" w:bidi="ar"/>
                </w:rPr>
              </m:ctrlPr>
            </m:num>
            <m:den>
              <m:r>
                <m:rPr>
                  <m:sty m:val="p"/>
                </m:rPr>
                <w:rPr>
                  <w:rFonts w:hint="default" w:ascii="Cambria Math" w:hAnsi="Cambria Math" w:cs="Times New Roman" w:eastAsiaTheme="minorEastAsia"/>
                  <w:kern w:val="2"/>
                  <w:sz w:val="16"/>
                  <w:szCs w:val="16"/>
                  <w:lang w:val="en-US" w:eastAsia="zh-CN" w:bidi="ar"/>
                </w:rPr>
                <m:t>(3−4</m:t>
              </m:r>
              <m:r>
                <m:rPr/>
                <w:rPr>
                  <w:rFonts w:hint="default" w:ascii="Cambria Math" w:hAnsi="Cambria Math" w:cs="Times New Roman"/>
                  <w:kern w:val="2"/>
                  <w:sz w:val="16"/>
                  <w:szCs w:val="16"/>
                  <w:lang w:val="en-US" w:bidi="ar"/>
                </w:rPr>
                <m:t>μ</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kern w:val="2"/>
                  <w:sz w:val="16"/>
                  <w:szCs w:val="16"/>
                  <w:lang w:val="en-US" w:bidi="ar"/>
                </w:rPr>
                <m:t>γ</m:t>
              </m:r>
              <m:ctrlPr>
                <w:rPr>
                  <w:rFonts w:hint="default" w:ascii="Cambria Math" w:hAnsi="Cambria Math" w:cs="Times New Roman" w:eastAsiaTheme="minorEastAsia"/>
                  <w:b w:val="0"/>
                  <w:i w:val="0"/>
                  <w:kern w:val="2"/>
                  <w:sz w:val="16"/>
                  <w:szCs w:val="16"/>
                  <w:lang w:val="en-US" w:eastAsia="zh-CN" w:bidi="ar"/>
                </w:rPr>
              </m:ctrlPr>
            </m:den>
          </m:f>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oMath>
      <w:r>
        <w:rPr>
          <w:rFonts w:hint="eastAsia" w:hAnsi="Cambria Math" w:cs="Cambria Math" w:eastAsiaTheme="minorEastAsia"/>
          <w:i w:val="0"/>
          <w:kern w:val="2"/>
          <w:sz w:val="15"/>
          <w:szCs w:val="15"/>
          <w:lang w:val="en-US" w:eastAsia="zh-CN" w:bidi="ar"/>
        </w:rPr>
        <w:t>：岩石单轴抗压强度（kPa）</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：岩石泊松比</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γ</m:t>
        </m:r>
      </m:oMath>
      <w:r>
        <w:rPr>
          <w:rFonts w:hint="eastAsia" w:hAnsi="Cambria Math" w:cs="Cambria Math" w:eastAsiaTheme="minorEastAsia"/>
          <w:i w:val="0"/>
          <w:kern w:val="2"/>
          <w:sz w:val="15"/>
          <w:szCs w:val="15"/>
          <w:lang w:val="en-US" w:eastAsia="zh-CN" w:bidi="ar"/>
        </w:rPr>
        <w:t>：岩石重度（kN/m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773"/>
        <w:gridCol w:w="773"/>
        <w:gridCol w:w="58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隧道涌水量</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预测方法</w:t>
            </w:r>
          </w:p>
        </w:tc>
        <w:tc>
          <w:tcPr>
            <w:tcW w:w="154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适用阶段</w:t>
            </w:r>
          </w:p>
        </w:tc>
        <w:tc>
          <w:tcPr>
            <w:tcW w:w="5864"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勘察阶段</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施工阶段</w:t>
            </w:r>
          </w:p>
        </w:tc>
        <w:tc>
          <w:tcPr>
            <w:tcW w:w="5864"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水均衡法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具有独立的地表水流域或水文地质单元</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w:t>
            </w:r>
            <w:r>
              <w:rPr>
                <w:rFonts w:hint="eastAsia" w:hAnsi="Cambria Math" w:cs="Times New Roman"/>
                <w:b w:val="0"/>
                <w:bCs w:val="0"/>
                <w:i w:val="0"/>
                <w:iCs/>
                <w:color w:val="000000"/>
                <w:sz w:val="16"/>
                <w:szCs w:val="16"/>
                <w:vertAlign w:val="baseline"/>
                <w:lang w:val="en-US" w:eastAsia="zh-CN"/>
              </w:rPr>
              <w:t>较丰富的气象、水文观测</w:t>
            </w:r>
            <w:r>
              <w:rPr>
                <w:rFonts w:hint="default" w:hAnsi="Cambria Math" w:cs="Times New Roman"/>
                <w:b w:val="0"/>
                <w:bCs w:val="0"/>
                <w:i w:val="0"/>
                <w:iCs/>
                <w:color w:val="000000"/>
                <w:sz w:val="16"/>
                <w:szCs w:val="16"/>
                <w:vertAlign w:val="baseline"/>
                <w:lang w:val="en-US" w:eastAsia="zh-CN"/>
              </w:rPr>
              <w:t>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水文地质条件复杂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流域水文模型法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隧道掘进</w:t>
            </w:r>
            <w:r>
              <w:rPr>
                <w:rFonts w:hint="default" w:hAnsi="Cambria Math" w:cs="Times New Roman"/>
                <w:b w:val="0"/>
                <w:bCs w:val="0"/>
                <w:i w:val="0"/>
                <w:iCs/>
                <w:color w:val="000000"/>
                <w:sz w:val="16"/>
                <w:szCs w:val="16"/>
                <w:vertAlign w:val="baseline"/>
                <w:lang w:val="en-US" w:eastAsia="zh-CN"/>
              </w:rPr>
              <w:t>遭遇地下暗河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暗河地下水是隧道突水点的主要水</w:t>
            </w:r>
            <w:r>
              <w:rPr>
                <w:rFonts w:hint="eastAsia" w:hAnsi="Cambria Math" w:cs="Times New Roman"/>
                <w:b w:val="0"/>
                <w:bCs w:val="0"/>
                <w:i w:val="0"/>
                <w:iCs/>
                <w:color w:val="000000"/>
                <w:sz w:val="16"/>
                <w:szCs w:val="16"/>
                <w:vertAlign w:val="baseline"/>
                <w:lang w:val="en-US" w:eastAsia="zh-CN"/>
              </w:rPr>
              <w:t>源，</w:t>
            </w:r>
            <w:r>
              <w:rPr>
                <w:rFonts w:hint="default" w:hAnsi="Cambria Math" w:cs="Times New Roman"/>
                <w:b w:val="0"/>
                <w:bCs w:val="0"/>
                <w:i w:val="0"/>
                <w:iCs/>
                <w:color w:val="000000"/>
                <w:sz w:val="16"/>
                <w:szCs w:val="16"/>
                <w:vertAlign w:val="baseline"/>
                <w:lang w:val="en-US" w:eastAsia="zh-CN"/>
              </w:rPr>
              <w:t>利用</w:t>
            </w:r>
            <w:r>
              <w:rPr>
                <w:rFonts w:hint="eastAsia" w:hAnsi="Cambria Math" w:cs="Times New Roman"/>
                <w:b w:val="0"/>
                <w:bCs w:val="0"/>
                <w:i w:val="0"/>
                <w:iCs/>
                <w:color w:val="000000"/>
                <w:sz w:val="16"/>
                <w:szCs w:val="16"/>
                <w:vertAlign w:val="baseline"/>
                <w:lang w:val="en-US" w:eastAsia="zh-CN"/>
              </w:rPr>
              <w:t>暗</w:t>
            </w:r>
            <w:r>
              <w:rPr>
                <w:rFonts w:hint="default" w:hAnsi="Cambria Math" w:cs="Times New Roman"/>
                <w:b w:val="0"/>
                <w:bCs w:val="0"/>
                <w:i w:val="0"/>
                <w:iCs/>
                <w:color w:val="000000"/>
                <w:sz w:val="16"/>
                <w:szCs w:val="16"/>
                <w:vertAlign w:val="baseline"/>
                <w:lang w:val="en-US" w:eastAsia="zh-CN"/>
              </w:rPr>
              <w:t>河在不同降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条件下的</w:t>
            </w:r>
            <w:r>
              <w:rPr>
                <w:rFonts w:hint="eastAsia" w:hAnsi="Cambria Math" w:cs="Times New Roman"/>
                <w:b w:val="0"/>
                <w:bCs w:val="0"/>
                <w:i w:val="0"/>
                <w:iCs/>
                <w:color w:val="000000"/>
                <w:sz w:val="16"/>
                <w:szCs w:val="16"/>
                <w:vertAlign w:val="baseline"/>
                <w:lang w:val="en-US" w:eastAsia="zh-CN"/>
              </w:rPr>
              <w:t>水文</w:t>
            </w:r>
            <w:r>
              <w:rPr>
                <w:rFonts w:hint="default" w:hAnsi="Cambria Math" w:cs="Times New Roman"/>
                <w:b w:val="0"/>
                <w:bCs w:val="0"/>
                <w:i w:val="0"/>
                <w:iCs/>
                <w:color w:val="000000"/>
                <w:sz w:val="16"/>
                <w:szCs w:val="16"/>
                <w:vertAlign w:val="baseline"/>
                <w:lang w:val="en-US" w:eastAsia="zh-CN"/>
              </w:rPr>
              <w:t>过程</w:t>
            </w:r>
            <w:r>
              <w:rPr>
                <w:rFonts w:hint="eastAsia" w:hAnsi="Cambria Math" w:cs="Times New Roman"/>
                <w:b w:val="0"/>
                <w:bCs w:val="0"/>
                <w:i w:val="0"/>
                <w:iCs/>
                <w:color w:val="000000"/>
                <w:sz w:val="16"/>
                <w:szCs w:val="16"/>
                <w:vertAlign w:val="baseline"/>
                <w:lang w:val="en-US" w:eastAsia="zh-CN"/>
              </w:rPr>
              <w:t>来</w:t>
            </w:r>
            <w:r>
              <w:rPr>
                <w:rFonts w:hint="default" w:hAnsi="Cambria Math" w:cs="Times New Roman"/>
                <w:b w:val="0"/>
                <w:bCs w:val="0"/>
                <w:i w:val="0"/>
                <w:iCs/>
                <w:color w:val="000000"/>
                <w:sz w:val="16"/>
                <w:szCs w:val="16"/>
                <w:vertAlign w:val="baseline"/>
                <w:lang w:val="en-US" w:eastAsia="zh-CN"/>
              </w:rPr>
              <w:t>预测</w:t>
            </w:r>
            <w:r>
              <w:rPr>
                <w:rFonts w:hint="eastAsia" w:hAnsi="Cambria Math" w:cs="Times New Roman"/>
                <w:b w:val="0"/>
                <w:bCs w:val="0"/>
                <w:i w:val="0"/>
                <w:iCs/>
                <w:color w:val="000000"/>
                <w:sz w:val="16"/>
                <w:szCs w:val="16"/>
                <w:vertAlign w:val="baseline"/>
                <w:lang w:val="en-US" w:eastAsia="zh-CN"/>
              </w:rPr>
              <w:t>隧道</w:t>
            </w:r>
            <w:r>
              <w:rPr>
                <w:rFonts w:hint="default" w:hAnsi="Cambria Math" w:cs="Times New Roman"/>
                <w:b w:val="0"/>
                <w:bCs w:val="0"/>
                <w:i w:val="0"/>
                <w:iCs/>
                <w:color w:val="000000"/>
                <w:sz w:val="16"/>
                <w:szCs w:val="16"/>
                <w:vertAlign w:val="baseline"/>
                <w:lang w:val="en-US" w:eastAsia="zh-CN"/>
              </w:rPr>
              <w:t>涌水量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数理统计法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隧道涌水点有较详细的降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涌水量观测数据</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用统计相关数据的数学方法预测突水点涌水量的近期变化趋势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水文地质比拟法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隧道附近有既有隧道或矿井(抗道)的涌水量观测资料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预测隧道与其水文地质条件相似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地下水动力学法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不受附近水文网直接影响的浅部和深部循环带内的隧道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地下水为均匀的裂隙岩溶水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地下水径流模数法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只在管状地下河地区适用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且所评价的水点必须是泉、地下暗河的天窗</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或必须是与地下暗河有密切的水力联系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降水入渗法</w:t>
            </w:r>
          </w:p>
        </w:tc>
        <w:tc>
          <w:tcPr>
            <w:tcW w:w="77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也适用于非岩溶岩类</w:t>
            </w:r>
            <w:r>
              <w:rPr>
                <w:rFonts w:hint="eastAsia" w:hAnsi="Cambria Math" w:cs="Times New Roman"/>
                <w:b w:val="0"/>
                <w:bCs w:val="0"/>
                <w:i w:val="0"/>
                <w:iCs/>
                <w:color w:val="000000"/>
                <w:sz w:val="16"/>
                <w:szCs w:val="16"/>
                <w:vertAlign w:val="baseline"/>
                <w:lang w:val="en-US" w:eastAsia="zh-CN"/>
              </w:rPr>
              <w:t>（基岩裂隙水）</w:t>
            </w:r>
            <w:r>
              <w:rPr>
                <w:rFonts w:hint="default" w:hAnsi="Cambria Math" w:cs="Times New Roman"/>
                <w:b w:val="0"/>
                <w:bCs w:val="0"/>
                <w:i w:val="0"/>
                <w:iCs/>
                <w:color w:val="000000"/>
                <w:sz w:val="16"/>
                <w:szCs w:val="16"/>
                <w:vertAlign w:val="baseline"/>
                <w:lang w:val="en-US" w:eastAsia="zh-CN"/>
              </w:rPr>
              <w:t>隧道计算隧道涌水量</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1546"/>
        <w:gridCol w:w="58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7" w:type="dxa"/>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序号</w:t>
            </w:r>
          </w:p>
        </w:tc>
        <w:tc>
          <w:tcPr>
            <w:tcW w:w="154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工作阶段</w:t>
            </w:r>
          </w:p>
        </w:tc>
        <w:tc>
          <w:tcPr>
            <w:tcW w:w="5864" w:type="dxa"/>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p>
        </w:tc>
        <w:tc>
          <w:tcPr>
            <w:tcW w:w="154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加深地质工作</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p>
        </w:tc>
        <w:tc>
          <w:tcPr>
            <w:tcW w:w="154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初测</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p>
        </w:tc>
        <w:tc>
          <w:tcPr>
            <w:tcW w:w="154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定测</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地下水径流模数法、降水入渗法、水文地质比拟法、地下水动力学法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p>
        </w:tc>
        <w:tc>
          <w:tcPr>
            <w:tcW w:w="154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数理统计法、流域水文模型法、地下水动力学法、降水入渗法、水文地质比拟法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p>
        </w:tc>
        <w:tc>
          <w:tcPr>
            <w:tcW w:w="154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运营</w:t>
            </w:r>
          </w:p>
        </w:tc>
        <w:tc>
          <w:tcPr>
            <w:tcW w:w="58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数理统计法、降水入渗法</w:t>
            </w:r>
          </w:p>
        </w:tc>
      </w:tr>
    </w:tbl>
    <w:p>
      <w:pPr>
        <w:pStyle w:val="2"/>
        <w:ind w:left="0" w:leftChars="0" w:firstLine="0" w:firstLineChars="0"/>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隧道涌水量计算</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8"/>
        <w:gridCol w:w="2469"/>
        <w:gridCol w:w="2094"/>
        <w:gridCol w:w="28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12"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地下径流深度法</w:t>
            </w:r>
          </w:p>
        </w:tc>
        <w:tc>
          <w:tcPr>
            <w:tcW w:w="2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=2.74ℎ∙A</m:t>
                </m:r>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ℎ</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W−H−E−SS</m:t>
                </m:r>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eastAsiaTheme="minorEastAsia"/>
                    <w:color w:val="000000"/>
                    <w:kern w:val="2"/>
                    <w:sz w:val="16"/>
                    <w:szCs w:val="16"/>
                    <w:vertAlign w:val="baseline"/>
                    <w:lang w:val="en-US" w:eastAsia="zh-CN" w:bidi="ar-SA"/>
                  </w:rPr>
                  <m:t>A</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L∙B</m:t>
                </m:r>
              </m:oMath>
            </m:oMathPara>
          </w:p>
        </w:tc>
        <w:tc>
          <w:tcPr>
            <w:tcW w:w="2094" w:type="dxa"/>
            <w:vMerge w:val="restart"/>
            <w:tcBorders>
              <w:top w:val="single" w:color="auto" w:sz="12" w:space="0"/>
              <w:left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隧道正常涌水量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W</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年降水量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地表径流深度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E</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某流域年蒸发蒸散量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SS</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——年地表</w:t>
            </w:r>
            <w:r>
              <w:rPr>
                <w:rFonts w:hint="eastAsia" w:ascii="Times New Roman" w:hAnsi="Times New Roman" w:cs="Times New Roman"/>
                <w:b w:val="0"/>
                <w:bCs w:val="0"/>
                <w:i w:val="0"/>
                <w:iCs/>
                <w:color w:val="000000"/>
                <w:kern w:val="2"/>
                <w:sz w:val="12"/>
                <w:szCs w:val="12"/>
                <w:vertAlign w:val="baseline"/>
                <w:lang w:val="en-US" w:eastAsia="zh-CN" w:bidi="ar-SA"/>
              </w:rPr>
              <w:t>滞水</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深度(mm)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平均地下径流模数[m</w:t>
            </w:r>
            <w:r>
              <w:rPr>
                <w:rFonts w:hint="eastAsia" w:ascii="Times New Roman" w:hAnsi="Times New Roman" w:cs="Times New Roman"/>
                <w:b w:val="0"/>
                <w:bCs w:val="0"/>
                <w:i w:val="0"/>
                <w:iCs/>
                <w:color w:val="000000"/>
                <w:kern w:val="2"/>
                <w:sz w:val="12"/>
                <w:szCs w:val="12"/>
                <w:vertAlign w:val="superscript"/>
                <w:lang w:val="en-US" w:eastAsia="zh-CN" w:bidi="ar-SA"/>
              </w:rPr>
              <w:t>3</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eastAsia" w:ascii="微软雅黑" w:hAnsi="微软雅黑" w:eastAsia="微软雅黑" w:cs="微软雅黑"/>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r>
                <m:rPr/>
                <w:rPr>
                  <w:rFonts w:hint="default" w:ascii="Cambria Math" w:hAnsi="Cambria Math" w:cs="Cambria Math" w:eastAsiaTheme="minorEastAsia"/>
                  <w:color w:val="000000"/>
                  <w:kern w:val="2"/>
                  <w:sz w:val="12"/>
                  <w:szCs w:val="12"/>
                  <w:vertAlign w:val="baseline"/>
                  <w:lang w:val="en-US" w:eastAsia="zh-CN" w:bidi="ar-SA"/>
                </w:rPr>
                <m:t>α</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降水入渗系数，一般取0.15~0.80</w:t>
            </w:r>
          </w:p>
        </w:tc>
        <w:tc>
          <w:tcPr>
            <w:tcW w:w="2846" w:type="dxa"/>
            <w:vMerge w:val="restart"/>
            <w:tcBorders>
              <w:top w:val="single" w:color="auto" w:sz="12" w:space="0"/>
              <w:left w:val="nil"/>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地下径流深度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A</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隧道通过含水体地段的集水面积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w:t>
            </w:r>
            <w:r>
              <w:rPr>
                <w:rFonts w:hint="eastAsia" w:ascii="Times New Roman" w:hAnsi="Times New Roman" w:cs="Times New Roman"/>
                <w:b w:val="0"/>
                <w:bCs w:val="0"/>
                <w:i/>
                <w:iCs w:val="0"/>
                <w:color w:val="000000"/>
                <w:kern w:val="2"/>
                <w:sz w:val="12"/>
                <w:szCs w:val="12"/>
                <w:vertAlign w:val="baseline"/>
                <w:lang w:val="en-US" w:eastAsia="zh-CN" w:bidi="ar-SA"/>
              </w:rPr>
              <w:t>L</w:t>
            </w:r>
            <w:r>
              <w:rPr>
                <w:rFonts w:hint="eastAsia" w:ascii="Times New Roman" w:hAnsi="Times New Roman" w:cs="Times New Roman"/>
                <w:b w:val="0"/>
                <w:bCs w:val="0"/>
                <w:i w:val="0"/>
                <w:iCs/>
                <w:color w:val="000000"/>
                <w:kern w:val="2"/>
                <w:sz w:val="12"/>
                <w:szCs w:val="12"/>
                <w:vertAlign w:val="baseline"/>
                <w:lang w:val="en-US" w:eastAsia="zh-CN" w:bidi="ar-SA"/>
              </w:rPr>
              <w:t>长度内对两侧的影响宽度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地下水补给的河流的流量或下降泉流量(</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eastAsia" w:ascii="Times New Roman" w:hAnsi="Times New Roman" w:cs="Times New Roman"/>
                <w:b w:val="0"/>
                <w:bCs w:val="0"/>
                <w:i w:val="0"/>
                <w:iCs/>
                <w:color w:val="000000"/>
                <w:kern w:val="2"/>
                <w:sz w:val="12"/>
                <w:szCs w:val="12"/>
                <w:vertAlign w:val="baseline"/>
                <w:lang w:val="en-US" w:eastAsia="zh-CN" w:bidi="ar-SA"/>
              </w:rPr>
              <w:t>)，采用枯水期流量计算</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F</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 xml:space="preserve">与 </w:t>
            </w:r>
            <m:oMath>
              <m:r>
                <m:rPr>
                  <m:sty m:val="p"/>
                </m:rPr>
                <w:rPr>
                  <w:rFonts w:hint="eastAsia" w:ascii="Cambria Math" w:hAnsi="Cambria Math" w:cs="Times New Roman"/>
                  <w:color w:val="000000"/>
                  <w:kern w:val="2"/>
                  <w:sz w:val="12"/>
                  <w:szCs w:val="12"/>
                  <w:vertAlign w:val="baseline"/>
                  <w:lang w:val="en-US" w:eastAsia="zh-CN" w:bidi="ar-SA"/>
                </w:rPr>
                <m:t>Q'</m:t>
              </m:r>
            </m:oMath>
            <w:r>
              <w:rPr>
                <w:rFonts w:hint="eastAsia" w:hAnsi="Cambria Math" w:cs="Times New Roman"/>
                <w:b w:val="0"/>
                <w:bCs w:val="0"/>
                <w:i w:val="0"/>
                <w:iCs/>
                <w:color w:val="000000"/>
                <w:kern w:val="2"/>
                <w:sz w:val="12"/>
                <w:szCs w:val="12"/>
                <w:vertAlign w:val="baseline"/>
                <w:lang w:val="en-US" w:eastAsia="zh-CN" w:bidi="ar-SA"/>
              </w:rPr>
              <w:t xml:space="preserve"> </w:t>
            </w:r>
            <w:r>
              <w:rPr>
                <w:rFonts w:hint="eastAsia" w:ascii="Times New Roman" w:hAnsi="Times New Roman" w:cs="Times New Roman"/>
                <w:b w:val="0"/>
                <w:bCs w:val="0"/>
                <w:i w:val="0"/>
                <w:iCs/>
                <w:color w:val="000000"/>
                <w:kern w:val="2"/>
                <w:sz w:val="12"/>
                <w:szCs w:val="12"/>
                <w:vertAlign w:val="baseline"/>
                <w:lang w:val="en-US" w:eastAsia="zh-CN" w:bidi="ar-SA"/>
              </w:rPr>
              <w:t>的地表水或下降泉流量相当的地表流域面积(km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8" w:type="dxa"/>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地下径流模数法</w:t>
            </w:r>
          </w:p>
        </w:tc>
        <w:tc>
          <w:tcPr>
            <w:tcW w:w="2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oMath>
            </m:oMathPara>
          </w:p>
        </w:tc>
        <w:tc>
          <w:tcPr>
            <w:tcW w:w="2094" w:type="dxa"/>
            <w:vMerge w:val="continue"/>
            <w:tcBorders>
              <w:left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846" w:type="dxa"/>
            <w:vMerge w:val="continue"/>
            <w:tcBorders>
              <w:left w:val="nil"/>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降水入渗法</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=2.74</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∙W∙</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tc>
        <w:tc>
          <w:tcPr>
            <w:tcW w:w="2094" w:type="dxa"/>
            <w:vMerge w:val="continue"/>
            <w:tcBorders>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c>
          <w:tcPr>
            <w:tcW w:w="2846" w:type="dxa"/>
            <w:vMerge w:val="continue"/>
            <w:tcBorders>
              <w:left w:val="nil"/>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00" w:hRule="atLeast"/>
          <w:jc w:val="center"/>
        </w:trPr>
        <w:tc>
          <w:tcPr>
            <w:tcW w:w="137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地下水动力学法</w:t>
            </w:r>
          </w:p>
        </w:tc>
        <w:tc>
          <w:tcPr>
            <w:tcW w:w="246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最大涌水量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古德曼经验公式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∙K∙H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(4</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q</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iCs w:val="0"/>
                        <w:color w:val="000000"/>
                        <w:kern w:val="2"/>
                        <w:sz w:val="15"/>
                        <w:szCs w:val="15"/>
                        <w:vertAlign w:val="baseline"/>
                        <w:lang w:val="en-US" w:eastAsia="zh-CN" w:bidi="ar-SA"/>
                      </w:rPr>
                    </m:ctrlPr>
                  </m:sub>
                </m:sSub>
                <m:r>
                  <m:rPr>
                    <m:sty m:val="p"/>
                  </m:rPr>
                  <w:rPr>
                    <w:rFonts w:hint="default" w:ascii="Cambria Math" w:hAnsi="Cambria Math" w:cs="Times New Roman" w:eastAsiaTheme="minorEastAsia"/>
                    <w:color w:val="000000"/>
                    <w:kern w:val="2"/>
                    <w:sz w:val="15"/>
                    <w:szCs w:val="15"/>
                    <w:vertAlign w:val="baseline"/>
                    <w:lang w:val="en-US" w:eastAsia="zh-CN" w:bidi="ar-SA"/>
                  </w:rPr>
                  <m:t>=</m:t>
                </m:r>
                <m:f>
                  <m:f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eastAsiaTheme="minorEastAsia"/>
                        <w:color w:val="000000"/>
                        <w:kern w:val="2"/>
                        <w:sz w:val="15"/>
                        <w:szCs w:val="15"/>
                        <w:vertAlign w:val="baseline"/>
                        <w:lang w:val="en-US" w:eastAsia="zh-CN" w:bidi="ar-SA"/>
                      </w:rPr>
                      <m:t>2π∙</m:t>
                    </m:r>
                    <m:r>
                      <m:rPr/>
                      <w:rPr>
                        <w:rFonts w:hint="default" w:ascii="Cambria Math" w:hAnsi="Cambria Math" w:cs="Times New Roman"/>
                        <w:color w:val="000000"/>
                        <w:kern w:val="2"/>
                        <w:sz w:val="15"/>
                        <w:szCs w:val="15"/>
                        <w:vertAlign w:val="baseline"/>
                        <w:lang w:val="en-US" w:eastAsia="zh-CN" w:bidi="ar-SA"/>
                      </w:rPr>
                      <m:t>m∙</m:t>
                    </m:r>
                    <m:r>
                      <m:rPr>
                        <m:sty m:val="p"/>
                      </m:rPr>
                      <w:rPr>
                        <w:rFonts w:hint="default" w:ascii="Cambria Math" w:hAnsi="Cambria Math" w:cs="Times New Roman" w:eastAsiaTheme="minorEastAsia"/>
                        <w:color w:val="000000"/>
                        <w:kern w:val="2"/>
                        <w:sz w:val="15"/>
                        <w:szCs w:val="15"/>
                        <w:vertAlign w:val="baseline"/>
                        <w:lang w:val="en-US" w:eastAsia="zh-CN" w:bidi="ar-SA"/>
                      </w:rPr>
                      <m:t>K∙H</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num>
                  <m:den>
                    <m:func>
                      <m:func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uncPr>
                      <m:fName>
                        <m:r>
                          <m:rPr>
                            <m:sty m:val="p"/>
                          </m:rPr>
                          <w:rPr>
                            <w:rFonts w:hint="default" w:ascii="Cambria Math" w:hAnsi="Cambria Math" w:cs="Times New Roman" w:eastAsiaTheme="minorEastAsia"/>
                            <w:color w:val="000000"/>
                            <w:kern w:val="2"/>
                            <w:sz w:val="15"/>
                            <w:szCs w:val="15"/>
                            <w:vertAlign w:val="baseline"/>
                            <w:lang w:val="en-US" w:eastAsia="zh-CN" w:bidi="ar-SA"/>
                          </w:rPr>
                          <m:t>ln</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Name>
                      <m:e>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tan</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bidi="ar-SA"/>
                                  </w:rPr>
                                  <m:t>π</m:t>
                                </m:r>
                                <m:r>
                                  <m:rPr>
                                    <m:sty m:val="p"/>
                                  </m:rPr>
                                  <w:rPr>
                                    <w:rFonts w:hint="default" w:ascii="Cambria Math" w:hAnsi="Cambria Math" w:cs="Times New Roman"/>
                                    <w:color w:val="000000"/>
                                    <w:kern w:val="2"/>
                                    <w:sz w:val="15"/>
                                    <w:szCs w:val="15"/>
                                    <w:vertAlign w:val="baseline"/>
                                    <w:lang w:val="en-US" w:eastAsia="zh-CN" w:bidi="ar-SA"/>
                                  </w:rPr>
                                  <m:t>(2H−</m:t>
                                </m:r>
                                <m:r>
                                  <m:rPr/>
                                  <w:rPr>
                                    <w:rFonts w:hint="default" w:ascii="Cambria Math" w:hAnsi="Cambria Math" w:cs="Times New Roman"/>
                                    <w:color w:val="000000"/>
                                    <w:kern w:val="2"/>
                                    <w:sz w:val="15"/>
                                    <w:szCs w:val="15"/>
                                    <w:vertAlign w:val="baseline"/>
                                    <w:lang w:val="en-US" w:eastAsia="zh-CN" w:bidi="ar-SA"/>
                                  </w:rPr>
                                  <m:t>d</m:t>
                                </m:r>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cot</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color w:val="000000"/>
                                    <w:kern w:val="2"/>
                                    <w:sz w:val="15"/>
                                    <w:szCs w:val="15"/>
                                    <w:vertAlign w:val="baseline"/>
                                    <w:lang w:val="en-US" w:eastAsia="zh-CN" w:bidi="ar-SA"/>
                                  </w:rPr>
                                  <m:t>π∙d</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m:sty m:val="p"/>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e>
                    </m:func>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den>
                </m:f>
              </m:oMath>
            </m:oMathPara>
          </w:p>
        </w:tc>
        <w:tc>
          <w:tcPr>
            <w:tcW w:w="2094" w:type="dxa"/>
            <w:tcBorders>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bCs/>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正常涌水量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裘布依理论公式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L∙K</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c</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ctrlPr>
                      <w:rPr>
                        <w:rFonts w:hint="default" w:ascii="Cambria Math" w:hAnsi="Cambria Math" w:cs="Times New Roman"/>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eastAsiaTheme="minorEastAsia"/>
                <w:b w:val="0"/>
                <w:bCs w:val="0"/>
                <w:i/>
                <w:iCs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sSub>
                  <m:sSubPr>
                    <m:ctrlPr>
                      <w:rPr>
                        <w:rFonts w:hint="default" w:ascii="Cambria Math" w:hAnsi="Cambria Math" w:cs="Times New Roman" w:eastAsiaTheme="minorEastAsia"/>
                        <w:b w:val="0"/>
                        <w:i w:val="0"/>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i w:val="0"/>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−0.584</m:t>
                </m:r>
                <m:acc>
                  <m:accPr>
                    <m:chr m:val="̅"/>
                    <m:ctrlPr>
                      <w:rPr>
                        <w:rFonts w:hint="default" w:ascii="Cambria Math" w:hAnsi="Cambria Math" w:cs="Times New Roman"/>
                        <w:b w:val="0"/>
                        <w:color w:val="000000"/>
                        <w:kern w:val="2"/>
                        <w:sz w:val="16"/>
                        <w:szCs w:val="16"/>
                        <w:vertAlign w:val="baseline"/>
                        <w:lang w:val="en-US" w:eastAsia="zh-CN" w:bidi="ar-SA"/>
                      </w:rPr>
                    </m:ctrlPr>
                  </m:accPr>
                  <m:e>
                    <m:r>
                      <m:rPr/>
                      <w:rPr>
                        <w:rFonts w:hint="default" w:ascii="Cambria Math" w:hAnsi="Cambria Math" w:cs="Times New Roman"/>
                        <w:color w:val="000000"/>
                        <w:kern w:val="2"/>
                        <w:sz w:val="16"/>
                        <w:szCs w:val="16"/>
                        <w:vertAlign w:val="baseline"/>
                        <w:lang w:val="en-US" w:bidi="ar-SA"/>
                      </w:rPr>
                      <m:t>ε</m:t>
                    </m:r>
                    <m:ctrlPr>
                      <w:rPr>
                        <w:rFonts w:hint="default" w:ascii="Cambria Math" w:hAnsi="Cambria Math" w:cs="Times New Roman"/>
                        <w:b w:val="0"/>
                        <w:i w:val="0"/>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K∙d</m:t>
                </m:r>
              </m:oMath>
            </m:oMathPara>
          </w:p>
        </w:tc>
        <w:tc>
          <w:tcPr>
            <w:tcW w:w="2846" w:type="dxa"/>
            <w:vMerge w:val="restart"/>
            <w:tcBorders>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静止水位至洞身横断面等价圆中心的距离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m:sty m:val="p"/>
                </m:rPr>
                <w:rPr>
                  <w:rFonts w:hint="default" w:ascii="Cambria Math" w:hAnsi="Cambria Math" w:cs="Times New Roman" w:eastAsiaTheme="minorEastAsia"/>
                  <w:color w:val="000000"/>
                  <w:kern w:val="2"/>
                  <w:sz w:val="12"/>
                  <w:szCs w:val="12"/>
                  <w:vertAlign w:val="baseline"/>
                  <w:lang w:val="en-US" w:eastAsia="zh-CN" w:bidi="ar-SA"/>
                </w:rPr>
                <m:t>d</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——洞身横断面等价圆直径(m)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K</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含水层或含水体的渗透系数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换算系数，一般取0.85</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c</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含水体厚度(m)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洞外水柱高度(m)，一般考虑水跃值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R</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y</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隧道涌水地段的引用补给半径(m)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r</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隧道洞身横断面宽度之半(m)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Cambria Math" w:hAnsi="Cambria Math" w:cs="Times New Roman" w:eastAsiaTheme="minorEastAsia"/>
                <w:b w:val="0"/>
                <w:bCs w:val="0"/>
                <w:i/>
                <w:iCs w:val="0"/>
                <w:color w:val="000000"/>
                <w:kern w:val="2"/>
                <w:sz w:val="16"/>
                <w:szCs w:val="16"/>
                <w:vertAlign w:val="baseline"/>
                <w:lang w:val="en-US" w:eastAsia="zh-CN" w:bidi="ar-SA"/>
                <w:oMath/>
              </w:rPr>
            </w:pPr>
            <m:oMath>
              <m:acc>
                <m:accPr>
                  <m:chr m:val="̅"/>
                  <m:ctrlPr>
                    <w:rPr>
                      <w:rFonts w:hint="default" w:ascii="Cambria Math" w:hAnsi="Cambria Math" w:cs="Times New Roman"/>
                      <w:i/>
                      <w:color w:val="000000"/>
                      <w:kern w:val="2"/>
                      <w:sz w:val="12"/>
                      <w:szCs w:val="12"/>
                      <w:vertAlign w:val="baseline"/>
                      <w:lang w:val="en-US" w:eastAsia="zh-CN" w:bidi="ar-SA"/>
                    </w:rPr>
                  </m:ctrlPr>
                </m:accPr>
                <m:e>
                  <m:r>
                    <m:rPr/>
                    <w:rPr>
                      <w:rFonts w:hint="default" w:ascii="Cambria Math" w:hAnsi="Cambria Math" w:cs="Times New Roman"/>
                      <w:color w:val="000000"/>
                      <w:kern w:val="2"/>
                      <w:sz w:val="12"/>
                      <w:szCs w:val="12"/>
                      <w:vertAlign w:val="baseline"/>
                      <w:lang w:val="en-US" w:eastAsia="zh-CN" w:bidi="ar-SA"/>
                    </w:rPr>
                    <m:t>ε</m:t>
                  </m:r>
                  <m:ctrlPr>
                    <w:rPr>
                      <w:rFonts w:hint="default" w:ascii="Cambria Math" w:hAnsi="Cambria Math" w:cs="Times New Roman"/>
                      <w:i/>
                      <w:color w:val="000000"/>
                      <w:kern w:val="2"/>
                      <w:sz w:val="12"/>
                      <w:szCs w:val="12"/>
                      <w:vertAlign w:val="baseline"/>
                      <w:lang w:val="en-US" w:eastAsia="zh-CN" w:bidi="ar-SA"/>
                    </w:rPr>
                  </m:ctrlPr>
                </m:e>
              </m:acc>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试验系数，一般取12.8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312" w:hRule="atLeast"/>
          <w:jc w:val="center"/>
        </w:trPr>
        <w:tc>
          <w:tcPr>
            <w:tcW w:w="1378" w:type="dxa"/>
            <w:vMerge w:val="continue"/>
            <w:tcBorders>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094" w:type="dxa"/>
            <w:vMerge w:val="restart"/>
            <w:tcBorders>
              <w:top w:val="single" w:color="auto" w:sz="4" w:space="0"/>
              <w:left w:val="single" w:color="auto" w:sz="4" w:space="0"/>
              <w:bottom w:val="single" w:color="auto" w:sz="4" w:space="0"/>
              <w:right w:val="nil"/>
            </w:tcBorders>
            <w:shd w:val="clear" w:color="auto" w:fill="auto"/>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lang w:val="en-US" w:eastAsia="zh-CN"/>
              </w:rPr>
            </w:pPr>
            <m:oMath>
              <m:sSub>
                <m:sSubPr>
                  <m:ctrlPr>
                    <w:rPr>
                      <w:rFonts w:hint="default" w:ascii="Cambria Math" w:hAnsi="Cambria Math" w:cs="Times New Roman"/>
                      <w:i/>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eastAsia="zh-CN" w:bidi="ar-SA"/>
                    </w:rPr>
                    <m:t>q</m:t>
                  </m:r>
                  <m:ctrlPr>
                    <w:rPr>
                      <w:rFonts w:hint="default" w:ascii="Cambria Math" w:hAnsi="Cambria Math" w:cs="Times New Roman"/>
                      <w:i/>
                      <w:color w:val="000000"/>
                      <w:kern w:val="2"/>
                      <w:sz w:val="11"/>
                      <w:szCs w:val="11"/>
                      <w:vertAlign w:val="baseline"/>
                      <w:lang w:val="en-US" w:eastAsia="zh-CN" w:bidi="ar-SA"/>
                    </w:rPr>
                  </m:ctrlPr>
                </m:e>
                <m:sub>
                  <m:r>
                    <m:rPr/>
                    <w:rPr>
                      <w:rFonts w:hint="default" w:ascii="Cambria Math" w:hAnsi="Cambria Math" w:cs="Times New Roman"/>
                      <w:color w:val="000000"/>
                      <w:kern w:val="2"/>
                      <w:sz w:val="11"/>
                      <w:szCs w:val="11"/>
                      <w:vertAlign w:val="baseline"/>
                      <w:lang w:val="en-US" w:eastAsia="zh-CN" w:bidi="ar-SA"/>
                    </w:rPr>
                    <m:t>0</m:t>
                  </m:r>
                  <m:ctrlPr>
                    <w:rPr>
                      <w:rFonts w:hint="default" w:ascii="Cambria Math" w:hAnsi="Cambria Math" w:cs="Times New Roman"/>
                      <w:i/>
                      <w:color w:val="000000"/>
                      <w:kern w:val="2"/>
                      <w:sz w:val="11"/>
                      <w:szCs w:val="11"/>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隧道单位长度最大涌水量[m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eastAsia" w:ascii="Cambria Math" w:hAnsi="Cambria Math" w:cs="Times New Roman"/>
                      <w:b w:val="0"/>
                      <w:bCs w:val="0"/>
                      <w:i w:val="0"/>
                      <w:iCs/>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eastAsia" w:ascii="Cambria Math" w:hAnsi="Cambria Math" w:cs="Times New Roman"/>
                      <w:b w:val="0"/>
                      <w:bCs w:val="0"/>
                      <w:i w:val="0"/>
                      <w:iCs/>
                      <w:color w:val="000000"/>
                      <w:kern w:val="2"/>
                      <w:sz w:val="12"/>
                      <w:szCs w:val="12"/>
                      <w:vertAlign w:val="baseline"/>
                      <w:lang w:val="en-US" w:eastAsia="zh-CN" w:bidi="ar-SA"/>
                    </w:rPr>
                  </m:ctrlPr>
                </m:e>
                <m:sub>
                  <m:r>
                    <m:rPr>
                      <m:sty m:val="p"/>
                    </m:rPr>
                    <w:rPr>
                      <w:rFonts w:hint="eastAsia" w:ascii="Cambria Math" w:hAnsi="Cambria Math" w:cs="Times New Roman"/>
                      <w:color w:val="000000"/>
                      <w:kern w:val="2"/>
                      <w:sz w:val="12"/>
                      <w:szCs w:val="12"/>
                      <w:vertAlign w:val="baseline"/>
                      <w:lang w:val="en-US" w:eastAsia="zh-CN" w:bidi="ar-SA"/>
                    </w:rPr>
                    <m:t>s</m:t>
                  </m:r>
                  <m:ctrlPr>
                    <w:rPr>
                      <w:rFonts w:hint="eastAsia" w:ascii="Cambria Math" w:hAnsi="Cambria Math" w:cs="Times New Roman"/>
                      <w:b w:val="0"/>
                      <w:bCs w:val="0"/>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tc>
        <w:tc>
          <w:tcPr>
            <w:tcW w:w="2846" w:type="dxa"/>
            <w:vMerge w:val="continue"/>
            <w:tcBorders>
              <w:top w:val="single" w:color="auto" w:sz="4" w:space="0"/>
              <w:left w:val="nil"/>
              <w:bottom w:val="single" w:color="auto" w:sz="4" w:space="0"/>
              <w:right w:val="nil"/>
            </w:tcBorders>
            <w:shd w:val="clear" w:color="auto" w:fill="auto"/>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2094" w:type="dxa"/>
            <w:vMerge w:val="continue"/>
            <w:tcBorders>
              <w:top w:val="single" w:color="auto" w:sz="4" w:space="0"/>
              <w:left w:val="nil"/>
              <w:bottom w:val="single" w:color="auto" w:sz="4" w:space="0"/>
              <w:right w:val="nil"/>
            </w:tcBorders>
            <w:shd w:val="clear" w:color="auto" w:fill="auto"/>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c>
          <w:tcPr>
            <w:tcW w:w="2846" w:type="dxa"/>
            <w:vMerge w:val="continue"/>
            <w:tcBorders>
              <w:top w:val="single" w:color="auto" w:sz="4" w:space="0"/>
              <w:left w:val="nil"/>
              <w:bottom w:val="single" w:color="auto" w:sz="4" w:space="0"/>
              <w:right w:val="nil"/>
            </w:tcBorders>
            <w:shd w:val="clear" w:color="auto" w:fill="auto"/>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8" w:type="dxa"/>
            <w:tcBorders>
              <w:top w:val="nil"/>
              <w:bottom w:val="single" w:color="auto" w:sz="12" w:space="0"/>
              <w:right w:val="single" w:color="auto" w:sz="4" w:space="0"/>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水文地质比拟法</w:t>
            </w:r>
          </w:p>
        </w:tc>
        <w:tc>
          <w:tcPr>
            <w:tcW w:w="2469" w:type="dxa"/>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2"/>
                <w:szCs w:val="12"/>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=Q'</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B∙L∙s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B</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tc>
        <w:tc>
          <w:tcPr>
            <w:tcW w:w="4940" w:type="dxa"/>
            <w:gridSpan w:val="2"/>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w:rPr>
                  <w:rFonts w:hint="eastAsia" w:ascii="Cambria Math" w:hAnsi="Cambria Math" w:cs="Times New Roman"/>
                  <w:color w:val="000000"/>
                  <w:kern w:val="2"/>
                  <w:sz w:val="12"/>
                  <w:szCs w:val="12"/>
                  <w:vertAlign w:val="baseline"/>
                  <w:lang w:val="en-US" w:eastAsia="zh-CN" w:bidi="ar-SA"/>
                </w:rPr>
                <m:t>、</m:t>
              </m:r>
              <m:r>
                <m:rPr>
                  <m:sty m:val="p"/>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新建、既有隧道(坑道)通过含水体地段的正常涌水量或最大涌水量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F</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F</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新建、既有隧道(坑道)通过含水体地段的涌水面积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s</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新建、既有隧道(坑道)通过含水体中自静水水位计起的水位降深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B</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新建、既有隧道(坑道)洞身横断面的周长</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L</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bl>
    <w:p>
      <w:pPr>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坡顶非水平-土压力计算（边坡附B）</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28" w:type="dxa"/>
          <w:left w:w="28" w:type="dxa"/>
          <w:bottom w:w="28" w:type="dxa"/>
          <w:right w:w="28" w:type="dxa"/>
        </w:tblCellMar>
      </w:tblPr>
      <w:tblGrid>
        <w:gridCol w:w="2098"/>
        <w:gridCol w:w="1733"/>
        <w:gridCol w:w="32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098"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局部水平</w:t>
            </w:r>
          </w:p>
        </w:tc>
        <w:tc>
          <w:tcPr>
            <w:tcW w:w="17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局部斜面</w:t>
            </w:r>
          </w:p>
        </w:tc>
        <w:tc>
          <w:tcPr>
            <w:tcW w:w="3249" w:type="dxa"/>
            <w:tcBorders>
              <w:top w:val="single" w:color="auto" w:sz="12"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bCs/>
                <w:i/>
                <w:iCs w:val="0"/>
                <w:color w:val="000000"/>
                <w:kern w:val="2"/>
                <w:sz w:val="12"/>
                <w:szCs w:val="12"/>
                <w:vertAlign w:val="baseline"/>
                <w:lang w:val="en-US" w:eastAsia="zh-CN" w:bidi="ar-SA"/>
                <w:oMath/>
              </w:rPr>
            </w:pPr>
            <w:r>
              <w:rPr>
                <w:rFonts w:hint="eastAsia" w:ascii="Times New Roman" w:hAnsi="Times New Roman" w:cs="Times New Roman"/>
                <w:b/>
                <w:bCs/>
                <w:i w:val="0"/>
                <w:iCs/>
                <w:color w:val="000000"/>
                <w:kern w:val="2"/>
                <w:sz w:val="16"/>
                <w:szCs w:val="16"/>
                <w:vertAlign w:val="baseline"/>
                <w:lang w:val="en-US" w:eastAsia="zh-CN" w:bidi="ar-SA"/>
              </w:rPr>
              <w:t>中部斜面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2"/>
                <w:szCs w:val="12"/>
                <w:vertAlign w:val="baseline"/>
                <w:lang w:val="en-US" w:eastAsia="zh-CN" w:bidi="ar-SA"/>
                <w:oMath/>
              </w:rPr>
            </w:pPr>
            <w:r>
              <w:rPr>
                <w:sz w:val="12"/>
              </w:rPr>
              <mc:AlternateContent>
                <mc:Choice Requires="wps">
                  <w:drawing>
                    <wp:anchor distT="0" distB="0" distL="114300" distR="114300" simplePos="0" relativeHeight="251663360" behindDoc="0" locked="0" layoutInCell="1" allowOverlap="1">
                      <wp:simplePos x="0" y="0"/>
                      <wp:positionH relativeFrom="column">
                        <wp:posOffset>3500755</wp:posOffset>
                      </wp:positionH>
                      <wp:positionV relativeFrom="paragraph">
                        <wp:posOffset>52705</wp:posOffset>
                      </wp:positionV>
                      <wp:extent cx="343535" cy="239395"/>
                      <wp:effectExtent l="0" t="0" r="0" b="0"/>
                      <wp:wrapNone/>
                      <wp:docPr id="26" name="文本框 26"/>
                      <wp:cNvGraphicFramePr/>
                      <a:graphic xmlns:a="http://schemas.openxmlformats.org/drawingml/2006/main">
                        <a:graphicData uri="http://schemas.microsoft.com/office/word/2010/wordprocessingShape">
                          <wps:wsp>
                            <wps:cNvSpPr txBox="1"/>
                            <wps:spPr>
                              <a:xfrm>
                                <a:off x="5105400" y="1386840"/>
                                <a:ext cx="343535" cy="239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65pt;margin-top:4.15pt;height:18.85pt;width:27.05pt;z-index:251663360;mso-width-relative:page;mso-height-relative:page;" filled="f" stroked="f" coordsize="21600,21600" o:gfxdata="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JeexXaAAAACAEAAA8AAAAAAAAA&#10;AQAgAAAAIgAAAGRycy9kb3ducmV2LnhtbFBLAQIUABQAAAAIAIdO4kACIt8eSAIAAHMEAAAOAAAA&#10;AAAAAAEAIAAAACkBAABkcnMvZTJvRG9jLnhtbFBLBQYAAAAABgAGAFkBAADjBQAAAAA=&#10;">
                      <v:fill on="f" focussize="0,0"/>
                      <v:stroke on="f" weight="0.5pt"/>
                      <v:imagedata o:title=""/>
                      <o:lock v:ext="edit" aspectratio="f"/>
                      <v:textbox>
                        <w:txbxContent>
                          <w:p>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v:textbox>
                    </v:shape>
                  </w:pict>
                </mc:Fallback>
              </mc:AlternateContent>
            </w:r>
            <w:r>
              <w:rPr>
                <w:rFonts w:hint="default" w:hAnsi="Cambria Math" w:cs="Times New Roman"/>
                <w:b w:val="0"/>
                <w:bCs w:val="0"/>
                <w:i/>
                <w:iCs w:val="0"/>
                <w:color w:val="000000"/>
                <w:kern w:val="2"/>
                <w:sz w:val="12"/>
                <w:szCs w:val="12"/>
                <w:vertAlign w:val="baseline"/>
                <w:lang w:val="en-US" w:eastAsia="zh-CN" w:bidi="ar-SA"/>
              </w:rPr>
              <w:drawing>
                <wp:inline distT="0" distB="0" distL="114300" distR="114300">
                  <wp:extent cx="4493895" cy="1195070"/>
                  <wp:effectExtent l="0" t="0" r="1905" b="508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6"/>
                          <a:stretch>
                            <a:fillRect/>
                          </a:stretch>
                        </pic:blipFill>
                        <pic:spPr>
                          <a:xfrm>
                            <a:off x="0" y="0"/>
                            <a:ext cx="4493895" cy="11950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bCs w:val="0"/>
                <w:i/>
                <w:iCs w:val="0"/>
                <w:color w:val="000000"/>
                <w:kern w:val="2"/>
                <w:sz w:val="16"/>
                <w:szCs w:val="16"/>
                <w:vertAlign w:val="baseline"/>
                <w:lang w:val="en-US" w:eastAsia="zh-CN" w:bidi="ar-SA"/>
              </w:rPr>
            </w:pPr>
            <m:oMathPara>
              <m:oMath>
                <m:sSub>
                  <m:sSubPr>
                    <m:ctrlPr>
                      <w:rPr>
                        <w:rFonts w:ascii="Cambria Math" w:hAnsi="Cambria Math" w:cs="Times New Roman"/>
                        <w:bCs w:val="0"/>
                        <w:i/>
                        <w:iCs w:val="0"/>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ascii="Cambria Math" w:hAnsi="Cambria Math" w:cs="Times New Roman"/>
                        <w:bCs w:val="0"/>
                        <w:i/>
                        <w:iCs w:val="0"/>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ascii="Cambria Math" w:hAnsi="Cambria Math" w:cs="Times New Roman"/>
                        <w:bCs w:val="0"/>
                        <w:i/>
                        <w:iCs w:val="0"/>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γ</m:t>
                </m:r>
                <m:r>
                  <m:rPr/>
                  <w:rPr>
                    <w:rFonts w:hint="default" w:ascii="Cambria Math" w:hAnsi="Cambria Math" w:cs="Times New Roman"/>
                    <w:color w:val="000000"/>
                    <w:kern w:val="2"/>
                    <w:sz w:val="16"/>
                    <w:szCs w:val="16"/>
                    <w:vertAlign w:val="baseline"/>
                    <w:lang w:val="en-US" w:eastAsia="zh-CN" w:bidi="ar-SA"/>
                  </w:rPr>
                  <m:t>z</m:t>
                </m:r>
                <m:func>
                  <m:funcPr>
                    <m:ctrlPr>
                      <w:rPr>
                        <w:rFonts w:hint="default" w:ascii="Cambria Math" w:hAnsi="Cambria Math" w:cs="Times New Roman"/>
                        <w:bCs w:val="0"/>
                        <w:i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f>
                  <m:fPr>
                    <m:ctrlPr>
                      <w:rPr>
                        <w:rFonts w:hint="default" w:ascii="Cambria Math" w:hAnsi="Cambria Math" w:cs="Times New Roman"/>
                        <w:bCs w:val="0"/>
                        <w:i/>
                        <w:iCs w:val="0"/>
                        <w:color w:val="000000"/>
                        <w:kern w:val="2"/>
                        <w:sz w:val="16"/>
                        <w:szCs w:val="16"/>
                        <w:vertAlign w:val="baseline"/>
                        <w:lang w:val="en-US" w:eastAsia="zh-CN" w:bidi="ar-SA"/>
                      </w:rPr>
                    </m:ctrlPr>
                  </m:fPr>
                  <m:num>
                    <m:func>
                      <m:funcPr>
                        <m:ctrl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Cs w:val="0"/>
                            <w:i/>
                            <w:iCs w:val="0"/>
                            <w:color w:val="000000"/>
                            <w:kern w:val="2"/>
                            <w:sz w:val="16"/>
                            <w:szCs w:val="16"/>
                            <w:vertAlign w:val="baseline"/>
                            <w:lang w:val="en-US" w:eastAsia="zh-CN" w:bidi="ar-SA"/>
                          </w:rPr>
                        </m:ctrlPr>
                      </m:radPr>
                      <m:deg>
                        <m:ctrlPr>
                          <w:rPr>
                            <w:rFonts w:hint="default" w:ascii="Cambria Math" w:hAnsi="Cambria Math" w:cs="Times New Roman"/>
                            <w:bCs w:val="0"/>
                            <w:i/>
                            <w:iCs w:val="0"/>
                            <w:color w:val="000000"/>
                            <w:kern w:val="2"/>
                            <w:sz w:val="16"/>
                            <w:szCs w:val="16"/>
                            <w:vertAlign w:val="baseline"/>
                            <w:lang w:val="en-US" w:eastAsia="zh-CN" w:bidi="ar-SA"/>
                          </w:rPr>
                        </m:ctrlPr>
                      </m:deg>
                      <m:e>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Cs w:val="0"/>
                                    <w:color w:val="000000"/>
                                    <w:kern w:val="2"/>
                                    <w:sz w:val="16"/>
                                    <w:szCs w:val="16"/>
                                    <w:vertAlign w:val="baseline"/>
                                    <w:lang w:val="en-US" w:eastAsia="zh-CN" w:bidi="ar-SA"/>
                                  </w:rPr>
                                </m:ctrlPr>
                              </m:sSupPr>
                              <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φ</m:t>
                            </m:r>
                            <m:ctrlPr>
                              <w:rPr>
                                <w:rFonts w:hint="default" w:ascii="Cambria Math" w:hAnsi="Cambria Math" w:cs="Times New Roman"/>
                                <w:bCs w:val="0"/>
                                <w:i/>
                                <w:iCs w:val="0"/>
                                <w:color w:val="000000"/>
                                <w:kern w:val="2"/>
                                <w:sz w:val="16"/>
                                <w:szCs w:val="16"/>
                                <w:vertAlign w:val="baseline"/>
                                <w:lang w:val="en-US" w:eastAsia="zh-CN" w:bidi="ar-SA"/>
                              </w:rPr>
                            </m:ctrlPr>
                          </m:e>
                        </m:func>
                        <m:ctrlPr>
                          <w:rPr>
                            <w:rFonts w:hint="default" w:ascii="Cambria Math" w:hAnsi="Cambria Math" w:cs="Times New Roman"/>
                            <w:bCs w:val="0"/>
                            <w:i/>
                            <w:iCs w:val="0"/>
                            <w:color w:val="000000"/>
                            <w:kern w:val="2"/>
                            <w:sz w:val="16"/>
                            <w:szCs w:val="16"/>
                            <w:vertAlign w:val="baseline"/>
                            <w:lang w:val="en-US" w:eastAsia="zh-CN" w:bidi="ar-SA"/>
                          </w:rPr>
                        </m:ctrlPr>
                      </m:e>
                    </m:rad>
                    <m:ctrlPr>
                      <w:rPr>
                        <w:rFonts w:hint="default" w:ascii="Cambria Math" w:hAnsi="Cambria Math" w:cs="Times New Roman"/>
                        <w:bCs w:val="0"/>
                        <w:i/>
                        <w:iCs w:val="0"/>
                        <w:color w:val="000000"/>
                        <w:kern w:val="2"/>
                        <w:sz w:val="16"/>
                        <w:szCs w:val="16"/>
                        <w:vertAlign w:val="baseline"/>
                        <w:lang w:val="en-US" w:eastAsia="zh-CN" w:bidi="ar-SA"/>
                      </w:rPr>
                    </m:ctrlPr>
                  </m:num>
                  <m:den>
                    <m:func>
                      <m:funcPr>
                        <m:ctrl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Cs w:val="0"/>
                            <w:i/>
                            <w:iCs w:val="0"/>
                            <w:color w:val="000000"/>
                            <w:kern w:val="2"/>
                            <w:sz w:val="16"/>
                            <w:szCs w:val="16"/>
                            <w:vertAlign w:val="baseline"/>
                            <w:lang w:val="en-US" w:eastAsia="zh-CN" w:bidi="ar-SA"/>
                          </w:rPr>
                        </m:ctrlPr>
                      </m:radPr>
                      <m:deg>
                        <m:ctrlPr>
                          <w:rPr>
                            <w:rFonts w:hint="default" w:ascii="Cambria Math" w:hAnsi="Cambria Math" w:cs="Times New Roman"/>
                            <w:bCs w:val="0"/>
                            <w:i/>
                            <w:iCs w:val="0"/>
                            <w:color w:val="000000"/>
                            <w:kern w:val="2"/>
                            <w:sz w:val="16"/>
                            <w:szCs w:val="16"/>
                            <w:vertAlign w:val="baseline"/>
                            <w:lang w:val="en-US" w:eastAsia="zh-CN" w:bidi="ar-SA"/>
                          </w:rPr>
                        </m:ctrlPr>
                      </m:deg>
                      <m:e>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φ</m:t>
                            </m:r>
                            <m:ctrlPr>
                              <w:rPr>
                                <w:rFonts w:hint="default" w:ascii="Cambria Math" w:hAnsi="Cambria Math" w:cs="Times New Roman"/>
                                <w:bCs w:val="0"/>
                                <w:i/>
                                <w:iCs w:val="0"/>
                                <w:color w:val="000000"/>
                                <w:kern w:val="2"/>
                                <w:sz w:val="16"/>
                                <w:szCs w:val="16"/>
                                <w:vertAlign w:val="baseline"/>
                                <w:lang w:val="en-US" w:eastAsia="zh-CN" w:bidi="ar-SA"/>
                              </w:rPr>
                            </m:ctrlPr>
                          </m:e>
                        </m:func>
                        <m:ctrlPr>
                          <w:rPr>
                            <w:rFonts w:hint="default" w:ascii="Cambria Math" w:hAnsi="Cambria Math" w:cs="Times New Roman"/>
                            <w:bCs w:val="0"/>
                            <w:i/>
                            <w:iCs w:val="0"/>
                            <w:color w:val="000000"/>
                            <w:kern w:val="2"/>
                            <w:sz w:val="16"/>
                            <w:szCs w:val="16"/>
                            <w:vertAlign w:val="baseline"/>
                            <w:lang w:val="en-US" w:eastAsia="zh-CN" w:bidi="ar-SA"/>
                          </w:rPr>
                        </m:ctrlPr>
                      </m:e>
                    </m:rad>
                    <m:ctrlPr>
                      <w:rPr>
                        <w:rFonts w:hint="default" w:ascii="Cambria Math" w:hAnsi="Cambria Math" w:cs="Times New Roman"/>
                        <w:bCs w:val="0"/>
                        <w:i/>
                        <w:iCs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098" w:type="dxa"/>
            <w:tcBorders>
              <w:top w:val="single" w:color="auto" w:sz="4" w:space="0"/>
              <w:bottom w:val="single" w:color="auto" w:sz="12" w:space="0"/>
              <w:right w:val="single" w:color="auto" w:sz="4" w:space="0"/>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r>
                    <m:rPr>
                      <m:sty m:val="p"/>
                    </m:rPr>
                    <w:rPr>
                      <w:rFonts w:hint="default" w:ascii="Cambria Math" w:hAnsi="Cambria Math" w:cs="Times New Roman"/>
                      <w:color w:val="000000"/>
                      <w:kern w:val="2"/>
                      <w:sz w:val="14"/>
                      <w:szCs w:val="14"/>
                      <w:vertAlign w:val="baseline"/>
                      <w:lang w:val="en-US" w:eastAsia="zh-CN" w:bidi="ar-SA"/>
                    </w:rPr>
                    <m:t>'</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求出f点</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Cs/>
                <w:i w:val="0"/>
                <w:iCs/>
                <w:color w:val="000000"/>
                <w:kern w:val="2"/>
                <w:sz w:val="14"/>
                <w:szCs w:val="14"/>
                <w:vertAlign w:val="baseline"/>
                <w:lang w:val="en-US" w:eastAsia="zh-CN" w:bidi="ar-SA"/>
              </w:rPr>
            </w:pPr>
            <m:oMathPara>
              <m:oMath>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H</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eastAsia" w:ascii="Cambria Math" w:hAnsi="Cambria Math" w:cs="Times New Roman"/>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r>
                  <m:rPr>
                    <m:sty m:val="p"/>
                  </m:rPr>
                  <w:rPr>
                    <w:rFonts w:hint="default" w:ascii="Cambria Math" w:hAnsi="Cambria Math" w:cs="Times New Roman"/>
                    <w:color w:val="000000"/>
                    <w:kern w:val="2"/>
                    <w:sz w:val="14"/>
                    <w:szCs w:val="14"/>
                    <w:vertAlign w:val="baseline"/>
                    <w:lang w:val="en-US" w:eastAsia="zh-CN" w:bidi="ar-SA"/>
                  </w:rPr>
                  <m:t>)+</m:t>
                </m:r>
                <m:f>
                  <m:fPr>
                    <m:ctrlPr>
                      <w:rPr>
                        <w:rFonts w:hint="default" w:ascii="Cambria Math" w:hAnsi="Cambria Math" w:cs="Times New Roman"/>
                        <w:bCs/>
                        <w:i w:val="0"/>
                        <w:iCs/>
                        <w:color w:val="000000"/>
                        <w:kern w:val="2"/>
                        <w:sz w:val="14"/>
                        <w:szCs w:val="14"/>
                        <w:vertAlign w:val="baseline"/>
                        <w:lang w:val="en-US" w:eastAsia="zh-CN" w:bidi="ar-SA"/>
                      </w:rPr>
                    </m:ctrlPr>
                  </m:fPr>
                  <m:num>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w:rPr>
                            <w:rFonts w:hint="default" w:ascii="Cambria Math" w:hAnsi="Cambria Math" w:cs="Times New Roman"/>
                            <w:bCs/>
                            <w:i w:val="0"/>
                            <w:iCs/>
                            <w:color w:val="000000"/>
                            <w:kern w:val="2"/>
                            <w:sz w:val="14"/>
                            <w:szCs w:val="14"/>
                            <w:vertAlign w:val="baseline"/>
                            <w:lang w:val="en-US" w:eastAsia="zh-CN" w:bidi="ar-SA"/>
                          </w:rPr>
                        </m:ctrlPr>
                      </m:sub>
                    </m:sSub>
                    <m:ctrlPr>
                      <w:rPr>
                        <w:rFonts w:hint="default"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default"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c>
          <w:tcPr>
            <w:tcW w:w="1733"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m:sty m:val="p"/>
                    </m:rPr>
                    <w:rPr>
                      <w:rFonts w:hint="default" w:ascii="Cambria Math" w:hAnsi="Cambria Math" w:cs="Times New Roman" w:eastAsiaTheme="minorEastAsia"/>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r>
                  <m:rPr>
                    <m:sty m:val="p"/>
                  </m:rPr>
                  <w:rPr>
                    <w:rFonts w:hint="default" w:ascii="Cambria Math" w:hAnsi="Cambria Math" w:cs="Times New Roman" w:eastAsiaTheme="minorEastAsia"/>
                    <w:color w:val="000000"/>
                    <w:kern w:val="2"/>
                    <w:sz w:val="14"/>
                    <w:szCs w:val="14"/>
                    <w:vertAlign w:val="baseline"/>
                    <w:lang w:val="en-US" w:eastAsia="zh-CN" w:bidi="ar-SA"/>
                  </w:rPr>
                  <m:t>z=H</m:t>
                </m:r>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d</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(z−</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oMath>
            </m:oMathPara>
          </w:p>
        </w:tc>
        <w:tc>
          <w:tcPr>
            <w:tcW w:w="3249"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w:rPr>
                      <w:rFonts w:hint="default" w:ascii="Cambria Math" w:hAnsi="Cambria Math" w:cs="Times New Roman"/>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i w:val="0"/>
                <w:color w:val="000000"/>
                <w:kern w:val="2"/>
                <w:sz w:val="14"/>
                <w:szCs w:val="14"/>
                <w:vertAlign w:val="baseline"/>
                <w:lang w:val="en-US" w:eastAsia="zh-CN" w:bidi="ar-SA"/>
              </w:rPr>
            </w:pP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w:rPr>
                <w:rFonts w:hint="default" w:hAnsi="Cambria Math" w:cs="Times New Roman" w:eastAsiaTheme="minorEastAsia"/>
                <w:b w:val="0"/>
                <w:i w:val="0"/>
                <w:color w:val="000000"/>
                <w:kern w:val="2"/>
                <w:sz w:val="14"/>
                <w:szCs w:val="14"/>
                <w:vertAlign w:val="baseline"/>
                <w:lang w:val="en-US" w:eastAsia="zh-CN" w:bidi="ar-SA"/>
              </w:rPr>
              <w:t>求出</w:t>
            </w:r>
            <w:r>
              <w:rPr>
                <w:rFonts w:hint="eastAsia" w:hAnsi="Cambria Math" w:cs="Times New Roman"/>
                <w:b w:val="0"/>
                <w:i w:val="0"/>
                <w:color w:val="000000"/>
                <w:kern w:val="2"/>
                <w:sz w:val="14"/>
                <w:szCs w:val="14"/>
                <w:vertAlign w:val="baseline"/>
                <w:lang w:val="en-US" w:eastAsia="zh-CN" w:bidi="ar-SA"/>
              </w:rPr>
              <w:t>h</w:t>
            </w:r>
            <w:r>
              <w:rPr>
                <w:rFonts w:hint="default" w:hAnsi="Cambria Math" w:cs="Times New Roman" w:eastAsiaTheme="minorEastAsia"/>
                <w:b w:val="0"/>
                <w:i w:val="0"/>
                <w:color w:val="000000"/>
                <w:kern w:val="2"/>
                <w:sz w:val="14"/>
                <w:szCs w:val="14"/>
                <w:vertAlign w:val="baseline"/>
                <w:lang w:val="en-US" w:eastAsia="zh-CN" w:bidi="ar-SA"/>
              </w:rPr>
              <w:t>点</w:t>
            </w: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w:rPr>
                <w:rFonts w:hint="default" w:hAnsi="Cambria Math" w:cs="Times New Roman" w:eastAsiaTheme="minorEastAsia"/>
                <w:b w:val="0"/>
                <w:i w:val="0"/>
                <w:color w:val="000000"/>
                <w:kern w:val="2"/>
                <w:sz w:val="14"/>
                <w:szCs w:val="14"/>
                <w:vertAlign w:val="baseline"/>
                <w:lang w:val="en-US" w:eastAsia="zh-CN" w:bidi="ar-SA"/>
              </w:rPr>
              <w:t>、</w:t>
            </w: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 w:val="0"/>
                      <w:i w:val="0"/>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eastAsia" w:ascii="Cambria Math" w:hAnsi="Cambria Math" w:cs="Times New Roman"/>
                      <w:b w:val="0"/>
                      <w:i w:val="0"/>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1</m:t>
                  </m:r>
                  <m:ctrlPr>
                    <w:rPr>
                      <w:rFonts w:hint="eastAsia"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=BB'</m:t>
              </m:r>
              <m:r>
                <m:rPr>
                  <m:sty m:val="p"/>
                </m:rPr>
                <w:rPr>
                  <w:rFonts w:ascii="Cambria Math" w:hAnsi="Cambria Math" w:cs="Times New Roman"/>
                  <w:color w:val="000000"/>
                  <w:kern w:val="2"/>
                  <w:sz w:val="14"/>
                  <w:szCs w:val="14"/>
                  <w:vertAlign w:val="baseline"/>
                  <w:lang w:val="en-US" w:bidi="ar-SA"/>
                </w:rPr>
                <m:t>∙</m:t>
              </m:r>
              <m:func>
                <m:funcPr>
                  <m:ctrlPr>
                    <w:rPr>
                      <w:rFonts w:hint="default" w:ascii="Cambria Math" w:hAnsi="Cambria Math" w:cs="Times New Roman"/>
                      <w:b w:val="0"/>
                      <w:color w:val="000000"/>
                      <w:kern w:val="2"/>
                      <w:sz w:val="14"/>
                      <w:szCs w:val="14"/>
                      <w:vertAlign w:val="baseline"/>
                      <w:lang w:val="en-US" w:eastAsia="zh-CN" w:bidi="ar-SA"/>
                    </w:rPr>
                  </m:ctrlPr>
                </m:funcPr>
                <m:fName>
                  <m:r>
                    <m:rPr>
                      <m:sty m:val="p"/>
                    </m:rPr>
                    <w:rPr>
                      <w:rFonts w:ascii="Cambria Math" w:hAnsi="Cambria Math" w:cs="Times New Roman"/>
                      <w:color w:val="000000"/>
                      <w:kern w:val="2"/>
                      <w:sz w:val="14"/>
                      <w:szCs w:val="14"/>
                      <w:vertAlign w:val="baseline"/>
                      <w:lang w:val="en-US" w:bidi="ar-SA"/>
                    </w:rPr>
                    <m:t>tan</m:t>
                  </m:r>
                  <m:ctrlPr>
                    <w:rPr>
                      <w:rFonts w:hint="default" w:ascii="Cambria Math" w:hAnsi="Cambria Math" w:cs="Times New Roman"/>
                      <w:b w:val="0"/>
                      <w:color w:val="000000"/>
                      <w:kern w:val="2"/>
                      <w:sz w:val="14"/>
                      <w:szCs w:val="14"/>
                      <w:vertAlign w:val="baseline"/>
                      <w:lang w:val="en-US" w:eastAsia="zh-CN" w:bidi="ar-SA"/>
                    </w:rPr>
                  </m:ctrlPr>
                </m:fName>
                <m:e>
                  <m:r>
                    <m:rPr/>
                    <w:rPr>
                      <w:rFonts w:hint="default" w:ascii="Cambria Math" w:hAnsi="Cambria Math" w:cs="Times New Roman"/>
                      <w:color w:val="000000"/>
                      <w:kern w:val="2"/>
                      <w:sz w:val="14"/>
                      <w:szCs w:val="14"/>
                      <w:vertAlign w:val="baseline"/>
                      <w:lang w:val="en-US" w:bidi="ar-SA"/>
                    </w:rPr>
                    <m:t>β</m:t>
                  </m:r>
                  <m:ctrlPr>
                    <w:rPr>
                      <w:rFonts w:hint="default" w:ascii="Cambria Math" w:hAnsi="Cambria Math" w:cs="Times New Roman"/>
                      <w:b w:val="0"/>
                      <w:i w:val="0"/>
                      <w:color w:val="000000"/>
                      <w:kern w:val="2"/>
                      <w:sz w:val="14"/>
                      <w:szCs w:val="14"/>
                      <w:vertAlign w:val="baseline"/>
                      <w:lang w:val="en-US" w:eastAsia="zh-CN" w:bidi="ar-SA"/>
                    </w:rPr>
                  </m:ctrlPr>
                </m:e>
              </m:func>
            </m:oMath>
            <w:r>
              <w:rPr>
                <w:rFonts w:hint="eastAsia" w:hAnsi="Cambria Math" w:cs="Times New Roman"/>
                <w:b w:val="0"/>
                <w:i w:val="0"/>
                <w:color w:val="000000"/>
                <w:kern w:val="2"/>
                <w:sz w:val="14"/>
                <w:szCs w:val="14"/>
                <w:vertAlign w:val="baseline"/>
                <w:lang w:val="en-US" w:eastAsia="zh-CN" w:bidi="ar-SA"/>
              </w:rPr>
              <w:t>；</w:t>
            </w:r>
            <m:oMath>
              <m:r>
                <m:rPr>
                  <m:sty m:val="p"/>
                </m:rPr>
                <w:rPr>
                  <w:rFonts w:hint="default" w:ascii="Cambria Math" w:hAnsi="Cambria Math" w:cs="Times New Roman" w:eastAsiaTheme="minorEastAsia"/>
                  <w:color w:val="000000"/>
                  <w:kern w:val="2"/>
                  <w:sz w:val="14"/>
                  <w:szCs w:val="14"/>
                  <w:vertAlign w:val="baseline"/>
                  <w:lang w:val="en-US" w:eastAsia="zh-CN" w:bidi="ar-SA"/>
                </w:rPr>
                <m:t>z=</m:t>
              </m:r>
              <m:r>
                <m:rPr/>
                <w:rPr>
                  <w:rFonts w:hint="default" w:ascii="Cambria Math" w:hAnsi="Cambria Math" w:cs="Times New Roman" w:eastAsiaTheme="minorEastAsia"/>
                  <w:color w:val="000000"/>
                  <w:kern w:val="2"/>
                  <w:sz w:val="14"/>
                  <w:szCs w:val="14"/>
                  <w:vertAlign w:val="baseline"/>
                  <w:lang w:val="en-US" w:eastAsia="zh-CN" w:bidi="ar-SA"/>
                </w:rPr>
                <m:t>H</m:t>
              </m:r>
              <m:r>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default" w:ascii="Cambria Math" w:hAnsi="Cambria Math" w:cs="Times New Roman"/>
                      <w:b w:val="0"/>
                      <w:i/>
                      <w:iCs/>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w:rPr>
                      <w:rFonts w:hint="default" w:ascii="Cambria Math" w:hAnsi="Cambria Math" w:cs="Times New Roman"/>
                      <w:b w:val="0"/>
                      <w:i/>
                      <w:iCs/>
                      <w:color w:val="000000"/>
                      <w:kern w:val="2"/>
                      <w:sz w:val="14"/>
                      <w:szCs w:val="14"/>
                      <w:vertAlign w:val="baseline"/>
                      <w:lang w:val="en-US" w:eastAsia="zh-CN"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i/>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default" w:ascii="Cambria Math" w:hAnsi="Cambria Math" w:cs="Times New Roman"/>
                        <w:i/>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w:rPr>
                        <w:rFonts w:hint="default" w:ascii="Cambria Math" w:hAnsi="Cambria Math" w:cs="Times New Roman"/>
                        <w:i/>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r>
                  <m:rPr>
                    <m:sty m:val="p"/>
                  </m:rPr>
                  <w:rPr>
                    <w:rFonts w:hint="default" w:ascii="Cambria Math" w:hAnsi="Cambria Math" w:cs="Times New Roman"/>
                    <w:color w:val="000000"/>
                    <w:kern w:val="2"/>
                    <w:sz w:val="14"/>
                    <w:szCs w:val="14"/>
                    <w:vertAlign w:val="baseline"/>
                    <w:lang w:val="en-US" w:eastAsia="zh-CN" w:bidi="ar-SA"/>
                  </w:rPr>
                  <m:t>+</m:t>
                </m:r>
                <m:f>
                  <m:fPr>
                    <m:ctrlPr>
                      <w:rPr>
                        <w:rFonts w:hint="default" w:ascii="Cambria Math" w:hAnsi="Cambria Math" w:cs="Times New Roman"/>
                        <w:b w:val="0"/>
                        <w:i w:val="0"/>
                        <w:color w:val="000000"/>
                        <w:kern w:val="2"/>
                        <w:sz w:val="14"/>
                        <w:szCs w:val="14"/>
                        <w:vertAlign w:val="baseline"/>
                        <w:lang w:val="en-US" w:eastAsia="zh-CN" w:bidi="ar-SA"/>
                      </w:rPr>
                    </m:ctrlPr>
                  </m:fPr>
                  <m:num>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w:rPr>
                            <w:rFonts w:hint="default" w:ascii="Cambria Math" w:hAnsi="Cambria Math" w:cs="Times New Roman"/>
                            <w:b w:val="0"/>
                            <w:i w:val="0"/>
                            <w:color w:val="000000"/>
                            <w:kern w:val="2"/>
                            <w:sz w:val="14"/>
                            <w:szCs w:val="14"/>
                            <w:vertAlign w:val="baseline"/>
                            <w:lang w:val="en-US" w:eastAsia="zh-CN" w:bidi="ar-SA"/>
                          </w:rPr>
                        </m:ctrlPr>
                      </m:sub>
                    </m:sSub>
                    <m:ctrlPr>
                      <w:rPr>
                        <w:rFonts w:hint="default" w:ascii="Cambria Math" w:hAnsi="Cambria Math" w:cs="Times New Roman"/>
                        <w:b w:val="0"/>
                        <w:i w:val="0"/>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default" w:ascii="Cambria Math" w:hAnsi="Cambria Math" w:cs="Times New Roman"/>
                        <w:b w:val="0"/>
                        <w:i w:val="0"/>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桩端进入持力层的深度</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普通桩</w:t>
            </w:r>
          </w:p>
        </w:tc>
        <w:tc>
          <w:tcPr>
            <w:tcW w:w="743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对于黏性土、粉土不宜小于2d，砂土不宜小于1.5d，碎石类土不宜小于1d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嵌岩桩</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嵌入平整、完整的坚硬岩和较硬岩的深度不宜小于0.2d，且不应小于0.2m</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嵌入倾斜的完整和较完整岩的全断面深度不宜小于0.4d 且不小于0.5m，倾斜度大于30%的中风化岩，宜根据倾斜度及岩石完整性适当加大嵌岩深度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桩端下存在</w:t>
            </w:r>
            <w:r>
              <w:rPr>
                <w:rFonts w:hint="eastAsia" w:ascii="Times New Roman" w:hAnsi="Times New Roman" w:cs="Times New Roman"/>
                <w:b/>
                <w:bCs/>
                <w:i w:val="0"/>
                <w:iCs/>
                <w:color w:val="000000"/>
                <w:sz w:val="16"/>
                <w:szCs w:val="16"/>
                <w:vertAlign w:val="baseline"/>
                <w:lang w:val="en-US" w:eastAsia="zh-CN"/>
              </w:rPr>
              <w:br w:type="textWrapping"/>
            </w:r>
            <w:r>
              <w:rPr>
                <w:rFonts w:hint="eastAsia" w:ascii="Times New Roman" w:hAnsi="Times New Roman" w:cs="Times New Roman"/>
                <w:b/>
                <w:bCs/>
                <w:i w:val="0"/>
                <w:iCs/>
                <w:color w:val="000000"/>
                <w:sz w:val="16"/>
                <w:szCs w:val="16"/>
                <w:vertAlign w:val="baseline"/>
                <w:lang w:val="en-US" w:eastAsia="zh-CN"/>
              </w:rPr>
              <w:t>软弱下卧层</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桩端以下硬持力层厚度不宜小于3d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湿陷性黄土地基桩</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基桩应穿透湿陷性黄土层，桩端应支承在压缩性低的黏性土、粉土、中密和密实砂土以及碎石类</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层中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季节性冻土、</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膨胀</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b/>
                <w:bCs/>
                <w:i w:val="0"/>
                <w:iCs/>
                <w:color w:val="000000"/>
                <w:sz w:val="16"/>
                <w:szCs w:val="16"/>
                <w:vertAlign w:val="baseline"/>
                <w:lang w:val="en-US" w:eastAsia="zh-CN"/>
              </w:rPr>
              <w:t>地基桩基</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桩端进入冻深线或膨胀土的大气影响急剧层以下的深度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应满足抗拔稳定性</w:t>
            </w:r>
            <w:r>
              <w:rPr>
                <w:rFonts w:hint="eastAsia" w:ascii="Times New Roman" w:hAnsi="Times New Roman" w:cs="Times New Roman"/>
                <w:b w:val="0"/>
                <w:bCs w:val="0"/>
                <w:i w:val="0"/>
                <w:iCs/>
                <w:color w:val="000000"/>
                <w:sz w:val="16"/>
                <w:szCs w:val="16"/>
                <w:vertAlign w:val="baseline"/>
                <w:lang w:val="en-US" w:eastAsia="zh-CN"/>
              </w:rPr>
              <w:t>验算</w:t>
            </w:r>
            <w:r>
              <w:rPr>
                <w:rFonts w:hint="default" w:ascii="Times New Roman" w:hAnsi="Times New Roman" w:cs="Times New Roman" w:eastAsiaTheme="minorEastAsia"/>
                <w:b w:val="0"/>
                <w:bCs w:val="0"/>
                <w:i w:val="0"/>
                <w:iCs/>
                <w:color w:val="000000"/>
                <w:sz w:val="16"/>
                <w:szCs w:val="16"/>
                <w:vertAlign w:val="baseline"/>
                <w:lang w:val="en-US" w:eastAsia="zh-CN"/>
              </w:rPr>
              <w:t>要求，且不得小于4倍桩径及1倍扩大端直径，最小深度应大于1</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抗震设防区</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液化土桩基</w:t>
            </w:r>
          </w:p>
        </w:tc>
        <w:tc>
          <w:tcPr>
            <w:tcW w:w="7431"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桩进入液化土层以下稳定土层的长度(不包括桩尖部分)应按计算确定</w:t>
            </w:r>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eastAsiaTheme="minorEastAsia"/>
                <w:b w:val="0"/>
                <w:bCs w:val="0"/>
                <w:i w:val="0"/>
                <w:iCs/>
                <w:color w:val="000000"/>
                <w:sz w:val="16"/>
                <w:szCs w:val="16"/>
                <w:vertAlign w:val="baseline"/>
                <w:lang w:val="en-US" w:eastAsia="zh-CN"/>
              </w:rPr>
              <w:t>(1)</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对于碎石土，砾、粗、中砂，密实粉土，坚硬黏性土尚不应小于(2~3)d</w:t>
            </w:r>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对其他非岩石土尚不宜小于(4~5)d</w:t>
            </w:r>
          </w:p>
        </w:tc>
      </w:tr>
    </w:tbl>
    <w:p>
      <w:pPr>
        <w:pStyle w:val="2"/>
        <w:ind w:left="0" w:leftChars="0" w:firstLine="0" w:firstLineChars="0"/>
        <w:jc w:val="both"/>
        <w:rPr>
          <w:rFonts w:hint="eastAsia" w:eastAsia="宋体"/>
          <w:lang w:val="en-US" w:eastAsia="zh-CN"/>
        </w:rPr>
      </w:pPr>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AMGDT"/>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D328"/>
    <w:multiLevelType w:val="singleLevel"/>
    <w:tmpl w:val="A02FD328"/>
    <w:lvl w:ilvl="0" w:tentative="0">
      <w:start w:val="1"/>
      <w:numFmt w:val="decimal"/>
      <w:suff w:val="nothing"/>
      <w:lvlText w:val="%1、"/>
      <w:lvlJc w:val="left"/>
    </w:lvl>
  </w:abstractNum>
  <w:abstractNum w:abstractNumId="1">
    <w:nsid w:val="AFA99FD6"/>
    <w:multiLevelType w:val="singleLevel"/>
    <w:tmpl w:val="AFA99FD6"/>
    <w:lvl w:ilvl="0" w:tentative="0">
      <w:start w:val="1"/>
      <w:numFmt w:val="decimal"/>
      <w:suff w:val="nothing"/>
      <w:lvlText w:val="（%1）"/>
      <w:lvlJc w:val="left"/>
    </w:lvl>
  </w:abstractNum>
  <w:abstractNum w:abstractNumId="2">
    <w:nsid w:val="EF77ACBD"/>
    <w:multiLevelType w:val="singleLevel"/>
    <w:tmpl w:val="EF77ACBD"/>
    <w:lvl w:ilvl="0" w:tentative="0">
      <w:start w:val="1"/>
      <w:numFmt w:val="decimal"/>
      <w:suff w:val="nothing"/>
      <w:lvlText w:val="（%1）"/>
      <w:lvlJc w:val="left"/>
    </w:lvl>
  </w:abstractNum>
  <w:abstractNum w:abstractNumId="3">
    <w:nsid w:val="F5BA1684"/>
    <w:multiLevelType w:val="singleLevel"/>
    <w:tmpl w:val="F5BA1684"/>
    <w:lvl w:ilvl="0" w:tentative="0">
      <w:start w:val="1"/>
      <w:numFmt w:val="decimal"/>
      <w:suff w:val="space"/>
      <w:lvlText w:val="(%1)"/>
      <w:lvlJc w:val="left"/>
    </w:lvl>
  </w:abstractNum>
  <w:abstractNum w:abstractNumId="4">
    <w:nsid w:val="5257AF90"/>
    <w:multiLevelType w:val="singleLevel"/>
    <w:tmpl w:val="5257AF90"/>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FhNjIwODk5NDQ2OGFmNzc0YWI1OTZiMDhjMTRjYzQifQ=="/>
  </w:docVars>
  <w:rsids>
    <w:rsidRoot w:val="FC8CEA1E"/>
    <w:rsid w:val="001C19D9"/>
    <w:rsid w:val="00351550"/>
    <w:rsid w:val="005F481F"/>
    <w:rsid w:val="00B2494E"/>
    <w:rsid w:val="00C30909"/>
    <w:rsid w:val="00C44682"/>
    <w:rsid w:val="00D64AE1"/>
    <w:rsid w:val="00DC574A"/>
    <w:rsid w:val="01423F24"/>
    <w:rsid w:val="01475100"/>
    <w:rsid w:val="016F4280"/>
    <w:rsid w:val="01927F47"/>
    <w:rsid w:val="01B45261"/>
    <w:rsid w:val="01C957E8"/>
    <w:rsid w:val="01D77007"/>
    <w:rsid w:val="01E90D8C"/>
    <w:rsid w:val="024818A3"/>
    <w:rsid w:val="02660FA6"/>
    <w:rsid w:val="026B6484"/>
    <w:rsid w:val="0284056C"/>
    <w:rsid w:val="02A336D1"/>
    <w:rsid w:val="02B6527D"/>
    <w:rsid w:val="02B7449E"/>
    <w:rsid w:val="02D1616E"/>
    <w:rsid w:val="02EA7E81"/>
    <w:rsid w:val="02F93009"/>
    <w:rsid w:val="031622F4"/>
    <w:rsid w:val="031C07A5"/>
    <w:rsid w:val="03521C05"/>
    <w:rsid w:val="035F67D4"/>
    <w:rsid w:val="037D0279"/>
    <w:rsid w:val="03830AEE"/>
    <w:rsid w:val="03880939"/>
    <w:rsid w:val="038C592B"/>
    <w:rsid w:val="0398771B"/>
    <w:rsid w:val="03B3587F"/>
    <w:rsid w:val="03DD6FCF"/>
    <w:rsid w:val="04212517"/>
    <w:rsid w:val="043718C9"/>
    <w:rsid w:val="043F299D"/>
    <w:rsid w:val="044C0C16"/>
    <w:rsid w:val="045F4DF2"/>
    <w:rsid w:val="049F185D"/>
    <w:rsid w:val="04D57E9A"/>
    <w:rsid w:val="04E83035"/>
    <w:rsid w:val="04F7690C"/>
    <w:rsid w:val="05210AE8"/>
    <w:rsid w:val="052A52EE"/>
    <w:rsid w:val="052F3277"/>
    <w:rsid w:val="0532605E"/>
    <w:rsid w:val="05341DD6"/>
    <w:rsid w:val="05666320"/>
    <w:rsid w:val="05774B58"/>
    <w:rsid w:val="0580501B"/>
    <w:rsid w:val="05946C94"/>
    <w:rsid w:val="059A3C03"/>
    <w:rsid w:val="05BE4112"/>
    <w:rsid w:val="05C16CE8"/>
    <w:rsid w:val="05D93716"/>
    <w:rsid w:val="05E769C9"/>
    <w:rsid w:val="05ED63B9"/>
    <w:rsid w:val="0605043B"/>
    <w:rsid w:val="06326C9A"/>
    <w:rsid w:val="06452248"/>
    <w:rsid w:val="067F6A97"/>
    <w:rsid w:val="068154EF"/>
    <w:rsid w:val="06E87A91"/>
    <w:rsid w:val="06FA4845"/>
    <w:rsid w:val="07067851"/>
    <w:rsid w:val="07117EF5"/>
    <w:rsid w:val="071A3E14"/>
    <w:rsid w:val="073541FB"/>
    <w:rsid w:val="07395EC4"/>
    <w:rsid w:val="073F2CB4"/>
    <w:rsid w:val="07434552"/>
    <w:rsid w:val="075527EB"/>
    <w:rsid w:val="075D39A1"/>
    <w:rsid w:val="07724E37"/>
    <w:rsid w:val="07AA35A6"/>
    <w:rsid w:val="07B611C8"/>
    <w:rsid w:val="07B643F6"/>
    <w:rsid w:val="07C46527"/>
    <w:rsid w:val="07D653C6"/>
    <w:rsid w:val="082F566C"/>
    <w:rsid w:val="08421F6D"/>
    <w:rsid w:val="085041EF"/>
    <w:rsid w:val="085B1830"/>
    <w:rsid w:val="08670714"/>
    <w:rsid w:val="086F1377"/>
    <w:rsid w:val="087C32B0"/>
    <w:rsid w:val="08844B2A"/>
    <w:rsid w:val="08871EAD"/>
    <w:rsid w:val="08993492"/>
    <w:rsid w:val="08C75F19"/>
    <w:rsid w:val="08D37B58"/>
    <w:rsid w:val="08FF26FB"/>
    <w:rsid w:val="090A3B42"/>
    <w:rsid w:val="094E7CDE"/>
    <w:rsid w:val="097048D6"/>
    <w:rsid w:val="09867816"/>
    <w:rsid w:val="09B11A90"/>
    <w:rsid w:val="09C0632E"/>
    <w:rsid w:val="09C5316B"/>
    <w:rsid w:val="09DD1183"/>
    <w:rsid w:val="09EE3807"/>
    <w:rsid w:val="0A0113C8"/>
    <w:rsid w:val="0A0356A9"/>
    <w:rsid w:val="0A2614E7"/>
    <w:rsid w:val="0A3A3CD4"/>
    <w:rsid w:val="0A3E3EAB"/>
    <w:rsid w:val="0A442DAF"/>
    <w:rsid w:val="0A5E3332"/>
    <w:rsid w:val="0A821CAD"/>
    <w:rsid w:val="0AB75AB6"/>
    <w:rsid w:val="0AE41BA8"/>
    <w:rsid w:val="0AE92377"/>
    <w:rsid w:val="0AF3003D"/>
    <w:rsid w:val="0AFA538C"/>
    <w:rsid w:val="0B036509"/>
    <w:rsid w:val="0B0875FB"/>
    <w:rsid w:val="0B0F6D53"/>
    <w:rsid w:val="0B4C5D51"/>
    <w:rsid w:val="0B550CF8"/>
    <w:rsid w:val="0B6A4FC7"/>
    <w:rsid w:val="0B766495"/>
    <w:rsid w:val="0BB744C9"/>
    <w:rsid w:val="0BC8771C"/>
    <w:rsid w:val="0BD20083"/>
    <w:rsid w:val="0BD845F9"/>
    <w:rsid w:val="0BEE5EB8"/>
    <w:rsid w:val="0BF57DE5"/>
    <w:rsid w:val="0C0F70F9"/>
    <w:rsid w:val="0C290057"/>
    <w:rsid w:val="0C31702E"/>
    <w:rsid w:val="0C49044A"/>
    <w:rsid w:val="0C7C4062"/>
    <w:rsid w:val="0C955807"/>
    <w:rsid w:val="0CB61D91"/>
    <w:rsid w:val="0CC46135"/>
    <w:rsid w:val="0CC56FFE"/>
    <w:rsid w:val="0CCA4020"/>
    <w:rsid w:val="0CE9794A"/>
    <w:rsid w:val="0D0F4ED6"/>
    <w:rsid w:val="0D2D0943"/>
    <w:rsid w:val="0D464369"/>
    <w:rsid w:val="0D4A6C5D"/>
    <w:rsid w:val="0D5374B9"/>
    <w:rsid w:val="0D872984"/>
    <w:rsid w:val="0D9149EC"/>
    <w:rsid w:val="0DB409F5"/>
    <w:rsid w:val="0DC451BB"/>
    <w:rsid w:val="0DC91529"/>
    <w:rsid w:val="0DD22BD4"/>
    <w:rsid w:val="0DE22CAF"/>
    <w:rsid w:val="0DE72F0D"/>
    <w:rsid w:val="0DEE65AC"/>
    <w:rsid w:val="0E184239"/>
    <w:rsid w:val="0E2A68D3"/>
    <w:rsid w:val="0E5F19FC"/>
    <w:rsid w:val="0E7F20D7"/>
    <w:rsid w:val="0E8042DE"/>
    <w:rsid w:val="0E91006F"/>
    <w:rsid w:val="0E964B30"/>
    <w:rsid w:val="0E9658AF"/>
    <w:rsid w:val="0E9A666E"/>
    <w:rsid w:val="0EB13CB5"/>
    <w:rsid w:val="0EDD7BE9"/>
    <w:rsid w:val="0EE52393"/>
    <w:rsid w:val="0EF25094"/>
    <w:rsid w:val="0F3B2377"/>
    <w:rsid w:val="0F460EAB"/>
    <w:rsid w:val="0F864220"/>
    <w:rsid w:val="0F99246E"/>
    <w:rsid w:val="0FB767C8"/>
    <w:rsid w:val="0FE1742F"/>
    <w:rsid w:val="102D625B"/>
    <w:rsid w:val="103F5AD3"/>
    <w:rsid w:val="1046408E"/>
    <w:rsid w:val="1058438B"/>
    <w:rsid w:val="10993C16"/>
    <w:rsid w:val="10B9581E"/>
    <w:rsid w:val="10BF10E1"/>
    <w:rsid w:val="10D34282"/>
    <w:rsid w:val="10F91173"/>
    <w:rsid w:val="110B3364"/>
    <w:rsid w:val="11184871"/>
    <w:rsid w:val="11832B5F"/>
    <w:rsid w:val="118E72B2"/>
    <w:rsid w:val="119875D6"/>
    <w:rsid w:val="11CF603B"/>
    <w:rsid w:val="11D0797A"/>
    <w:rsid w:val="11FD116C"/>
    <w:rsid w:val="1216103B"/>
    <w:rsid w:val="123F24AA"/>
    <w:rsid w:val="124318AA"/>
    <w:rsid w:val="12647A72"/>
    <w:rsid w:val="128B3E23"/>
    <w:rsid w:val="129465AA"/>
    <w:rsid w:val="12AE7D5C"/>
    <w:rsid w:val="12E81B6E"/>
    <w:rsid w:val="12EC2E1B"/>
    <w:rsid w:val="12F31403"/>
    <w:rsid w:val="13292191"/>
    <w:rsid w:val="134F0723"/>
    <w:rsid w:val="136B6FEA"/>
    <w:rsid w:val="13950D30"/>
    <w:rsid w:val="13A62161"/>
    <w:rsid w:val="13BD568C"/>
    <w:rsid w:val="13E736EA"/>
    <w:rsid w:val="13ED5B0B"/>
    <w:rsid w:val="13F01E62"/>
    <w:rsid w:val="13FF77F0"/>
    <w:rsid w:val="141765D4"/>
    <w:rsid w:val="141B298B"/>
    <w:rsid w:val="143307E8"/>
    <w:rsid w:val="14463D72"/>
    <w:rsid w:val="145C4EA5"/>
    <w:rsid w:val="148761D0"/>
    <w:rsid w:val="14A073E6"/>
    <w:rsid w:val="14A260CC"/>
    <w:rsid w:val="14B41DFA"/>
    <w:rsid w:val="14C2743C"/>
    <w:rsid w:val="14E173C4"/>
    <w:rsid w:val="14EC447B"/>
    <w:rsid w:val="15025AFB"/>
    <w:rsid w:val="150A4D1B"/>
    <w:rsid w:val="155B6961"/>
    <w:rsid w:val="157F6158"/>
    <w:rsid w:val="158B7F66"/>
    <w:rsid w:val="158D1367"/>
    <w:rsid w:val="15D05D4D"/>
    <w:rsid w:val="15F07F9B"/>
    <w:rsid w:val="16007AB2"/>
    <w:rsid w:val="16076D50"/>
    <w:rsid w:val="160953A9"/>
    <w:rsid w:val="160B7F78"/>
    <w:rsid w:val="162422C8"/>
    <w:rsid w:val="16370B4C"/>
    <w:rsid w:val="163A479E"/>
    <w:rsid w:val="164B155C"/>
    <w:rsid w:val="16C11714"/>
    <w:rsid w:val="16D17CA2"/>
    <w:rsid w:val="16DF75DF"/>
    <w:rsid w:val="16FC7537"/>
    <w:rsid w:val="1733471B"/>
    <w:rsid w:val="17427E0B"/>
    <w:rsid w:val="175B7696"/>
    <w:rsid w:val="177F1BE8"/>
    <w:rsid w:val="179901BE"/>
    <w:rsid w:val="17DA4CBB"/>
    <w:rsid w:val="18066FC0"/>
    <w:rsid w:val="1810362C"/>
    <w:rsid w:val="181141F9"/>
    <w:rsid w:val="18295FDD"/>
    <w:rsid w:val="184C3483"/>
    <w:rsid w:val="18550D13"/>
    <w:rsid w:val="188517E2"/>
    <w:rsid w:val="18912CBD"/>
    <w:rsid w:val="18972950"/>
    <w:rsid w:val="18CC76CE"/>
    <w:rsid w:val="19183BAB"/>
    <w:rsid w:val="19517B6C"/>
    <w:rsid w:val="195A1751"/>
    <w:rsid w:val="195C5947"/>
    <w:rsid w:val="19805192"/>
    <w:rsid w:val="19810F0A"/>
    <w:rsid w:val="198A6011"/>
    <w:rsid w:val="19B4308D"/>
    <w:rsid w:val="19B66E06"/>
    <w:rsid w:val="19BA13E5"/>
    <w:rsid w:val="19C935C2"/>
    <w:rsid w:val="19FB2A6A"/>
    <w:rsid w:val="1A134D3F"/>
    <w:rsid w:val="1A5B625D"/>
    <w:rsid w:val="1A6C00BF"/>
    <w:rsid w:val="1A7B1DFD"/>
    <w:rsid w:val="1A9C249F"/>
    <w:rsid w:val="1AA96331"/>
    <w:rsid w:val="1AB07808"/>
    <w:rsid w:val="1AB5464E"/>
    <w:rsid w:val="1ABA5C66"/>
    <w:rsid w:val="1AF35E37"/>
    <w:rsid w:val="1B06295C"/>
    <w:rsid w:val="1B0D4E3F"/>
    <w:rsid w:val="1B281E7E"/>
    <w:rsid w:val="1B2C7A13"/>
    <w:rsid w:val="1B4B60B2"/>
    <w:rsid w:val="1B7B1CF8"/>
    <w:rsid w:val="1B7B6C7B"/>
    <w:rsid w:val="1B8F5A19"/>
    <w:rsid w:val="1B913D93"/>
    <w:rsid w:val="1B9B5811"/>
    <w:rsid w:val="1BA1619A"/>
    <w:rsid w:val="1BC838EC"/>
    <w:rsid w:val="1BCB2149"/>
    <w:rsid w:val="1BD1291A"/>
    <w:rsid w:val="1BD57E7D"/>
    <w:rsid w:val="1C0A0066"/>
    <w:rsid w:val="1C164CB4"/>
    <w:rsid w:val="1C1D316C"/>
    <w:rsid w:val="1C502E22"/>
    <w:rsid w:val="1C626DD1"/>
    <w:rsid w:val="1C8B617A"/>
    <w:rsid w:val="1CA407DB"/>
    <w:rsid w:val="1CC929E6"/>
    <w:rsid w:val="1CD32082"/>
    <w:rsid w:val="1CDD29CE"/>
    <w:rsid w:val="1D0D2BB1"/>
    <w:rsid w:val="1D2A2C1A"/>
    <w:rsid w:val="1D3A2C59"/>
    <w:rsid w:val="1D444728"/>
    <w:rsid w:val="1D5826BE"/>
    <w:rsid w:val="1D752B7B"/>
    <w:rsid w:val="1DA579CF"/>
    <w:rsid w:val="1DAC78DB"/>
    <w:rsid w:val="1DBA2C3C"/>
    <w:rsid w:val="1DBC5BE3"/>
    <w:rsid w:val="1DDA6A02"/>
    <w:rsid w:val="1DE57CB9"/>
    <w:rsid w:val="1DEA4577"/>
    <w:rsid w:val="1DFA46D6"/>
    <w:rsid w:val="1E063629"/>
    <w:rsid w:val="1E0C661C"/>
    <w:rsid w:val="1E2210EC"/>
    <w:rsid w:val="1E390B15"/>
    <w:rsid w:val="1E546D62"/>
    <w:rsid w:val="1E594203"/>
    <w:rsid w:val="1E601A36"/>
    <w:rsid w:val="1E7329C6"/>
    <w:rsid w:val="1E7F3433"/>
    <w:rsid w:val="1E870283"/>
    <w:rsid w:val="1EB23704"/>
    <w:rsid w:val="1EB678A8"/>
    <w:rsid w:val="1EC03F36"/>
    <w:rsid w:val="1EC662ED"/>
    <w:rsid w:val="1ECD7650"/>
    <w:rsid w:val="1ECF381A"/>
    <w:rsid w:val="1EE461C3"/>
    <w:rsid w:val="1EE7D569"/>
    <w:rsid w:val="1EF07D0A"/>
    <w:rsid w:val="1F072AEE"/>
    <w:rsid w:val="1F2F296F"/>
    <w:rsid w:val="1F336966"/>
    <w:rsid w:val="1F422EEA"/>
    <w:rsid w:val="1F525822"/>
    <w:rsid w:val="1F7E22AD"/>
    <w:rsid w:val="1FAE057F"/>
    <w:rsid w:val="1FB9E0FD"/>
    <w:rsid w:val="1FD72A1E"/>
    <w:rsid w:val="1FEA5AE6"/>
    <w:rsid w:val="1FF23AA6"/>
    <w:rsid w:val="1FFD4E5C"/>
    <w:rsid w:val="203339D2"/>
    <w:rsid w:val="205E50C1"/>
    <w:rsid w:val="20672AAF"/>
    <w:rsid w:val="2073362B"/>
    <w:rsid w:val="20820530"/>
    <w:rsid w:val="20981EA2"/>
    <w:rsid w:val="20E21336"/>
    <w:rsid w:val="2154053E"/>
    <w:rsid w:val="219502AF"/>
    <w:rsid w:val="21975F67"/>
    <w:rsid w:val="219D2B8D"/>
    <w:rsid w:val="21AD4648"/>
    <w:rsid w:val="21B61B70"/>
    <w:rsid w:val="221C7D69"/>
    <w:rsid w:val="22280ABD"/>
    <w:rsid w:val="222C3388"/>
    <w:rsid w:val="22446209"/>
    <w:rsid w:val="22791318"/>
    <w:rsid w:val="227A3848"/>
    <w:rsid w:val="228F4698"/>
    <w:rsid w:val="229C4155"/>
    <w:rsid w:val="22B95A8F"/>
    <w:rsid w:val="22E94F81"/>
    <w:rsid w:val="230A1F70"/>
    <w:rsid w:val="23177CE3"/>
    <w:rsid w:val="2355143D"/>
    <w:rsid w:val="235B6BA2"/>
    <w:rsid w:val="23621DAC"/>
    <w:rsid w:val="23A94469"/>
    <w:rsid w:val="23BF7711"/>
    <w:rsid w:val="23F50442"/>
    <w:rsid w:val="23F5677C"/>
    <w:rsid w:val="240B443D"/>
    <w:rsid w:val="242511D6"/>
    <w:rsid w:val="24276259"/>
    <w:rsid w:val="242A28CA"/>
    <w:rsid w:val="243D497D"/>
    <w:rsid w:val="244749BE"/>
    <w:rsid w:val="247C629F"/>
    <w:rsid w:val="24950587"/>
    <w:rsid w:val="249B3D44"/>
    <w:rsid w:val="24A8491F"/>
    <w:rsid w:val="24E64AC5"/>
    <w:rsid w:val="24F45DA8"/>
    <w:rsid w:val="24FD0C21"/>
    <w:rsid w:val="2513335E"/>
    <w:rsid w:val="25396B3D"/>
    <w:rsid w:val="2558427C"/>
    <w:rsid w:val="255A71DF"/>
    <w:rsid w:val="2564005E"/>
    <w:rsid w:val="256C2A6E"/>
    <w:rsid w:val="25710F8D"/>
    <w:rsid w:val="25721F3D"/>
    <w:rsid w:val="257B6FD5"/>
    <w:rsid w:val="259676C3"/>
    <w:rsid w:val="25CD5B2C"/>
    <w:rsid w:val="25D24E3A"/>
    <w:rsid w:val="25DA094C"/>
    <w:rsid w:val="25DE0E1B"/>
    <w:rsid w:val="25E1520A"/>
    <w:rsid w:val="25E24311"/>
    <w:rsid w:val="25EB42DB"/>
    <w:rsid w:val="26032E28"/>
    <w:rsid w:val="260333D3"/>
    <w:rsid w:val="26280729"/>
    <w:rsid w:val="26341A2A"/>
    <w:rsid w:val="26577EF5"/>
    <w:rsid w:val="266863F9"/>
    <w:rsid w:val="269C7383"/>
    <w:rsid w:val="26F01855"/>
    <w:rsid w:val="27112449"/>
    <w:rsid w:val="27315D1D"/>
    <w:rsid w:val="27466BCE"/>
    <w:rsid w:val="274A5510"/>
    <w:rsid w:val="27966D90"/>
    <w:rsid w:val="27983FEE"/>
    <w:rsid w:val="27BE3AE6"/>
    <w:rsid w:val="27D33DC5"/>
    <w:rsid w:val="27EA3965"/>
    <w:rsid w:val="28000A1A"/>
    <w:rsid w:val="281D44F4"/>
    <w:rsid w:val="282E424F"/>
    <w:rsid w:val="28977C4A"/>
    <w:rsid w:val="2899470B"/>
    <w:rsid w:val="28A72EA9"/>
    <w:rsid w:val="28B704A4"/>
    <w:rsid w:val="28BE1D22"/>
    <w:rsid w:val="28CE52E6"/>
    <w:rsid w:val="28E57E95"/>
    <w:rsid w:val="28EF1AC1"/>
    <w:rsid w:val="29256277"/>
    <w:rsid w:val="29430898"/>
    <w:rsid w:val="296464B9"/>
    <w:rsid w:val="296C6A09"/>
    <w:rsid w:val="296D2993"/>
    <w:rsid w:val="296F6CA5"/>
    <w:rsid w:val="298F31CF"/>
    <w:rsid w:val="299E56AF"/>
    <w:rsid w:val="29A21154"/>
    <w:rsid w:val="29BF4E64"/>
    <w:rsid w:val="29CD403E"/>
    <w:rsid w:val="29EC4A02"/>
    <w:rsid w:val="29F3375E"/>
    <w:rsid w:val="29F574D6"/>
    <w:rsid w:val="29FC107A"/>
    <w:rsid w:val="2A0021F2"/>
    <w:rsid w:val="2A3309DD"/>
    <w:rsid w:val="2A3C0118"/>
    <w:rsid w:val="2A455983"/>
    <w:rsid w:val="2A473AAA"/>
    <w:rsid w:val="2A554419"/>
    <w:rsid w:val="2A684735"/>
    <w:rsid w:val="2A706EC2"/>
    <w:rsid w:val="2AA66A22"/>
    <w:rsid w:val="2AAA0470"/>
    <w:rsid w:val="2ACE3D65"/>
    <w:rsid w:val="2AD4533E"/>
    <w:rsid w:val="2AE74AF2"/>
    <w:rsid w:val="2AF4246C"/>
    <w:rsid w:val="2B026D53"/>
    <w:rsid w:val="2B12637D"/>
    <w:rsid w:val="2B3B6B84"/>
    <w:rsid w:val="2B5171AF"/>
    <w:rsid w:val="2B6A7A50"/>
    <w:rsid w:val="2B6E4FDF"/>
    <w:rsid w:val="2B7045C2"/>
    <w:rsid w:val="2B7A7240"/>
    <w:rsid w:val="2B8A6344"/>
    <w:rsid w:val="2B9920A2"/>
    <w:rsid w:val="2BB01DE6"/>
    <w:rsid w:val="2BE51E7D"/>
    <w:rsid w:val="2BE55033"/>
    <w:rsid w:val="2BF3422E"/>
    <w:rsid w:val="2BF45499"/>
    <w:rsid w:val="2C0150BF"/>
    <w:rsid w:val="2C032914"/>
    <w:rsid w:val="2C0E585C"/>
    <w:rsid w:val="2C2A4AA2"/>
    <w:rsid w:val="2C2B3683"/>
    <w:rsid w:val="2C3167C0"/>
    <w:rsid w:val="2CAE5D87"/>
    <w:rsid w:val="2CBB4EED"/>
    <w:rsid w:val="2CC66CD6"/>
    <w:rsid w:val="2CFF3C04"/>
    <w:rsid w:val="2D0210E4"/>
    <w:rsid w:val="2D0E629A"/>
    <w:rsid w:val="2D78338E"/>
    <w:rsid w:val="2DB346A7"/>
    <w:rsid w:val="2DBF1B7C"/>
    <w:rsid w:val="2DCB5E76"/>
    <w:rsid w:val="2DE1972C"/>
    <w:rsid w:val="2DE75215"/>
    <w:rsid w:val="2DEE09C8"/>
    <w:rsid w:val="2DF93839"/>
    <w:rsid w:val="2E006DD2"/>
    <w:rsid w:val="2E091A81"/>
    <w:rsid w:val="2E2A1718"/>
    <w:rsid w:val="2E3A5DFF"/>
    <w:rsid w:val="2E4B1A14"/>
    <w:rsid w:val="2E7129BA"/>
    <w:rsid w:val="2E81791B"/>
    <w:rsid w:val="2E856F7F"/>
    <w:rsid w:val="2E8775B9"/>
    <w:rsid w:val="2E8F766D"/>
    <w:rsid w:val="2EBF2125"/>
    <w:rsid w:val="2EC340E7"/>
    <w:rsid w:val="2ED728B3"/>
    <w:rsid w:val="2EDC691C"/>
    <w:rsid w:val="2EEC4418"/>
    <w:rsid w:val="2F0F103A"/>
    <w:rsid w:val="2F1D3C51"/>
    <w:rsid w:val="2F2E610F"/>
    <w:rsid w:val="2F391D1E"/>
    <w:rsid w:val="2F40308E"/>
    <w:rsid w:val="2F495C8D"/>
    <w:rsid w:val="2F77A7BC"/>
    <w:rsid w:val="2F8D01B1"/>
    <w:rsid w:val="2F8F023A"/>
    <w:rsid w:val="2F93D5E2"/>
    <w:rsid w:val="2F963509"/>
    <w:rsid w:val="2FB3383A"/>
    <w:rsid w:val="2FB4573E"/>
    <w:rsid w:val="2FDA1360"/>
    <w:rsid w:val="2FDA231B"/>
    <w:rsid w:val="2FDF7CFA"/>
    <w:rsid w:val="2FE06533"/>
    <w:rsid w:val="2FF4C9CC"/>
    <w:rsid w:val="2FF81ACE"/>
    <w:rsid w:val="2FFEF457"/>
    <w:rsid w:val="305C4F4D"/>
    <w:rsid w:val="309A2164"/>
    <w:rsid w:val="30A6118E"/>
    <w:rsid w:val="30D94DF0"/>
    <w:rsid w:val="30E019C1"/>
    <w:rsid w:val="30F027A5"/>
    <w:rsid w:val="30FE3B39"/>
    <w:rsid w:val="3119660D"/>
    <w:rsid w:val="3136638A"/>
    <w:rsid w:val="313F1AA3"/>
    <w:rsid w:val="31594B07"/>
    <w:rsid w:val="31607550"/>
    <w:rsid w:val="31664D81"/>
    <w:rsid w:val="31670D6A"/>
    <w:rsid w:val="31937418"/>
    <w:rsid w:val="31982526"/>
    <w:rsid w:val="31C00626"/>
    <w:rsid w:val="31C75BFC"/>
    <w:rsid w:val="31CC3212"/>
    <w:rsid w:val="31E72B18"/>
    <w:rsid w:val="3214113F"/>
    <w:rsid w:val="3222475B"/>
    <w:rsid w:val="32527DC2"/>
    <w:rsid w:val="325F6CD4"/>
    <w:rsid w:val="326205EA"/>
    <w:rsid w:val="3287538B"/>
    <w:rsid w:val="329F26D5"/>
    <w:rsid w:val="32A26C0D"/>
    <w:rsid w:val="332130EA"/>
    <w:rsid w:val="33225584"/>
    <w:rsid w:val="333C7AD0"/>
    <w:rsid w:val="33541119"/>
    <w:rsid w:val="33602717"/>
    <w:rsid w:val="33AD7074"/>
    <w:rsid w:val="33B55ED3"/>
    <w:rsid w:val="33BC6AB9"/>
    <w:rsid w:val="33EF3314"/>
    <w:rsid w:val="340D25AE"/>
    <w:rsid w:val="343D57A7"/>
    <w:rsid w:val="345E575E"/>
    <w:rsid w:val="348E47AF"/>
    <w:rsid w:val="34A55F9D"/>
    <w:rsid w:val="34EE320F"/>
    <w:rsid w:val="34F7F5C7"/>
    <w:rsid w:val="3518051D"/>
    <w:rsid w:val="35941D23"/>
    <w:rsid w:val="35E5295E"/>
    <w:rsid w:val="360C62D3"/>
    <w:rsid w:val="361E75C2"/>
    <w:rsid w:val="36324235"/>
    <w:rsid w:val="36507765"/>
    <w:rsid w:val="36552BBE"/>
    <w:rsid w:val="365858EE"/>
    <w:rsid w:val="368137CB"/>
    <w:rsid w:val="36BE50F4"/>
    <w:rsid w:val="36D84407"/>
    <w:rsid w:val="36E55AC2"/>
    <w:rsid w:val="36EA5A5D"/>
    <w:rsid w:val="37170687"/>
    <w:rsid w:val="372D0354"/>
    <w:rsid w:val="372E42C6"/>
    <w:rsid w:val="375815AA"/>
    <w:rsid w:val="37972896"/>
    <w:rsid w:val="37BC7885"/>
    <w:rsid w:val="37CD1D12"/>
    <w:rsid w:val="37D01583"/>
    <w:rsid w:val="37DF3E3B"/>
    <w:rsid w:val="37F54FE4"/>
    <w:rsid w:val="37F73B6F"/>
    <w:rsid w:val="37FD0ABC"/>
    <w:rsid w:val="382C3278"/>
    <w:rsid w:val="38434688"/>
    <w:rsid w:val="386C3059"/>
    <w:rsid w:val="388008B3"/>
    <w:rsid w:val="389623B6"/>
    <w:rsid w:val="38A66A21"/>
    <w:rsid w:val="38E265EF"/>
    <w:rsid w:val="392509F8"/>
    <w:rsid w:val="39294E48"/>
    <w:rsid w:val="394A14A8"/>
    <w:rsid w:val="39571135"/>
    <w:rsid w:val="39BB7E3A"/>
    <w:rsid w:val="39C2243E"/>
    <w:rsid w:val="39D12EC0"/>
    <w:rsid w:val="3A0B68A2"/>
    <w:rsid w:val="3A56CAB8"/>
    <w:rsid w:val="3A5C08D3"/>
    <w:rsid w:val="3A66142C"/>
    <w:rsid w:val="3A806A7C"/>
    <w:rsid w:val="3AB807D8"/>
    <w:rsid w:val="3ACB5912"/>
    <w:rsid w:val="3AD21934"/>
    <w:rsid w:val="3ADF7491"/>
    <w:rsid w:val="3AE93F6C"/>
    <w:rsid w:val="3B3C301B"/>
    <w:rsid w:val="3B415DAB"/>
    <w:rsid w:val="3B4C6090"/>
    <w:rsid w:val="3B555A62"/>
    <w:rsid w:val="3B667138"/>
    <w:rsid w:val="3B7D0DA2"/>
    <w:rsid w:val="3B8C06CE"/>
    <w:rsid w:val="3B9FD7FF"/>
    <w:rsid w:val="3BA650FC"/>
    <w:rsid w:val="3BA74680"/>
    <w:rsid w:val="3BB865B6"/>
    <w:rsid w:val="3BE1444B"/>
    <w:rsid w:val="3BE7089C"/>
    <w:rsid w:val="3BFD7385"/>
    <w:rsid w:val="3C1A339C"/>
    <w:rsid w:val="3C4C11FB"/>
    <w:rsid w:val="3C522566"/>
    <w:rsid w:val="3C6354FE"/>
    <w:rsid w:val="3C727D0D"/>
    <w:rsid w:val="3C80719C"/>
    <w:rsid w:val="3C965A16"/>
    <w:rsid w:val="3CBF319F"/>
    <w:rsid w:val="3CFE449C"/>
    <w:rsid w:val="3D0C4E0B"/>
    <w:rsid w:val="3D27D090"/>
    <w:rsid w:val="3D5250DF"/>
    <w:rsid w:val="3D5751DB"/>
    <w:rsid w:val="3D7C5D77"/>
    <w:rsid w:val="3DA27E04"/>
    <w:rsid w:val="3DB80AFF"/>
    <w:rsid w:val="3DBF6FD3"/>
    <w:rsid w:val="3DC26BC1"/>
    <w:rsid w:val="3DC91FE6"/>
    <w:rsid w:val="3DDF0B1D"/>
    <w:rsid w:val="3DDF2AD5"/>
    <w:rsid w:val="3DE452E3"/>
    <w:rsid w:val="3DEB0EC4"/>
    <w:rsid w:val="3DFA79FE"/>
    <w:rsid w:val="3DFFF629"/>
    <w:rsid w:val="3E083144"/>
    <w:rsid w:val="3E0F0E93"/>
    <w:rsid w:val="3E157CEF"/>
    <w:rsid w:val="3E1C528C"/>
    <w:rsid w:val="3E2E077F"/>
    <w:rsid w:val="3E3C050B"/>
    <w:rsid w:val="3E83486D"/>
    <w:rsid w:val="3E8529F0"/>
    <w:rsid w:val="3EA370A9"/>
    <w:rsid w:val="3EAF264F"/>
    <w:rsid w:val="3EB0220E"/>
    <w:rsid w:val="3EB40695"/>
    <w:rsid w:val="3ECB6EBE"/>
    <w:rsid w:val="3ED92ACB"/>
    <w:rsid w:val="3EF72487"/>
    <w:rsid w:val="3EFE5F4F"/>
    <w:rsid w:val="3F08304A"/>
    <w:rsid w:val="3F11495A"/>
    <w:rsid w:val="3F231323"/>
    <w:rsid w:val="3F3220D1"/>
    <w:rsid w:val="3F3874BF"/>
    <w:rsid w:val="3F4D438F"/>
    <w:rsid w:val="3F5B3582"/>
    <w:rsid w:val="3F5C04AC"/>
    <w:rsid w:val="3F68132A"/>
    <w:rsid w:val="3F7BA462"/>
    <w:rsid w:val="3F7D0419"/>
    <w:rsid w:val="3F876183"/>
    <w:rsid w:val="3F9C67EE"/>
    <w:rsid w:val="3F9F517B"/>
    <w:rsid w:val="3FA24540"/>
    <w:rsid w:val="3FAB0B2F"/>
    <w:rsid w:val="3FB60ACE"/>
    <w:rsid w:val="3FBE68CE"/>
    <w:rsid w:val="3FC251AC"/>
    <w:rsid w:val="3FD339BE"/>
    <w:rsid w:val="3FDF486B"/>
    <w:rsid w:val="3FDF784A"/>
    <w:rsid w:val="3FE874AF"/>
    <w:rsid w:val="3FEE6061"/>
    <w:rsid w:val="3FF32DE2"/>
    <w:rsid w:val="3FFB4901"/>
    <w:rsid w:val="3FFBE830"/>
    <w:rsid w:val="3FFF08D1"/>
    <w:rsid w:val="40121286"/>
    <w:rsid w:val="401A2ABB"/>
    <w:rsid w:val="402333DE"/>
    <w:rsid w:val="40295CD4"/>
    <w:rsid w:val="40390654"/>
    <w:rsid w:val="40592909"/>
    <w:rsid w:val="407F58F4"/>
    <w:rsid w:val="408A531C"/>
    <w:rsid w:val="4090365D"/>
    <w:rsid w:val="40B05AAD"/>
    <w:rsid w:val="414803DC"/>
    <w:rsid w:val="41541293"/>
    <w:rsid w:val="41A80C4A"/>
    <w:rsid w:val="41AB3882"/>
    <w:rsid w:val="41B8730F"/>
    <w:rsid w:val="42003443"/>
    <w:rsid w:val="42117A10"/>
    <w:rsid w:val="421D761B"/>
    <w:rsid w:val="421F4DB2"/>
    <w:rsid w:val="423229B8"/>
    <w:rsid w:val="42511C9E"/>
    <w:rsid w:val="42653492"/>
    <w:rsid w:val="426C1E97"/>
    <w:rsid w:val="427D6BF1"/>
    <w:rsid w:val="427F5BBE"/>
    <w:rsid w:val="42987EF5"/>
    <w:rsid w:val="42BB357B"/>
    <w:rsid w:val="42C376F5"/>
    <w:rsid w:val="42CB3152"/>
    <w:rsid w:val="42DF267A"/>
    <w:rsid w:val="43461CB0"/>
    <w:rsid w:val="43A05439"/>
    <w:rsid w:val="43A473B1"/>
    <w:rsid w:val="43B06DF0"/>
    <w:rsid w:val="43B458B4"/>
    <w:rsid w:val="43BFE65E"/>
    <w:rsid w:val="43C04259"/>
    <w:rsid w:val="43C55D14"/>
    <w:rsid w:val="43EC32A0"/>
    <w:rsid w:val="43F73B07"/>
    <w:rsid w:val="44056110"/>
    <w:rsid w:val="440702A4"/>
    <w:rsid w:val="440A1578"/>
    <w:rsid w:val="44147B34"/>
    <w:rsid w:val="444F0B46"/>
    <w:rsid w:val="44803A8D"/>
    <w:rsid w:val="4494321F"/>
    <w:rsid w:val="44A771C7"/>
    <w:rsid w:val="44B47AC7"/>
    <w:rsid w:val="44B91EC5"/>
    <w:rsid w:val="44CC2074"/>
    <w:rsid w:val="44D46718"/>
    <w:rsid w:val="44DB01A8"/>
    <w:rsid w:val="44DD4D95"/>
    <w:rsid w:val="44E70442"/>
    <w:rsid w:val="44F64161"/>
    <w:rsid w:val="44F76573"/>
    <w:rsid w:val="4508410A"/>
    <w:rsid w:val="45091972"/>
    <w:rsid w:val="45184F67"/>
    <w:rsid w:val="457B7329"/>
    <w:rsid w:val="45811A13"/>
    <w:rsid w:val="45897AC1"/>
    <w:rsid w:val="458F482B"/>
    <w:rsid w:val="45933F2C"/>
    <w:rsid w:val="45D26001"/>
    <w:rsid w:val="45ED11D8"/>
    <w:rsid w:val="46046FB2"/>
    <w:rsid w:val="463245CA"/>
    <w:rsid w:val="464B330A"/>
    <w:rsid w:val="464F7E09"/>
    <w:rsid w:val="466A4950"/>
    <w:rsid w:val="46C92F6B"/>
    <w:rsid w:val="46FC1A4C"/>
    <w:rsid w:val="47264D1B"/>
    <w:rsid w:val="47317E50"/>
    <w:rsid w:val="47340F08"/>
    <w:rsid w:val="474A2E18"/>
    <w:rsid w:val="474A5616"/>
    <w:rsid w:val="476B4E24"/>
    <w:rsid w:val="477F61D9"/>
    <w:rsid w:val="47811F51"/>
    <w:rsid w:val="47932EB7"/>
    <w:rsid w:val="47E72E0E"/>
    <w:rsid w:val="47F720F9"/>
    <w:rsid w:val="48051EDA"/>
    <w:rsid w:val="482A5BE1"/>
    <w:rsid w:val="48492DD3"/>
    <w:rsid w:val="486A5821"/>
    <w:rsid w:val="487F0B87"/>
    <w:rsid w:val="487F60CE"/>
    <w:rsid w:val="488225AD"/>
    <w:rsid w:val="48883FAF"/>
    <w:rsid w:val="48896B80"/>
    <w:rsid w:val="48BB1493"/>
    <w:rsid w:val="48D129A8"/>
    <w:rsid w:val="48E60AAF"/>
    <w:rsid w:val="48FB64CA"/>
    <w:rsid w:val="4901159C"/>
    <w:rsid w:val="49016CD1"/>
    <w:rsid w:val="492A3661"/>
    <w:rsid w:val="494F5429"/>
    <w:rsid w:val="496E58E1"/>
    <w:rsid w:val="49EC5A88"/>
    <w:rsid w:val="4A062BE2"/>
    <w:rsid w:val="4A0749E0"/>
    <w:rsid w:val="4A0E316A"/>
    <w:rsid w:val="4A3711B2"/>
    <w:rsid w:val="4A3D5E31"/>
    <w:rsid w:val="4A62606A"/>
    <w:rsid w:val="4A8642E2"/>
    <w:rsid w:val="4A8F0E29"/>
    <w:rsid w:val="4A9D0511"/>
    <w:rsid w:val="4A9F3546"/>
    <w:rsid w:val="4ACA1E61"/>
    <w:rsid w:val="4ADF6E1E"/>
    <w:rsid w:val="4B03206F"/>
    <w:rsid w:val="4B0D5C27"/>
    <w:rsid w:val="4B1E50BE"/>
    <w:rsid w:val="4B225A1B"/>
    <w:rsid w:val="4B3F824C"/>
    <w:rsid w:val="4B466C11"/>
    <w:rsid w:val="4B5807DC"/>
    <w:rsid w:val="4B820492"/>
    <w:rsid w:val="4BBD27E6"/>
    <w:rsid w:val="4BBF14B2"/>
    <w:rsid w:val="4BD81B39"/>
    <w:rsid w:val="4BFDD07C"/>
    <w:rsid w:val="4C013512"/>
    <w:rsid w:val="4C147C6C"/>
    <w:rsid w:val="4C201254"/>
    <w:rsid w:val="4C215AB1"/>
    <w:rsid w:val="4C276E82"/>
    <w:rsid w:val="4C406C12"/>
    <w:rsid w:val="4C63256E"/>
    <w:rsid w:val="4C807C01"/>
    <w:rsid w:val="4C9461E1"/>
    <w:rsid w:val="4CB63B1D"/>
    <w:rsid w:val="4CD107DB"/>
    <w:rsid w:val="4CFB1E5C"/>
    <w:rsid w:val="4CFE63D3"/>
    <w:rsid w:val="4D1E654F"/>
    <w:rsid w:val="4D402FF0"/>
    <w:rsid w:val="4D5A5489"/>
    <w:rsid w:val="4D7B6241"/>
    <w:rsid w:val="4D7E259D"/>
    <w:rsid w:val="4D8B5AD7"/>
    <w:rsid w:val="4DA70238"/>
    <w:rsid w:val="4DAB1AD6"/>
    <w:rsid w:val="4DD70B1D"/>
    <w:rsid w:val="4DE35714"/>
    <w:rsid w:val="4DFFCDBF"/>
    <w:rsid w:val="4E0131DE"/>
    <w:rsid w:val="4E065B01"/>
    <w:rsid w:val="4E1407FF"/>
    <w:rsid w:val="4E1C02BC"/>
    <w:rsid w:val="4E4955A2"/>
    <w:rsid w:val="4E5B174E"/>
    <w:rsid w:val="4E5B22A2"/>
    <w:rsid w:val="4E7616DA"/>
    <w:rsid w:val="4E7B78B1"/>
    <w:rsid w:val="4E81570E"/>
    <w:rsid w:val="4E85621C"/>
    <w:rsid w:val="4E881344"/>
    <w:rsid w:val="4E931470"/>
    <w:rsid w:val="4E9443B5"/>
    <w:rsid w:val="4E9F6F34"/>
    <w:rsid w:val="4EA22613"/>
    <w:rsid w:val="4EB3092D"/>
    <w:rsid w:val="4EB41E04"/>
    <w:rsid w:val="4EE957FB"/>
    <w:rsid w:val="4EF3713A"/>
    <w:rsid w:val="4EFC6A7C"/>
    <w:rsid w:val="4EFC7613"/>
    <w:rsid w:val="4EFF3FC2"/>
    <w:rsid w:val="4F0516BA"/>
    <w:rsid w:val="4F245FE4"/>
    <w:rsid w:val="4F361873"/>
    <w:rsid w:val="4F451C3A"/>
    <w:rsid w:val="4F4653FD"/>
    <w:rsid w:val="4F4E55E5"/>
    <w:rsid w:val="4F693DE7"/>
    <w:rsid w:val="4F750876"/>
    <w:rsid w:val="4F7D25F6"/>
    <w:rsid w:val="4F806226"/>
    <w:rsid w:val="4F87215B"/>
    <w:rsid w:val="4FA33596"/>
    <w:rsid w:val="4FA86E02"/>
    <w:rsid w:val="4FBDEFAC"/>
    <w:rsid w:val="4FC11A85"/>
    <w:rsid w:val="4FEA7487"/>
    <w:rsid w:val="4FF9B191"/>
    <w:rsid w:val="4FFFF493"/>
    <w:rsid w:val="50076B1D"/>
    <w:rsid w:val="50102AE1"/>
    <w:rsid w:val="50451695"/>
    <w:rsid w:val="505E6F6B"/>
    <w:rsid w:val="506056FC"/>
    <w:rsid w:val="506C48FE"/>
    <w:rsid w:val="508A33D6"/>
    <w:rsid w:val="509448C9"/>
    <w:rsid w:val="50AB6AEF"/>
    <w:rsid w:val="50B71642"/>
    <w:rsid w:val="50BB0632"/>
    <w:rsid w:val="50F315DD"/>
    <w:rsid w:val="51114346"/>
    <w:rsid w:val="5116195C"/>
    <w:rsid w:val="51244CD7"/>
    <w:rsid w:val="514E7348"/>
    <w:rsid w:val="51516E38"/>
    <w:rsid w:val="516C5A20"/>
    <w:rsid w:val="51915487"/>
    <w:rsid w:val="51C42DFA"/>
    <w:rsid w:val="51CD02B3"/>
    <w:rsid w:val="51F45C15"/>
    <w:rsid w:val="520F12D2"/>
    <w:rsid w:val="52147F1A"/>
    <w:rsid w:val="522352FD"/>
    <w:rsid w:val="52316771"/>
    <w:rsid w:val="52410C5B"/>
    <w:rsid w:val="52503681"/>
    <w:rsid w:val="529C13AD"/>
    <w:rsid w:val="529F5982"/>
    <w:rsid w:val="52C553E8"/>
    <w:rsid w:val="52EB5533"/>
    <w:rsid w:val="52F13B3B"/>
    <w:rsid w:val="53346A12"/>
    <w:rsid w:val="53403318"/>
    <w:rsid w:val="534D5AAC"/>
    <w:rsid w:val="535D3C85"/>
    <w:rsid w:val="537904C0"/>
    <w:rsid w:val="537F18E9"/>
    <w:rsid w:val="539450C8"/>
    <w:rsid w:val="539E1416"/>
    <w:rsid w:val="53C50F11"/>
    <w:rsid w:val="53DA03F2"/>
    <w:rsid w:val="53F75E90"/>
    <w:rsid w:val="54060DDF"/>
    <w:rsid w:val="54104983"/>
    <w:rsid w:val="54253677"/>
    <w:rsid w:val="54282946"/>
    <w:rsid w:val="542E2240"/>
    <w:rsid w:val="543B135F"/>
    <w:rsid w:val="543F741C"/>
    <w:rsid w:val="54414F42"/>
    <w:rsid w:val="544561F4"/>
    <w:rsid w:val="545E7CBA"/>
    <w:rsid w:val="54613885"/>
    <w:rsid w:val="54994D7E"/>
    <w:rsid w:val="549F654B"/>
    <w:rsid w:val="54A77A85"/>
    <w:rsid w:val="54CF254E"/>
    <w:rsid w:val="54D63DF6"/>
    <w:rsid w:val="551E08BC"/>
    <w:rsid w:val="55202DAA"/>
    <w:rsid w:val="55572544"/>
    <w:rsid w:val="556E41DB"/>
    <w:rsid w:val="558A0B6B"/>
    <w:rsid w:val="55A439DB"/>
    <w:rsid w:val="55BB769D"/>
    <w:rsid w:val="55BC6338"/>
    <w:rsid w:val="55E74FF6"/>
    <w:rsid w:val="56014180"/>
    <w:rsid w:val="56752351"/>
    <w:rsid w:val="567B7EDE"/>
    <w:rsid w:val="56856B95"/>
    <w:rsid w:val="56A4738E"/>
    <w:rsid w:val="56A774E2"/>
    <w:rsid w:val="56AD44B8"/>
    <w:rsid w:val="56B40859"/>
    <w:rsid w:val="56C77C50"/>
    <w:rsid w:val="56D92565"/>
    <w:rsid w:val="56D95906"/>
    <w:rsid w:val="56FB3E48"/>
    <w:rsid w:val="56FF1718"/>
    <w:rsid w:val="571747AA"/>
    <w:rsid w:val="571E3719"/>
    <w:rsid w:val="572D2E1D"/>
    <w:rsid w:val="57301C7B"/>
    <w:rsid w:val="57656561"/>
    <w:rsid w:val="5779764C"/>
    <w:rsid w:val="578D1B23"/>
    <w:rsid w:val="57935FEC"/>
    <w:rsid w:val="57972BD5"/>
    <w:rsid w:val="579F6BBB"/>
    <w:rsid w:val="57A54966"/>
    <w:rsid w:val="57DF519E"/>
    <w:rsid w:val="57E776B2"/>
    <w:rsid w:val="57F131F8"/>
    <w:rsid w:val="58033F98"/>
    <w:rsid w:val="583D3654"/>
    <w:rsid w:val="586C0B52"/>
    <w:rsid w:val="589760B9"/>
    <w:rsid w:val="58BF28C3"/>
    <w:rsid w:val="58E81E30"/>
    <w:rsid w:val="58FBFDAE"/>
    <w:rsid w:val="590B5514"/>
    <w:rsid w:val="591B5778"/>
    <w:rsid w:val="5941458F"/>
    <w:rsid w:val="594D1384"/>
    <w:rsid w:val="59541257"/>
    <w:rsid w:val="595602B7"/>
    <w:rsid w:val="595C2CF4"/>
    <w:rsid w:val="59673956"/>
    <w:rsid w:val="598F49A2"/>
    <w:rsid w:val="599A6FAF"/>
    <w:rsid w:val="59C50744"/>
    <w:rsid w:val="59DA2AD5"/>
    <w:rsid w:val="59E152F1"/>
    <w:rsid w:val="59E448A1"/>
    <w:rsid w:val="59EA31D2"/>
    <w:rsid w:val="59EC6780"/>
    <w:rsid w:val="5A026D19"/>
    <w:rsid w:val="5A2D6806"/>
    <w:rsid w:val="5A3C33AE"/>
    <w:rsid w:val="5A674602"/>
    <w:rsid w:val="5A92474A"/>
    <w:rsid w:val="5AD52888"/>
    <w:rsid w:val="5AED8A17"/>
    <w:rsid w:val="5B1F4360"/>
    <w:rsid w:val="5B52266E"/>
    <w:rsid w:val="5B653C0C"/>
    <w:rsid w:val="5B796ABF"/>
    <w:rsid w:val="5B7F312F"/>
    <w:rsid w:val="5B8322E4"/>
    <w:rsid w:val="5B9725E1"/>
    <w:rsid w:val="5BBA1352"/>
    <w:rsid w:val="5BD12960"/>
    <w:rsid w:val="5BD7AE8C"/>
    <w:rsid w:val="5BE24CBF"/>
    <w:rsid w:val="5BE508A9"/>
    <w:rsid w:val="5BEF1D62"/>
    <w:rsid w:val="5BEFD16F"/>
    <w:rsid w:val="5BF7F56E"/>
    <w:rsid w:val="5C0D40CF"/>
    <w:rsid w:val="5C2634D8"/>
    <w:rsid w:val="5C6555AC"/>
    <w:rsid w:val="5C89505C"/>
    <w:rsid w:val="5C8A0DC8"/>
    <w:rsid w:val="5CB309AF"/>
    <w:rsid w:val="5CC34B41"/>
    <w:rsid w:val="5CCB4C52"/>
    <w:rsid w:val="5CD21A5C"/>
    <w:rsid w:val="5CD503DD"/>
    <w:rsid w:val="5CDE88CA"/>
    <w:rsid w:val="5D04687A"/>
    <w:rsid w:val="5D2A6606"/>
    <w:rsid w:val="5D553BC7"/>
    <w:rsid w:val="5D676832"/>
    <w:rsid w:val="5D6A18F7"/>
    <w:rsid w:val="5D71349C"/>
    <w:rsid w:val="5D8F1A48"/>
    <w:rsid w:val="5D9702C9"/>
    <w:rsid w:val="5DB31D32"/>
    <w:rsid w:val="5DB83B00"/>
    <w:rsid w:val="5DCCF7A9"/>
    <w:rsid w:val="5DD9C1FB"/>
    <w:rsid w:val="5DDC5854"/>
    <w:rsid w:val="5DE77884"/>
    <w:rsid w:val="5DEFA785"/>
    <w:rsid w:val="5DF73AF4"/>
    <w:rsid w:val="5DF7626D"/>
    <w:rsid w:val="5E0F0043"/>
    <w:rsid w:val="5E1216FE"/>
    <w:rsid w:val="5E29502B"/>
    <w:rsid w:val="5E3033B1"/>
    <w:rsid w:val="5E3B6EA6"/>
    <w:rsid w:val="5E400676"/>
    <w:rsid w:val="5E625092"/>
    <w:rsid w:val="5E7FE17F"/>
    <w:rsid w:val="5EAB7087"/>
    <w:rsid w:val="5EB33411"/>
    <w:rsid w:val="5EDB9FA8"/>
    <w:rsid w:val="5EED7B5E"/>
    <w:rsid w:val="5EF23DBA"/>
    <w:rsid w:val="5EF3022A"/>
    <w:rsid w:val="5F5588A4"/>
    <w:rsid w:val="5F5EE250"/>
    <w:rsid w:val="5F6B0E1A"/>
    <w:rsid w:val="5F6E5B06"/>
    <w:rsid w:val="5F6F246F"/>
    <w:rsid w:val="5F71128A"/>
    <w:rsid w:val="5F8A23B2"/>
    <w:rsid w:val="5F942D12"/>
    <w:rsid w:val="5F952071"/>
    <w:rsid w:val="5FA42829"/>
    <w:rsid w:val="5FC93C50"/>
    <w:rsid w:val="5FD5211B"/>
    <w:rsid w:val="5FD80C9E"/>
    <w:rsid w:val="5FE05068"/>
    <w:rsid w:val="5FEB6615"/>
    <w:rsid w:val="5FED26F7"/>
    <w:rsid w:val="5FEF87A6"/>
    <w:rsid w:val="5FFCD7F1"/>
    <w:rsid w:val="5FFFDD61"/>
    <w:rsid w:val="603D6860"/>
    <w:rsid w:val="60584186"/>
    <w:rsid w:val="60632F76"/>
    <w:rsid w:val="606946D2"/>
    <w:rsid w:val="606E6E50"/>
    <w:rsid w:val="60742F4C"/>
    <w:rsid w:val="607910EF"/>
    <w:rsid w:val="60820DBC"/>
    <w:rsid w:val="608210E3"/>
    <w:rsid w:val="60BF45C4"/>
    <w:rsid w:val="610360DB"/>
    <w:rsid w:val="61435260"/>
    <w:rsid w:val="61483DB4"/>
    <w:rsid w:val="615604F6"/>
    <w:rsid w:val="615838CB"/>
    <w:rsid w:val="61631C7B"/>
    <w:rsid w:val="617348C1"/>
    <w:rsid w:val="617A0662"/>
    <w:rsid w:val="619D001A"/>
    <w:rsid w:val="61AC31DA"/>
    <w:rsid w:val="61AF1CA2"/>
    <w:rsid w:val="62206ADF"/>
    <w:rsid w:val="624938A7"/>
    <w:rsid w:val="624C11F7"/>
    <w:rsid w:val="62634C1E"/>
    <w:rsid w:val="626369CC"/>
    <w:rsid w:val="6283797D"/>
    <w:rsid w:val="62885B17"/>
    <w:rsid w:val="62A93596"/>
    <w:rsid w:val="62AA1DB0"/>
    <w:rsid w:val="62AE2542"/>
    <w:rsid w:val="62B252F4"/>
    <w:rsid w:val="62D83699"/>
    <w:rsid w:val="62E31D83"/>
    <w:rsid w:val="62E47B0C"/>
    <w:rsid w:val="630C2BBF"/>
    <w:rsid w:val="630F5ADD"/>
    <w:rsid w:val="634D566E"/>
    <w:rsid w:val="635F3560"/>
    <w:rsid w:val="63690012"/>
    <w:rsid w:val="63780D41"/>
    <w:rsid w:val="63882384"/>
    <w:rsid w:val="638C790B"/>
    <w:rsid w:val="63E552FB"/>
    <w:rsid w:val="640078AE"/>
    <w:rsid w:val="641C4690"/>
    <w:rsid w:val="642E1EC1"/>
    <w:rsid w:val="64526CF8"/>
    <w:rsid w:val="645479FE"/>
    <w:rsid w:val="648D1ADE"/>
    <w:rsid w:val="64990483"/>
    <w:rsid w:val="64A21697"/>
    <w:rsid w:val="64B17E13"/>
    <w:rsid w:val="64CF02FD"/>
    <w:rsid w:val="64D836A1"/>
    <w:rsid w:val="64E62E4E"/>
    <w:rsid w:val="64F15C1C"/>
    <w:rsid w:val="653E649D"/>
    <w:rsid w:val="656E26D1"/>
    <w:rsid w:val="65826E09"/>
    <w:rsid w:val="658F4CE3"/>
    <w:rsid w:val="65A753BA"/>
    <w:rsid w:val="65DFF780"/>
    <w:rsid w:val="65E5797A"/>
    <w:rsid w:val="65F59977"/>
    <w:rsid w:val="660C1021"/>
    <w:rsid w:val="660E6C4E"/>
    <w:rsid w:val="66107108"/>
    <w:rsid w:val="661E1616"/>
    <w:rsid w:val="66394B24"/>
    <w:rsid w:val="663A04A3"/>
    <w:rsid w:val="6659611C"/>
    <w:rsid w:val="665F46F0"/>
    <w:rsid w:val="665F56FC"/>
    <w:rsid w:val="667FD166"/>
    <w:rsid w:val="66A85D63"/>
    <w:rsid w:val="66C5E42B"/>
    <w:rsid w:val="66EE29AB"/>
    <w:rsid w:val="6708580E"/>
    <w:rsid w:val="671A0556"/>
    <w:rsid w:val="675E2559"/>
    <w:rsid w:val="676607AE"/>
    <w:rsid w:val="67695DFF"/>
    <w:rsid w:val="676B40F0"/>
    <w:rsid w:val="67713939"/>
    <w:rsid w:val="677D408C"/>
    <w:rsid w:val="677F8887"/>
    <w:rsid w:val="67917B37"/>
    <w:rsid w:val="67B4037B"/>
    <w:rsid w:val="67BC19AE"/>
    <w:rsid w:val="67DF2360"/>
    <w:rsid w:val="68067873"/>
    <w:rsid w:val="683C7AA3"/>
    <w:rsid w:val="68976652"/>
    <w:rsid w:val="68AA626A"/>
    <w:rsid w:val="68AE2977"/>
    <w:rsid w:val="68D95609"/>
    <w:rsid w:val="68EC0718"/>
    <w:rsid w:val="691E364C"/>
    <w:rsid w:val="69242584"/>
    <w:rsid w:val="6938741B"/>
    <w:rsid w:val="6951448C"/>
    <w:rsid w:val="699619EE"/>
    <w:rsid w:val="69B1626F"/>
    <w:rsid w:val="69B6118A"/>
    <w:rsid w:val="69D2253C"/>
    <w:rsid w:val="69E65AFB"/>
    <w:rsid w:val="69EF02B7"/>
    <w:rsid w:val="69FB6ED2"/>
    <w:rsid w:val="69FF831F"/>
    <w:rsid w:val="6A0171F6"/>
    <w:rsid w:val="6A070432"/>
    <w:rsid w:val="6A0B3BD1"/>
    <w:rsid w:val="6A2D18FD"/>
    <w:rsid w:val="6A505A87"/>
    <w:rsid w:val="6A554E4C"/>
    <w:rsid w:val="6A5C267E"/>
    <w:rsid w:val="6A6D7E16"/>
    <w:rsid w:val="6AA1148B"/>
    <w:rsid w:val="6AC7CC92"/>
    <w:rsid w:val="6AC87D14"/>
    <w:rsid w:val="6ACF3628"/>
    <w:rsid w:val="6ACF3C9D"/>
    <w:rsid w:val="6AD83AD4"/>
    <w:rsid w:val="6B321631"/>
    <w:rsid w:val="6B5CB483"/>
    <w:rsid w:val="6B615F8A"/>
    <w:rsid w:val="6B730E2F"/>
    <w:rsid w:val="6B7357E7"/>
    <w:rsid w:val="6B90138F"/>
    <w:rsid w:val="6BCE179B"/>
    <w:rsid w:val="6BE8477F"/>
    <w:rsid w:val="6C223CED"/>
    <w:rsid w:val="6C382AE1"/>
    <w:rsid w:val="6C3D4F3B"/>
    <w:rsid w:val="6C537AB1"/>
    <w:rsid w:val="6CA832AF"/>
    <w:rsid w:val="6CEB5F3B"/>
    <w:rsid w:val="6CF52EE2"/>
    <w:rsid w:val="6D050DAB"/>
    <w:rsid w:val="6D2A7C59"/>
    <w:rsid w:val="6D5918CA"/>
    <w:rsid w:val="6D5E1042"/>
    <w:rsid w:val="6D7D3878"/>
    <w:rsid w:val="6D7E2017"/>
    <w:rsid w:val="6D847944"/>
    <w:rsid w:val="6D8850B6"/>
    <w:rsid w:val="6DAA1953"/>
    <w:rsid w:val="6DE17C72"/>
    <w:rsid w:val="6E0A05E3"/>
    <w:rsid w:val="6E0E1EE1"/>
    <w:rsid w:val="6E281775"/>
    <w:rsid w:val="6E6B2E90"/>
    <w:rsid w:val="6E9C469A"/>
    <w:rsid w:val="6E9F2ECF"/>
    <w:rsid w:val="6EA2262A"/>
    <w:rsid w:val="6EB2181E"/>
    <w:rsid w:val="6EBD28FA"/>
    <w:rsid w:val="6EC50649"/>
    <w:rsid w:val="6EF2F53B"/>
    <w:rsid w:val="6EFD1B82"/>
    <w:rsid w:val="6EFF9FE2"/>
    <w:rsid w:val="6F0F7724"/>
    <w:rsid w:val="6F1B72B7"/>
    <w:rsid w:val="6F2D08DE"/>
    <w:rsid w:val="6F4E133D"/>
    <w:rsid w:val="6F525DFE"/>
    <w:rsid w:val="6F5953DE"/>
    <w:rsid w:val="6F5C0A2B"/>
    <w:rsid w:val="6F6876F2"/>
    <w:rsid w:val="6F778864"/>
    <w:rsid w:val="6F7D0592"/>
    <w:rsid w:val="6F920CFE"/>
    <w:rsid w:val="6F9242E2"/>
    <w:rsid w:val="6F9FB347"/>
    <w:rsid w:val="6F9FCC0F"/>
    <w:rsid w:val="6FA17A9F"/>
    <w:rsid w:val="6FB5032C"/>
    <w:rsid w:val="6FBF5C92"/>
    <w:rsid w:val="6FC72CA1"/>
    <w:rsid w:val="6FE6CDF3"/>
    <w:rsid w:val="6FFABE8E"/>
    <w:rsid w:val="6FFB56F4"/>
    <w:rsid w:val="6FFFAB7D"/>
    <w:rsid w:val="700E1B9B"/>
    <w:rsid w:val="705D1AF0"/>
    <w:rsid w:val="70693B35"/>
    <w:rsid w:val="7089502D"/>
    <w:rsid w:val="70AC7790"/>
    <w:rsid w:val="70BE2E5C"/>
    <w:rsid w:val="70C0289D"/>
    <w:rsid w:val="70C935FC"/>
    <w:rsid w:val="70C977E1"/>
    <w:rsid w:val="70CD2172"/>
    <w:rsid w:val="70EE7DA8"/>
    <w:rsid w:val="70FF4276"/>
    <w:rsid w:val="717812F3"/>
    <w:rsid w:val="7184404F"/>
    <w:rsid w:val="71914721"/>
    <w:rsid w:val="71A87CEF"/>
    <w:rsid w:val="71B15BA8"/>
    <w:rsid w:val="71DE1CCC"/>
    <w:rsid w:val="71F553EE"/>
    <w:rsid w:val="721E638F"/>
    <w:rsid w:val="722E4FE9"/>
    <w:rsid w:val="724063E2"/>
    <w:rsid w:val="724C09B1"/>
    <w:rsid w:val="725B40F8"/>
    <w:rsid w:val="72657123"/>
    <w:rsid w:val="726C58D8"/>
    <w:rsid w:val="72A05BC5"/>
    <w:rsid w:val="72A56B6F"/>
    <w:rsid w:val="72A57DCD"/>
    <w:rsid w:val="72C65FD5"/>
    <w:rsid w:val="73661E78"/>
    <w:rsid w:val="73740A86"/>
    <w:rsid w:val="73747D10"/>
    <w:rsid w:val="73893DB8"/>
    <w:rsid w:val="738BAE5F"/>
    <w:rsid w:val="739F189A"/>
    <w:rsid w:val="73ACCA95"/>
    <w:rsid w:val="73B13A3B"/>
    <w:rsid w:val="73BF5976"/>
    <w:rsid w:val="73CC5951"/>
    <w:rsid w:val="73D55CF4"/>
    <w:rsid w:val="73F106FE"/>
    <w:rsid w:val="73F14F82"/>
    <w:rsid w:val="74060D79"/>
    <w:rsid w:val="740D0E53"/>
    <w:rsid w:val="74441817"/>
    <w:rsid w:val="7444376D"/>
    <w:rsid w:val="744571C9"/>
    <w:rsid w:val="74696594"/>
    <w:rsid w:val="747B36E0"/>
    <w:rsid w:val="747B5DF7"/>
    <w:rsid w:val="74844939"/>
    <w:rsid w:val="749018A2"/>
    <w:rsid w:val="7497ADF1"/>
    <w:rsid w:val="74D44721"/>
    <w:rsid w:val="74E340C4"/>
    <w:rsid w:val="74FA0934"/>
    <w:rsid w:val="750156D5"/>
    <w:rsid w:val="752611B8"/>
    <w:rsid w:val="752D7308"/>
    <w:rsid w:val="754B4417"/>
    <w:rsid w:val="755D76C6"/>
    <w:rsid w:val="75680129"/>
    <w:rsid w:val="75A854CF"/>
    <w:rsid w:val="75AF3742"/>
    <w:rsid w:val="75D014F7"/>
    <w:rsid w:val="75EB2402"/>
    <w:rsid w:val="75F5242E"/>
    <w:rsid w:val="75FE1B2A"/>
    <w:rsid w:val="760032A4"/>
    <w:rsid w:val="76086D93"/>
    <w:rsid w:val="76355896"/>
    <w:rsid w:val="763E6670"/>
    <w:rsid w:val="76423197"/>
    <w:rsid w:val="7645283B"/>
    <w:rsid w:val="766B03F6"/>
    <w:rsid w:val="76911902"/>
    <w:rsid w:val="769D3E02"/>
    <w:rsid w:val="76AE0F04"/>
    <w:rsid w:val="76B334E5"/>
    <w:rsid w:val="76B33626"/>
    <w:rsid w:val="76CA6BC2"/>
    <w:rsid w:val="76EC4D8A"/>
    <w:rsid w:val="76FFEAEB"/>
    <w:rsid w:val="7724251E"/>
    <w:rsid w:val="77416534"/>
    <w:rsid w:val="775F730A"/>
    <w:rsid w:val="776CD909"/>
    <w:rsid w:val="777D41FF"/>
    <w:rsid w:val="77882D05"/>
    <w:rsid w:val="778D1FA8"/>
    <w:rsid w:val="77AE3DED"/>
    <w:rsid w:val="77B77E41"/>
    <w:rsid w:val="77B8283E"/>
    <w:rsid w:val="77BDDBD9"/>
    <w:rsid w:val="77DE2925"/>
    <w:rsid w:val="77DE4713"/>
    <w:rsid w:val="77E5C491"/>
    <w:rsid w:val="77EFC9D3"/>
    <w:rsid w:val="77F70206"/>
    <w:rsid w:val="77F9AAFE"/>
    <w:rsid w:val="77FE51BA"/>
    <w:rsid w:val="78012B52"/>
    <w:rsid w:val="780B56E4"/>
    <w:rsid w:val="780F30B9"/>
    <w:rsid w:val="783C589D"/>
    <w:rsid w:val="78583F3B"/>
    <w:rsid w:val="78793171"/>
    <w:rsid w:val="788439D9"/>
    <w:rsid w:val="78866E0B"/>
    <w:rsid w:val="7893122C"/>
    <w:rsid w:val="789977BD"/>
    <w:rsid w:val="78C66EBA"/>
    <w:rsid w:val="78CE49F4"/>
    <w:rsid w:val="78D9133E"/>
    <w:rsid w:val="78DF1CCF"/>
    <w:rsid w:val="78E308AD"/>
    <w:rsid w:val="78FB1F24"/>
    <w:rsid w:val="792F39E5"/>
    <w:rsid w:val="79733540"/>
    <w:rsid w:val="797A6599"/>
    <w:rsid w:val="79800D97"/>
    <w:rsid w:val="798B64D5"/>
    <w:rsid w:val="79986663"/>
    <w:rsid w:val="799B7652"/>
    <w:rsid w:val="799F01BE"/>
    <w:rsid w:val="79C370A4"/>
    <w:rsid w:val="79C74A9A"/>
    <w:rsid w:val="79D164E7"/>
    <w:rsid w:val="79D97847"/>
    <w:rsid w:val="79E319F1"/>
    <w:rsid w:val="79EB37FE"/>
    <w:rsid w:val="79EC7DA5"/>
    <w:rsid w:val="7A29778C"/>
    <w:rsid w:val="7A5A101B"/>
    <w:rsid w:val="7A7F7927"/>
    <w:rsid w:val="7ACE6D15"/>
    <w:rsid w:val="7AF1471D"/>
    <w:rsid w:val="7AFF6FCA"/>
    <w:rsid w:val="7B762A49"/>
    <w:rsid w:val="7B79045A"/>
    <w:rsid w:val="7B7E5D4E"/>
    <w:rsid w:val="7BAB985B"/>
    <w:rsid w:val="7BB10C39"/>
    <w:rsid w:val="7BBA0112"/>
    <w:rsid w:val="7BBD180B"/>
    <w:rsid w:val="7BC311C4"/>
    <w:rsid w:val="7BC61286"/>
    <w:rsid w:val="7BEFDCCD"/>
    <w:rsid w:val="7C09018C"/>
    <w:rsid w:val="7C3D2D91"/>
    <w:rsid w:val="7C4D6803"/>
    <w:rsid w:val="7C66187B"/>
    <w:rsid w:val="7C73C307"/>
    <w:rsid w:val="7C7C4CEE"/>
    <w:rsid w:val="7CE359F9"/>
    <w:rsid w:val="7CEA57AC"/>
    <w:rsid w:val="7CF404F4"/>
    <w:rsid w:val="7CF71AB3"/>
    <w:rsid w:val="7CFC4A0F"/>
    <w:rsid w:val="7CFF21A6"/>
    <w:rsid w:val="7D1F4EFA"/>
    <w:rsid w:val="7D3F16BD"/>
    <w:rsid w:val="7D40198C"/>
    <w:rsid w:val="7D597A11"/>
    <w:rsid w:val="7D5AB147"/>
    <w:rsid w:val="7D5FC8B1"/>
    <w:rsid w:val="7D6D8C2E"/>
    <w:rsid w:val="7D707A89"/>
    <w:rsid w:val="7D7D0FC1"/>
    <w:rsid w:val="7D820731"/>
    <w:rsid w:val="7D846BF9"/>
    <w:rsid w:val="7D9552D2"/>
    <w:rsid w:val="7DAA7D84"/>
    <w:rsid w:val="7DB7086A"/>
    <w:rsid w:val="7DCB42D8"/>
    <w:rsid w:val="7DD029B9"/>
    <w:rsid w:val="7DD722F0"/>
    <w:rsid w:val="7DD7BE02"/>
    <w:rsid w:val="7DE45A1D"/>
    <w:rsid w:val="7DE7978B"/>
    <w:rsid w:val="7DEA2A08"/>
    <w:rsid w:val="7DF033B2"/>
    <w:rsid w:val="7DF32AE1"/>
    <w:rsid w:val="7DF388BC"/>
    <w:rsid w:val="7DF72683"/>
    <w:rsid w:val="7DFDEEF4"/>
    <w:rsid w:val="7DFF5D4D"/>
    <w:rsid w:val="7E080A69"/>
    <w:rsid w:val="7E47C90E"/>
    <w:rsid w:val="7E4C7519"/>
    <w:rsid w:val="7E790FEA"/>
    <w:rsid w:val="7E7B3C1E"/>
    <w:rsid w:val="7E84532A"/>
    <w:rsid w:val="7E930AEB"/>
    <w:rsid w:val="7E966E06"/>
    <w:rsid w:val="7E9F0934"/>
    <w:rsid w:val="7EA55D4B"/>
    <w:rsid w:val="7EAF786B"/>
    <w:rsid w:val="7EB735F7"/>
    <w:rsid w:val="7EB73ECF"/>
    <w:rsid w:val="7EB919F5"/>
    <w:rsid w:val="7ED01E85"/>
    <w:rsid w:val="7EDB9FC0"/>
    <w:rsid w:val="7EDDACD4"/>
    <w:rsid w:val="7EE115FA"/>
    <w:rsid w:val="7EEDCCE6"/>
    <w:rsid w:val="7EFF74BD"/>
    <w:rsid w:val="7F046EE9"/>
    <w:rsid w:val="7F4C09CB"/>
    <w:rsid w:val="7F4F2308"/>
    <w:rsid w:val="7F4FAA66"/>
    <w:rsid w:val="7F673190"/>
    <w:rsid w:val="7F6BA7D1"/>
    <w:rsid w:val="7F7D467F"/>
    <w:rsid w:val="7FBF45B5"/>
    <w:rsid w:val="7FC164F8"/>
    <w:rsid w:val="7FC83AFA"/>
    <w:rsid w:val="7FCD6EEB"/>
    <w:rsid w:val="7FCFB901"/>
    <w:rsid w:val="7FDBAD3B"/>
    <w:rsid w:val="7FDC31D1"/>
    <w:rsid w:val="7FDCCB21"/>
    <w:rsid w:val="7FDD4846"/>
    <w:rsid w:val="7FDE63E7"/>
    <w:rsid w:val="7FDEB89D"/>
    <w:rsid w:val="7FDF5451"/>
    <w:rsid w:val="7FDFDD81"/>
    <w:rsid w:val="7FEF8A90"/>
    <w:rsid w:val="7FF27B97"/>
    <w:rsid w:val="7FF706B7"/>
    <w:rsid w:val="7FF74079"/>
    <w:rsid w:val="7FF781AB"/>
    <w:rsid w:val="7FF798F6"/>
    <w:rsid w:val="7FFCED78"/>
    <w:rsid w:val="7FFD85D9"/>
    <w:rsid w:val="7FFF09F4"/>
    <w:rsid w:val="7FFF168A"/>
    <w:rsid w:val="7FFF9331"/>
    <w:rsid w:val="7FFFE2A1"/>
    <w:rsid w:val="7FFFF7B0"/>
    <w:rsid w:val="86DF428B"/>
    <w:rsid w:val="87DA68B4"/>
    <w:rsid w:val="8FAFC7B0"/>
    <w:rsid w:val="93F3DA38"/>
    <w:rsid w:val="95EFCD3B"/>
    <w:rsid w:val="9A6D82BF"/>
    <w:rsid w:val="9BDF24F9"/>
    <w:rsid w:val="9EFF3E92"/>
    <w:rsid w:val="9FCD8FFB"/>
    <w:rsid w:val="9FFBEFDE"/>
    <w:rsid w:val="A147CE08"/>
    <w:rsid w:val="A5F9AA8B"/>
    <w:rsid w:val="A7DF0664"/>
    <w:rsid w:val="ADFEB675"/>
    <w:rsid w:val="AEED3933"/>
    <w:rsid w:val="AFCF9884"/>
    <w:rsid w:val="AFFC0B4B"/>
    <w:rsid w:val="B2EE356D"/>
    <w:rsid w:val="B52F4C80"/>
    <w:rsid w:val="B55F0A20"/>
    <w:rsid w:val="B65F556A"/>
    <w:rsid w:val="B67C39B8"/>
    <w:rsid w:val="B67E41E7"/>
    <w:rsid w:val="B79583E4"/>
    <w:rsid w:val="B7FA8E91"/>
    <w:rsid w:val="B87BE1CF"/>
    <w:rsid w:val="BBE5A847"/>
    <w:rsid w:val="BE5FEBAE"/>
    <w:rsid w:val="BE6BCCC2"/>
    <w:rsid w:val="BE6DE28D"/>
    <w:rsid w:val="BE7FCE28"/>
    <w:rsid w:val="BE9E2C4F"/>
    <w:rsid w:val="BEFF512C"/>
    <w:rsid w:val="BF2F7FE7"/>
    <w:rsid w:val="BF3D0F04"/>
    <w:rsid w:val="BF7D81B7"/>
    <w:rsid w:val="BF7E9C29"/>
    <w:rsid w:val="BF9DA143"/>
    <w:rsid w:val="BFAE6FF6"/>
    <w:rsid w:val="BFB67069"/>
    <w:rsid w:val="BFBB2198"/>
    <w:rsid w:val="BFF7741D"/>
    <w:rsid w:val="BFFD0C76"/>
    <w:rsid w:val="BFFF962D"/>
    <w:rsid w:val="BFFFAF35"/>
    <w:rsid w:val="BFFFC9CA"/>
    <w:rsid w:val="C65E2F9B"/>
    <w:rsid w:val="C69BC693"/>
    <w:rsid w:val="C6FB7B93"/>
    <w:rsid w:val="C777CF34"/>
    <w:rsid w:val="C7F67A8C"/>
    <w:rsid w:val="CA7E504A"/>
    <w:rsid w:val="CBBDCE87"/>
    <w:rsid w:val="CC7D9060"/>
    <w:rsid w:val="CD3D8338"/>
    <w:rsid w:val="CDF6F0AF"/>
    <w:rsid w:val="CE3ED0A4"/>
    <w:rsid w:val="CE7F6A28"/>
    <w:rsid w:val="CFDFFE99"/>
    <w:rsid w:val="D0BE63DD"/>
    <w:rsid w:val="D3FFE5A7"/>
    <w:rsid w:val="D56FC7F5"/>
    <w:rsid w:val="D57D0DA0"/>
    <w:rsid w:val="D5D7DCE4"/>
    <w:rsid w:val="D6EF2F7C"/>
    <w:rsid w:val="D7FAE815"/>
    <w:rsid w:val="D7FB5294"/>
    <w:rsid w:val="D8FF01C3"/>
    <w:rsid w:val="D95F8B45"/>
    <w:rsid w:val="D9F8D4E2"/>
    <w:rsid w:val="DA67397D"/>
    <w:rsid w:val="DAB95810"/>
    <w:rsid w:val="DAEFCC78"/>
    <w:rsid w:val="DB9720AE"/>
    <w:rsid w:val="DBB7313A"/>
    <w:rsid w:val="DBDF370F"/>
    <w:rsid w:val="DC7F95B1"/>
    <w:rsid w:val="DDCE69D8"/>
    <w:rsid w:val="DDDC55C6"/>
    <w:rsid w:val="DEBDFA05"/>
    <w:rsid w:val="DEDF8700"/>
    <w:rsid w:val="DEE53378"/>
    <w:rsid w:val="DEEB874E"/>
    <w:rsid w:val="DEEFAABE"/>
    <w:rsid w:val="DEF7F629"/>
    <w:rsid w:val="DF6F7CC4"/>
    <w:rsid w:val="DF7F7447"/>
    <w:rsid w:val="DFAC86ED"/>
    <w:rsid w:val="DFDFB2C6"/>
    <w:rsid w:val="DFF6FF68"/>
    <w:rsid w:val="DFFBD4EC"/>
    <w:rsid w:val="E7AF7C0F"/>
    <w:rsid w:val="E7BF0CB5"/>
    <w:rsid w:val="E7F13810"/>
    <w:rsid w:val="EB77F258"/>
    <w:rsid w:val="EBCAC3EE"/>
    <w:rsid w:val="EC7BD0CC"/>
    <w:rsid w:val="ED95192E"/>
    <w:rsid w:val="EDBEA93A"/>
    <w:rsid w:val="EDF900B9"/>
    <w:rsid w:val="EE5D821C"/>
    <w:rsid w:val="EEEF9960"/>
    <w:rsid w:val="EEFF8AD1"/>
    <w:rsid w:val="EF0FA950"/>
    <w:rsid w:val="EF3EE3C5"/>
    <w:rsid w:val="EF5E1FA2"/>
    <w:rsid w:val="EF7DEE03"/>
    <w:rsid w:val="EFDC2563"/>
    <w:rsid w:val="EFF2FEE6"/>
    <w:rsid w:val="EFF3ADE9"/>
    <w:rsid w:val="EFF5B209"/>
    <w:rsid w:val="EFFFAB09"/>
    <w:rsid w:val="F2CF8D57"/>
    <w:rsid w:val="F35AE508"/>
    <w:rsid w:val="F3BF0D6D"/>
    <w:rsid w:val="F637516C"/>
    <w:rsid w:val="F6C6FFEE"/>
    <w:rsid w:val="F6FCB22B"/>
    <w:rsid w:val="F71F2E26"/>
    <w:rsid w:val="F7533826"/>
    <w:rsid w:val="F779108F"/>
    <w:rsid w:val="F7BDA5FD"/>
    <w:rsid w:val="F7BF83E4"/>
    <w:rsid w:val="F7EA4F65"/>
    <w:rsid w:val="F7EEE370"/>
    <w:rsid w:val="F7F5CCF9"/>
    <w:rsid w:val="F7F6327C"/>
    <w:rsid w:val="F7FF92AB"/>
    <w:rsid w:val="F7FFFCFA"/>
    <w:rsid w:val="F92FDC7C"/>
    <w:rsid w:val="F9B548CA"/>
    <w:rsid w:val="F9DECA2B"/>
    <w:rsid w:val="FABFDDF5"/>
    <w:rsid w:val="FAEE7056"/>
    <w:rsid w:val="FB6DABBA"/>
    <w:rsid w:val="FB7F4637"/>
    <w:rsid w:val="FB9E9F3C"/>
    <w:rsid w:val="FB9EF2A9"/>
    <w:rsid w:val="FB9F4F4D"/>
    <w:rsid w:val="FBCF425F"/>
    <w:rsid w:val="FBD7457D"/>
    <w:rsid w:val="FBDFD301"/>
    <w:rsid w:val="FBEE6929"/>
    <w:rsid w:val="FBF3A85A"/>
    <w:rsid w:val="FBF5A33A"/>
    <w:rsid w:val="FC3F1D4F"/>
    <w:rsid w:val="FC7C3CD2"/>
    <w:rsid w:val="FC7DB780"/>
    <w:rsid w:val="FC8CEA1E"/>
    <w:rsid w:val="FD7A2EF4"/>
    <w:rsid w:val="FDA64357"/>
    <w:rsid w:val="FDD6349C"/>
    <w:rsid w:val="FDE9D62F"/>
    <w:rsid w:val="FDF6A77E"/>
    <w:rsid w:val="FDFFDAF9"/>
    <w:rsid w:val="FE7F2D0F"/>
    <w:rsid w:val="FE7FBA87"/>
    <w:rsid w:val="FEAD9E58"/>
    <w:rsid w:val="FEBB4ED6"/>
    <w:rsid w:val="FED735F4"/>
    <w:rsid w:val="FEDFFC1C"/>
    <w:rsid w:val="FEE3F92C"/>
    <w:rsid w:val="FEF2D032"/>
    <w:rsid w:val="FEF6ED3A"/>
    <w:rsid w:val="FEFE8387"/>
    <w:rsid w:val="FEFF7A4F"/>
    <w:rsid w:val="FF333102"/>
    <w:rsid w:val="FF360932"/>
    <w:rsid w:val="FF3F7462"/>
    <w:rsid w:val="FF3FA891"/>
    <w:rsid w:val="FF7E0224"/>
    <w:rsid w:val="FFB74575"/>
    <w:rsid w:val="FFBA8A1C"/>
    <w:rsid w:val="FFCDA2E9"/>
    <w:rsid w:val="FFD573AC"/>
    <w:rsid w:val="FFD70A83"/>
    <w:rsid w:val="FFECF038"/>
    <w:rsid w:val="FFEE723C"/>
    <w:rsid w:val="FFEE7695"/>
    <w:rsid w:val="FFEEB81F"/>
    <w:rsid w:val="FFEF7347"/>
    <w:rsid w:val="FFF70836"/>
    <w:rsid w:val="FFF88740"/>
    <w:rsid w:val="FFF8E052"/>
    <w:rsid w:val="FFFD2AD4"/>
    <w:rsid w:val="FFFD7948"/>
    <w:rsid w:val="FFFDD3E6"/>
    <w:rsid w:val="FFFE8D19"/>
    <w:rsid w:val="FFFF4A4A"/>
    <w:rsid w:val="FFFF5DCE"/>
    <w:rsid w:val="FFFF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2">
    <w:name w:val="Body Text First Indent 2"/>
    <w:autoRedefine/>
    <w:qFormat/>
    <w:uiPriority w:val="0"/>
    <w:pPr>
      <w:keepNext w:val="0"/>
      <w:keepLines w:val="0"/>
      <w:widowControl w:val="0"/>
      <w:suppressLineNumbers w:val="0"/>
      <w:spacing w:after="120" w:afterLines="0" w:afterAutospacing="0"/>
      <w:ind w:left="420" w:leftChars="200" w:firstLine="420" w:firstLineChars="200"/>
      <w:jc w:val="both"/>
    </w:pPr>
    <w:rPr>
      <w:rFonts w:hint="default" w:ascii="Calibri" w:hAnsi="Calibri" w:eastAsia="宋体" w:cs="Times New Roman"/>
      <w:kern w:val="2"/>
      <w:sz w:val="21"/>
      <w:szCs w:val="21"/>
      <w:lang w:val="en-US" w:eastAsia="zh-CN" w:bidi="ar"/>
    </w:rPr>
  </w:style>
  <w:style w:type="paragraph" w:styleId="3">
    <w:name w:val="annotation text"/>
    <w:basedOn w:val="1"/>
    <w:autoRedefine/>
    <w:qFormat/>
    <w:uiPriority w:val="0"/>
    <w:pPr>
      <w:jc w:val="left"/>
    </w:pPr>
  </w:style>
  <w:style w:type="paragraph" w:styleId="4">
    <w:name w:val="Body Text Indent"/>
    <w:basedOn w:val="1"/>
    <w:autoRedefine/>
    <w:qFormat/>
    <w:uiPriority w:val="0"/>
    <w:pPr>
      <w:spacing w:after="120" w:afterLines="0" w:afterAutospacing="0"/>
      <w:ind w:left="420" w:leftChars="200"/>
    </w:p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customStyle="1" w:styleId="10">
    <w:name w:val="font01"/>
    <w:basedOn w:val="8"/>
    <w:autoRedefine/>
    <w:qFormat/>
    <w:uiPriority w:val="0"/>
    <w:rPr>
      <w:rFonts w:hint="eastAsia" w:ascii="宋体" w:hAnsi="宋体" w:eastAsia="宋体" w:cs="宋体"/>
      <w:color w:val="000000"/>
      <w:sz w:val="22"/>
      <w:szCs w:val="22"/>
      <w:u w:val="none"/>
    </w:rPr>
  </w:style>
  <w:style w:type="character" w:customStyle="1" w:styleId="11">
    <w:name w:val="fontstyle01"/>
    <w:basedOn w:val="8"/>
    <w:qFormat/>
    <w:uiPriority w:val="0"/>
    <w:rPr>
      <w:rFonts w:ascii="宋体" w:hAnsi="宋体" w:eastAsia="宋体" w:cs="宋体"/>
      <w:color w:val="000000"/>
      <w:sz w:val="18"/>
      <w:szCs w:val="18"/>
    </w:rPr>
  </w:style>
  <w:style w:type="character" w:customStyle="1" w:styleId="12">
    <w:name w:val="fontstyle11"/>
    <w:basedOn w:val="8"/>
    <w:qFormat/>
    <w:uiPriority w:val="0"/>
    <w:rPr>
      <w:rFonts w:ascii="TimesNewRomanPS-BoldMT" w:hAnsi="TimesNewRomanPS-BoldMT" w:eastAsia="TimesNewRomanPS-BoldMT" w:cs="TimesNewRomanPS-BoldMT"/>
      <w:b/>
      <w:bCs/>
      <w:color w:val="00000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39668</Words>
  <Characters>55212</Characters>
  <Lines>1</Lines>
  <Paragraphs>1</Paragraphs>
  <TotalTime>6</TotalTime>
  <ScaleCrop>false</ScaleCrop>
  <LinksUpToDate>false</LinksUpToDate>
  <CharactersWithSpaces>55513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2022-04-02T15:18:00Z</dcterms:created>
  <dc:creator>zhou</dc:creator>
  <cp:lastModifiedBy>Zine</cp:lastModifiedBy>
  <cp:lastPrinted>2023-05-19T09:20:00Z</cp:lastPrinted>
  <dcterms:modified xsi:type="dcterms:W3CDTF">2024-06-18T05:12:10Z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D365AF89AAA44BC695CEBBE55F33CB2B</vt:lpwstr>
  </property>
</Properties>
</file>