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5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140970</wp:posOffset>
                      </wp:positionV>
                      <wp:extent cx="1134110" cy="814070"/>
                      <wp:effectExtent l="0" t="0" r="8890" b="50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84500" y="5375275"/>
                                <a:ext cx="1134110" cy="814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4.2pt;margin-top:11.1pt;height:64.1pt;width:89.3pt;z-index:251659264;mso-width-relative:page;mso-height-relative:page;" filled="f" stroked="t" coordsize="21600,21600" o:gfxdata="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2e7UR2AAAAAoBAAAPAAAAAAAAAAEAIAAAACIAAABkcnMv&#10;ZG93bnJldi54bWxQSwECFAAUAAAACACHTuJAHvWxiTwCAAA3BAAADgAAAAAAAAABACAAAAAnAQAA&#10;ZHJzL2Uyb0RvYy54bWxQSwUGAAAAAAYABgBZAQAA1QUAAAAA&#10;">
                      <v:fill on="f" focussize="0,0"/>
                      <v:stroke weight="0.5pt" color="#7F7F7F [16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δ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≥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0.015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878"/>
        <w:gridCol w:w="878"/>
        <w:gridCol w:w="878"/>
        <w:gridCol w:w="878"/>
        <w:gridCol w:w="878"/>
        <w:gridCol w:w="878"/>
        <w:gridCol w:w="878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取样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基础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+0.5m（一般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=0）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特征周期</w:t>
      </w:r>
      <m:oMath>
        <m:sSub>
          <m:sSubP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T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g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等值线表(可插值)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997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ov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se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&lt;2.55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3.45~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4.25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5.75~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12.75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17.25~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42.5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57.5~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68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80</w:t>
            </w:r>
          </w:p>
        </w:tc>
        <w:tc>
          <w:tcPr>
            <w:tcW w:w="6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287.5~425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172.5~212.5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&lt;127.5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阻尼比汇总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64"/>
        <w:gridCol w:w="1464"/>
        <w:gridCol w:w="1464"/>
        <w:gridCol w:w="1464"/>
        <w:gridCol w:w="1464"/>
        <w:gridCol w:w="1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92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高度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小震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大震</w:t>
            </w:r>
          </w:p>
        </w:tc>
        <w:tc>
          <w:tcPr>
            <w:tcW w:w="14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出处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一般结构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无高度限制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≤</w:t>
            </w: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高3.11.3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钢结构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偏心支撑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框架部分倾覆力矩&gt;0.5总倾覆力矩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0.045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抗8.2.2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其它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混合结构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高11.3.5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桥涵分类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929"/>
        <w:gridCol w:w="2929"/>
        <w:gridCol w:w="2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桥涵分类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多孔跨径总长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L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（m）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单孔跨径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特大桥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30&lt;L&lt;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&lt;40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小桥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8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&lt;20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涵洞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【《高层建筑岩土工程勘察标准》附录H.0.6条文说明】</w:t>
      </w: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独基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对于砂性土地基：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仅需进行基础尺寸修正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对于粘性土地基：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需进行基础尺寸和基础形状两项修正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（1）基础尺寸修正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根据实际基础尺寸，修正后的竖向地基土基床系数K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v1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99815" cy="65786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（2）基础形状修正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根据实际基础形状，修正后的竖向地基基床系数K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527685"/>
            <wp:effectExtent l="0" t="0" r="63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b、l：基础尺寸(m)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地下水抗浮设防水位=勘察期间实测地下水位+地下水季节变化幅度(旱季勘察时变幅大值，雨季勘察时变幅小值)+意外补给可能带来的地下水升高值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地下水抗浮设防地下水埋深=勘察期间实测地下水埋深-地下水季节变化幅度(旱季勘察时变幅大值，雨季勘察时变幅小值)-意外补给可能带来的地下水升高值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ze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0.95（市区5km以内，近郊）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1（市区5km以外，郊外）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zc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(《铁路地质勘察》)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0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0.95（市区10km以内，近郊）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1（市区10km以外，郊外）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0.95（市区20km以内，近郊）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1（市区20km以外，郊外）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浅层平板、深层平板、螺旋板载荷试验对比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803"/>
        <w:gridCol w:w="2328"/>
        <w:gridCol w:w="2328"/>
        <w:gridCol w:w="2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试验名称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浅层平板载荷试验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深层平板载荷试验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螺旋板载荷试验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适用范围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适用于确定浅层地基土层承载力和变形参数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适用于确定深层土及大直径桩的桩端土层承载力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适用于确定深层土或地下水位以下的土层承载力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承压板大小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承压板面积不应小于0.25m2，对于软土不应小于0.5m2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承压板面积宜选用0.5m2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承压板直径根据土性分别取0.160m或0.252m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边载条件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无边载，且试验基坑宽度不应小于承压板宽度或直径的3倍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试井直径应等于承压板直径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承载力的确定</w:t>
            </w:r>
          </w:p>
        </w:tc>
        <w:tc>
          <w:tcPr>
            <w:tcW w:w="6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取比例界限和最大加载量一半两者的小值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04085" cy="1979930"/>
                  <wp:effectExtent l="0" t="0" r="5715" b="1270"/>
                  <wp:docPr id="4" name="图片 4" descr="截图_选择区域_20220629215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_选择区域_202206292155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松动土体压力计算《工程地质手册》P810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对粉细砂、淤泥或新回填土中的浅埋洞室，松动土体压力可按下式计算：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=b+ℎ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对上覆土层较好的浅埋洞室，松动土体压力可按下式计算：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H[1−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(1−2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)]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8875" cy="1979930"/>
                  <wp:effectExtent l="0" t="0" r="3175" b="1270"/>
                  <wp:docPr id="5" name="图片 5" descr="截图_选择区域_2022062922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图_选择区域_202206292216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β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洞室分离块体的稳定性计算《工程地质手册》P809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洞壁块体的稳定性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56790" cy="720090"/>
                  <wp:effectExtent l="0" t="0" r="10160" b="3810"/>
                  <wp:docPr id="6" name="图片 6" descr="截图_选择区域_2022062922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图_选择区域_202206292218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洞顶块体的稳定性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315210" cy="899795"/>
                  <wp:effectExtent l="0" t="0" r="8890" b="14605"/>
                  <wp:docPr id="7" name="图片 7" descr="截图_选择区域_2022062922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选择区域_202206292218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稳定性判别标准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9510" cy="288290"/>
                  <wp:effectExtent l="0" t="0" r="2540" b="16510"/>
                  <wp:docPr id="8" name="图片 8" descr="截图_选择区域_2022062922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选择区域_202206292218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</w:pPr>
      <w:r>
        <w:drawing>
          <wp:inline distT="0" distB="0" distL="114300" distR="114300">
            <wp:extent cx="5269865" cy="140208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按相对变形值确定天然地基及人工地基承载力特征值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17"/>
        <w:gridCol w:w="1417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地基类型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地基土性质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特征值对应的变形值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天然地基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0.015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0.012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低压缩性土和砂性土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人工地基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中、低压缩性土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沉降计算经验系数</w:t>
      </w:r>
      <w:bookmarkStart w:id="0" w:name="_GoBack"/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黑体"/>
                <w:sz w:val="16"/>
                <w:szCs w:val="16"/>
                <w:lang w:val="en-US"/>
              </w:rPr>
              <m:t>ψ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黑体"/>
                <w:sz w:val="16"/>
                <w:szCs w:val="16"/>
                <w:lang w:val="en-US" w:eastAsia="zh-CN"/>
              </w:rPr>
              <m:t>s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  <w:bookmarkEnd w:id="0"/>
          </m:sub>
        </m:sSub>
      </m:oMath>
    </w:p>
    <w:tbl>
      <w:tblPr>
        <w:tblStyle w:val="5"/>
        <w:tblW w:w="85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08"/>
        <w:gridCol w:w="424"/>
        <w:gridCol w:w="1266"/>
        <w:gridCol w:w="424"/>
        <w:gridCol w:w="1403"/>
        <w:gridCol w:w="424"/>
        <w:gridCol w:w="1254"/>
        <w:gridCol w:w="424"/>
        <w:gridCol w:w="1352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164" w:hRule="atLeast"/>
          <w:jc w:val="center"/>
        </w:trPr>
        <w:tc>
          <w:tcPr>
            <w:tcW w:w="652" w:type="pct"/>
            <w:vMerge w:val="restart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基底附加压力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4347" w:type="pct"/>
            <w:gridSpan w:val="9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Cambria Math" w:hAnsi="Cambria Math" w:cs="Times New Roman"/>
                <w:bCs/>
                <w:i/>
                <w:color w:val="000000"/>
                <w:sz w:val="16"/>
                <w:szCs w:val="16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 xml:space="preserve"> (MPa)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2.5~4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4~7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7~15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15~20</w:t>
            </w:r>
          </w:p>
        </w:tc>
        <w:tc>
          <w:tcPr>
            <w:tcW w:w="250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sSub>
                  <m:sSubPr>
                    <m:ctrlPr>
                      <m:rPr/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m:rPr/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m:rPr/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47−2</m:t>
                    </m:r>
                    <m:acc>
                      <m:accPr>
                        <m:chr m:val="̅"/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−0.1</m:t>
                </m:r>
                <m:acc>
                  <m:accPr>
                    <m:chr m:val="̅"/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+1.7</m:t>
                </m:r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−0.04</m:t>
                </m:r>
                <m:acc>
                  <m:accPr>
                    <m:chr m:val="̅"/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  <w:tc>
          <w:tcPr>
            <w:tcW w:w="250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0.75</m:t>
                </m:r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19−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−0.1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+1.</m:t>
              </m:r>
            </m:oMath>
            <w:r>
              <m:rPr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77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−3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92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10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0.75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&lt;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m:rPr/>
              <w:rPr>
                <w:rFonts w:hint="eastAsia" w:hAnsi="Cambria Math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</w:t>
            </w:r>
            <w:r>
              <m:rPr/>
              <w:rPr>
                <w:rFonts w:hint="eastAsia" w:hAnsi="Cambria Math" w:cs="Times New Roman"/>
                <w:b w:val="0"/>
                <w:bCs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时：插值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99FD6"/>
    <w:multiLevelType w:val="singleLevel"/>
    <w:tmpl w:val="AFA99F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77ACBD"/>
    <w:multiLevelType w:val="singleLevel"/>
    <w:tmpl w:val="EF77AC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FC8CEA1E"/>
    <w:rsid w:val="001C19D9"/>
    <w:rsid w:val="016F4280"/>
    <w:rsid w:val="01927F47"/>
    <w:rsid w:val="02660FA6"/>
    <w:rsid w:val="02B6527D"/>
    <w:rsid w:val="037D0279"/>
    <w:rsid w:val="03880939"/>
    <w:rsid w:val="03DD6FCF"/>
    <w:rsid w:val="05210AE8"/>
    <w:rsid w:val="05341DD6"/>
    <w:rsid w:val="05E769C9"/>
    <w:rsid w:val="0605043B"/>
    <w:rsid w:val="06326C9A"/>
    <w:rsid w:val="06FA4845"/>
    <w:rsid w:val="073541FB"/>
    <w:rsid w:val="075D39A1"/>
    <w:rsid w:val="07AA35A6"/>
    <w:rsid w:val="082F566C"/>
    <w:rsid w:val="08421F6D"/>
    <w:rsid w:val="08844B2A"/>
    <w:rsid w:val="08993492"/>
    <w:rsid w:val="0A0356A9"/>
    <w:rsid w:val="0A2614E7"/>
    <w:rsid w:val="0A3E3EAB"/>
    <w:rsid w:val="0BB744C9"/>
    <w:rsid w:val="0C955807"/>
    <w:rsid w:val="0CB61D91"/>
    <w:rsid w:val="0D464369"/>
    <w:rsid w:val="0DB409F5"/>
    <w:rsid w:val="0DEE65AC"/>
    <w:rsid w:val="0EB13CB5"/>
    <w:rsid w:val="0EDD7BE9"/>
    <w:rsid w:val="0F3B2377"/>
    <w:rsid w:val="0FB767C8"/>
    <w:rsid w:val="102D625B"/>
    <w:rsid w:val="103F5AD3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88517E2"/>
    <w:rsid w:val="19805192"/>
    <w:rsid w:val="1B06295C"/>
    <w:rsid w:val="1B2C7A13"/>
    <w:rsid w:val="1B8F5A19"/>
    <w:rsid w:val="1E390B15"/>
    <w:rsid w:val="1EE7D569"/>
    <w:rsid w:val="1EF07D0A"/>
    <w:rsid w:val="1F072AEE"/>
    <w:rsid w:val="1FAE057F"/>
    <w:rsid w:val="1FB9E0FD"/>
    <w:rsid w:val="1FD72A1E"/>
    <w:rsid w:val="1FEA5AE6"/>
    <w:rsid w:val="1FFD4E5C"/>
    <w:rsid w:val="205E50C1"/>
    <w:rsid w:val="2073362B"/>
    <w:rsid w:val="20820530"/>
    <w:rsid w:val="2154053E"/>
    <w:rsid w:val="219D2B8D"/>
    <w:rsid w:val="229C4155"/>
    <w:rsid w:val="23A94469"/>
    <w:rsid w:val="23BF7711"/>
    <w:rsid w:val="24276259"/>
    <w:rsid w:val="24FD0C21"/>
    <w:rsid w:val="25710F8D"/>
    <w:rsid w:val="259676C3"/>
    <w:rsid w:val="26F01855"/>
    <w:rsid w:val="27466BCE"/>
    <w:rsid w:val="28BE1D22"/>
    <w:rsid w:val="296F6CA5"/>
    <w:rsid w:val="29BF4E64"/>
    <w:rsid w:val="29EC4A02"/>
    <w:rsid w:val="2AAA0470"/>
    <w:rsid w:val="2B3B6B84"/>
    <w:rsid w:val="2C032914"/>
    <w:rsid w:val="2CAE5D87"/>
    <w:rsid w:val="2D0210E4"/>
    <w:rsid w:val="2D78338E"/>
    <w:rsid w:val="2DBF1B7C"/>
    <w:rsid w:val="2DE1972C"/>
    <w:rsid w:val="2E856F7F"/>
    <w:rsid w:val="2EEC4418"/>
    <w:rsid w:val="2F1D3C51"/>
    <w:rsid w:val="2F391D1E"/>
    <w:rsid w:val="2F77A7BC"/>
    <w:rsid w:val="2F93D5E2"/>
    <w:rsid w:val="2FB3383A"/>
    <w:rsid w:val="2FDA231B"/>
    <w:rsid w:val="2FDF7CFA"/>
    <w:rsid w:val="2FF4C9CC"/>
    <w:rsid w:val="2FFEF457"/>
    <w:rsid w:val="309A2164"/>
    <w:rsid w:val="30E019C1"/>
    <w:rsid w:val="30FE3B39"/>
    <w:rsid w:val="313F1AA3"/>
    <w:rsid w:val="31C00626"/>
    <w:rsid w:val="33602717"/>
    <w:rsid w:val="33EF3314"/>
    <w:rsid w:val="34F7F5C7"/>
    <w:rsid w:val="35941D23"/>
    <w:rsid w:val="35E5295E"/>
    <w:rsid w:val="360C62D3"/>
    <w:rsid w:val="361E75C2"/>
    <w:rsid w:val="36507765"/>
    <w:rsid w:val="37972896"/>
    <w:rsid w:val="37CD1D12"/>
    <w:rsid w:val="37DF3E3B"/>
    <w:rsid w:val="37F73B6F"/>
    <w:rsid w:val="38E265EF"/>
    <w:rsid w:val="394A14A8"/>
    <w:rsid w:val="39571135"/>
    <w:rsid w:val="3A56CAB8"/>
    <w:rsid w:val="3ACB5912"/>
    <w:rsid w:val="3ADF7491"/>
    <w:rsid w:val="3B7D0DA2"/>
    <w:rsid w:val="3B9FD7FF"/>
    <w:rsid w:val="3C727D0D"/>
    <w:rsid w:val="3D27D090"/>
    <w:rsid w:val="3D5250DF"/>
    <w:rsid w:val="3D5751DB"/>
    <w:rsid w:val="3DBF6FD3"/>
    <w:rsid w:val="3DDF0B1D"/>
    <w:rsid w:val="3DDF2AD5"/>
    <w:rsid w:val="3DFFF629"/>
    <w:rsid w:val="3E083144"/>
    <w:rsid w:val="3E1C528C"/>
    <w:rsid w:val="3EAF264F"/>
    <w:rsid w:val="3EF72487"/>
    <w:rsid w:val="3EFE5F4F"/>
    <w:rsid w:val="3F3874BF"/>
    <w:rsid w:val="3F5B3582"/>
    <w:rsid w:val="3F68132A"/>
    <w:rsid w:val="3F7BA462"/>
    <w:rsid w:val="3F7D0419"/>
    <w:rsid w:val="3F876183"/>
    <w:rsid w:val="3F9F517B"/>
    <w:rsid w:val="3FAB0B2F"/>
    <w:rsid w:val="3FBE68CE"/>
    <w:rsid w:val="3FDF486B"/>
    <w:rsid w:val="3FDF784A"/>
    <w:rsid w:val="3FF32DE2"/>
    <w:rsid w:val="3FFB4901"/>
    <w:rsid w:val="3FFBE830"/>
    <w:rsid w:val="3FFF08D1"/>
    <w:rsid w:val="40592909"/>
    <w:rsid w:val="41A80C4A"/>
    <w:rsid w:val="42117A10"/>
    <w:rsid w:val="426C1E97"/>
    <w:rsid w:val="42C376F5"/>
    <w:rsid w:val="43BFE65E"/>
    <w:rsid w:val="44803A8D"/>
    <w:rsid w:val="4494321F"/>
    <w:rsid w:val="44F64161"/>
    <w:rsid w:val="457B7329"/>
    <w:rsid w:val="45933F2C"/>
    <w:rsid w:val="46C92F6B"/>
    <w:rsid w:val="47317E50"/>
    <w:rsid w:val="474A5616"/>
    <w:rsid w:val="48492DD3"/>
    <w:rsid w:val="48896B80"/>
    <w:rsid w:val="4A0749E0"/>
    <w:rsid w:val="4ACA1E61"/>
    <w:rsid w:val="4B225A1B"/>
    <w:rsid w:val="4B3F824C"/>
    <w:rsid w:val="4BD81B39"/>
    <w:rsid w:val="4BFDD07C"/>
    <w:rsid w:val="4C406C12"/>
    <w:rsid w:val="4C807C01"/>
    <w:rsid w:val="4CB63B1D"/>
    <w:rsid w:val="4CD107DB"/>
    <w:rsid w:val="4DFFCDBF"/>
    <w:rsid w:val="4E1C02BC"/>
    <w:rsid w:val="4E4955A2"/>
    <w:rsid w:val="4E881344"/>
    <w:rsid w:val="4E9F6F34"/>
    <w:rsid w:val="4EE957FB"/>
    <w:rsid w:val="4EF3713A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BB0632"/>
    <w:rsid w:val="50F315DD"/>
    <w:rsid w:val="51C42DFA"/>
    <w:rsid w:val="53DA03F2"/>
    <w:rsid w:val="543B135F"/>
    <w:rsid w:val="549F654B"/>
    <w:rsid w:val="55BB769D"/>
    <w:rsid w:val="56C77C50"/>
    <w:rsid w:val="56FB3E48"/>
    <w:rsid w:val="56FF1718"/>
    <w:rsid w:val="5779764C"/>
    <w:rsid w:val="57E776B2"/>
    <w:rsid w:val="58FBFDAE"/>
    <w:rsid w:val="59673956"/>
    <w:rsid w:val="59DA2AD5"/>
    <w:rsid w:val="5AED8A17"/>
    <w:rsid w:val="5B7F312F"/>
    <w:rsid w:val="5B9725E1"/>
    <w:rsid w:val="5BD12960"/>
    <w:rsid w:val="5BD7AE8C"/>
    <w:rsid w:val="5BEF1D62"/>
    <w:rsid w:val="5BEFD16F"/>
    <w:rsid w:val="5BF7F56E"/>
    <w:rsid w:val="5C8A0DC8"/>
    <w:rsid w:val="5CD21A5C"/>
    <w:rsid w:val="5CDE88CA"/>
    <w:rsid w:val="5D553BC7"/>
    <w:rsid w:val="5D71349C"/>
    <w:rsid w:val="5D8F1A48"/>
    <w:rsid w:val="5DCCF7A9"/>
    <w:rsid w:val="5DD9C1FB"/>
    <w:rsid w:val="5DEFA785"/>
    <w:rsid w:val="5DF73AF4"/>
    <w:rsid w:val="5DF7626D"/>
    <w:rsid w:val="5E7FE17F"/>
    <w:rsid w:val="5EDB9FA8"/>
    <w:rsid w:val="5F5588A4"/>
    <w:rsid w:val="5F5EE250"/>
    <w:rsid w:val="5F6E5B06"/>
    <w:rsid w:val="5F6F246F"/>
    <w:rsid w:val="5FD5211B"/>
    <w:rsid w:val="5FEB6615"/>
    <w:rsid w:val="5FEF87A6"/>
    <w:rsid w:val="5FFCD7F1"/>
    <w:rsid w:val="5FFFDD61"/>
    <w:rsid w:val="60632F76"/>
    <w:rsid w:val="607910EF"/>
    <w:rsid w:val="615604F6"/>
    <w:rsid w:val="617A0662"/>
    <w:rsid w:val="61AC31DA"/>
    <w:rsid w:val="656E26D1"/>
    <w:rsid w:val="65826E09"/>
    <w:rsid w:val="658F4CE3"/>
    <w:rsid w:val="65DFF780"/>
    <w:rsid w:val="65F59977"/>
    <w:rsid w:val="665F46F0"/>
    <w:rsid w:val="667FD166"/>
    <w:rsid w:val="66C5E42B"/>
    <w:rsid w:val="671A0556"/>
    <w:rsid w:val="675E2559"/>
    <w:rsid w:val="676607AE"/>
    <w:rsid w:val="677F8887"/>
    <w:rsid w:val="67DF2360"/>
    <w:rsid w:val="68067873"/>
    <w:rsid w:val="68AA626A"/>
    <w:rsid w:val="6938741B"/>
    <w:rsid w:val="6951448C"/>
    <w:rsid w:val="699619EE"/>
    <w:rsid w:val="69D2253C"/>
    <w:rsid w:val="69FB6ED2"/>
    <w:rsid w:val="69FF831F"/>
    <w:rsid w:val="6AC7CC92"/>
    <w:rsid w:val="6B5CB483"/>
    <w:rsid w:val="6B90138F"/>
    <w:rsid w:val="6C223CED"/>
    <w:rsid w:val="6C3D4F3B"/>
    <w:rsid w:val="6CA832AF"/>
    <w:rsid w:val="6CF52EE2"/>
    <w:rsid w:val="6D5918CA"/>
    <w:rsid w:val="6EF2F53B"/>
    <w:rsid w:val="6EFD1B82"/>
    <w:rsid w:val="6EFF9FE2"/>
    <w:rsid w:val="6F2D08DE"/>
    <w:rsid w:val="6F4E133D"/>
    <w:rsid w:val="6F778864"/>
    <w:rsid w:val="6F7D0592"/>
    <w:rsid w:val="6F9FB347"/>
    <w:rsid w:val="6F9FCC0F"/>
    <w:rsid w:val="6FB5032C"/>
    <w:rsid w:val="6FBF5C92"/>
    <w:rsid w:val="6FC72CA1"/>
    <w:rsid w:val="6FE6CDF3"/>
    <w:rsid w:val="6FFABE8E"/>
    <w:rsid w:val="6FFB56F4"/>
    <w:rsid w:val="6FFFAB7D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3F106FE"/>
    <w:rsid w:val="74441817"/>
    <w:rsid w:val="7497ADF1"/>
    <w:rsid w:val="74D44721"/>
    <w:rsid w:val="74E340C4"/>
    <w:rsid w:val="74FA0934"/>
    <w:rsid w:val="755D76C6"/>
    <w:rsid w:val="75F5242E"/>
    <w:rsid w:val="75FE1B2A"/>
    <w:rsid w:val="76423197"/>
    <w:rsid w:val="76B334E5"/>
    <w:rsid w:val="76FFEAEB"/>
    <w:rsid w:val="776CD909"/>
    <w:rsid w:val="77B77E41"/>
    <w:rsid w:val="77B8283E"/>
    <w:rsid w:val="77BDDBD9"/>
    <w:rsid w:val="77E5C491"/>
    <w:rsid w:val="77EFC9D3"/>
    <w:rsid w:val="77F70206"/>
    <w:rsid w:val="77F9AAFE"/>
    <w:rsid w:val="77FE51BA"/>
    <w:rsid w:val="78CE49F4"/>
    <w:rsid w:val="78FB1F24"/>
    <w:rsid w:val="79733540"/>
    <w:rsid w:val="797A6599"/>
    <w:rsid w:val="798B64D5"/>
    <w:rsid w:val="79C74A9A"/>
    <w:rsid w:val="79E319F1"/>
    <w:rsid w:val="7A7F7927"/>
    <w:rsid w:val="7AFF6FCA"/>
    <w:rsid w:val="7B762A49"/>
    <w:rsid w:val="7B7E5D4E"/>
    <w:rsid w:val="7BAB985B"/>
    <w:rsid w:val="7BBA0112"/>
    <w:rsid w:val="7BBD180B"/>
    <w:rsid w:val="7BC311C4"/>
    <w:rsid w:val="7BEFDCCD"/>
    <w:rsid w:val="7C73C307"/>
    <w:rsid w:val="7C7C4CEE"/>
    <w:rsid w:val="7CE359F9"/>
    <w:rsid w:val="7CFF21A6"/>
    <w:rsid w:val="7D5AB147"/>
    <w:rsid w:val="7D5FC8B1"/>
    <w:rsid w:val="7D6D8C2E"/>
    <w:rsid w:val="7D7D0FC1"/>
    <w:rsid w:val="7D846BF9"/>
    <w:rsid w:val="7D9552D2"/>
    <w:rsid w:val="7DAA7D84"/>
    <w:rsid w:val="7DCB42D8"/>
    <w:rsid w:val="7DD7BE02"/>
    <w:rsid w:val="7DE45A1D"/>
    <w:rsid w:val="7DE7978B"/>
    <w:rsid w:val="7DF32AE1"/>
    <w:rsid w:val="7DF388BC"/>
    <w:rsid w:val="7DFDEEF4"/>
    <w:rsid w:val="7DFF5D4D"/>
    <w:rsid w:val="7E47C90E"/>
    <w:rsid w:val="7E790FEA"/>
    <w:rsid w:val="7EAF786B"/>
    <w:rsid w:val="7EDB9FC0"/>
    <w:rsid w:val="7EDDACD4"/>
    <w:rsid w:val="7EEDCCE6"/>
    <w:rsid w:val="7F4C09CB"/>
    <w:rsid w:val="7F4FAA66"/>
    <w:rsid w:val="7F6BA7D1"/>
    <w:rsid w:val="7F7D467F"/>
    <w:rsid w:val="7FBF45B5"/>
    <w:rsid w:val="7FC164F8"/>
    <w:rsid w:val="7FC83AFA"/>
    <w:rsid w:val="7FCFB901"/>
    <w:rsid w:val="7FDBAD3B"/>
    <w:rsid w:val="7FDC31D1"/>
    <w:rsid w:val="7FDCCB21"/>
    <w:rsid w:val="7FDD4846"/>
    <w:rsid w:val="7FDE63E7"/>
    <w:rsid w:val="7FDEB89D"/>
    <w:rsid w:val="7FDF5451"/>
    <w:rsid w:val="7FDFDD81"/>
    <w:rsid w:val="7FEF8A90"/>
    <w:rsid w:val="7FF27B97"/>
    <w:rsid w:val="7FF706B7"/>
    <w:rsid w:val="7FF74079"/>
    <w:rsid w:val="7FF781AB"/>
    <w:rsid w:val="7FF798F6"/>
    <w:rsid w:val="7FFCED78"/>
    <w:rsid w:val="7FFD85D9"/>
    <w:rsid w:val="7FFF09F4"/>
    <w:rsid w:val="7FFF9331"/>
    <w:rsid w:val="7FFFE2A1"/>
    <w:rsid w:val="7FFFF7B0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9FFBEFDE"/>
    <w:rsid w:val="A147CE08"/>
    <w:rsid w:val="A5F9AA8B"/>
    <w:rsid w:val="A7DF0664"/>
    <w:rsid w:val="ADFEB675"/>
    <w:rsid w:val="AEED3933"/>
    <w:rsid w:val="AFCF9884"/>
    <w:rsid w:val="AFFC0B4B"/>
    <w:rsid w:val="B2EE356D"/>
    <w:rsid w:val="B52F4C80"/>
    <w:rsid w:val="B55F0A2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7FCE28"/>
    <w:rsid w:val="BE9E2C4F"/>
    <w:rsid w:val="BEFF512C"/>
    <w:rsid w:val="BF2F7FE7"/>
    <w:rsid w:val="BF3D0F04"/>
    <w:rsid w:val="BF7D81B7"/>
    <w:rsid w:val="BF7E9C29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3D8338"/>
    <w:rsid w:val="CDF6F0AF"/>
    <w:rsid w:val="CE3ED0A4"/>
    <w:rsid w:val="CE7F6A28"/>
    <w:rsid w:val="CFDFFE99"/>
    <w:rsid w:val="D0BE63DD"/>
    <w:rsid w:val="D3FFE5A7"/>
    <w:rsid w:val="D56FC7F5"/>
    <w:rsid w:val="D57D0DA0"/>
    <w:rsid w:val="D5D7DCE4"/>
    <w:rsid w:val="D6EF2F7C"/>
    <w:rsid w:val="D7FAE815"/>
    <w:rsid w:val="D7FB5294"/>
    <w:rsid w:val="D8FF01C3"/>
    <w:rsid w:val="D95F8B45"/>
    <w:rsid w:val="D9F8D4E2"/>
    <w:rsid w:val="DA67397D"/>
    <w:rsid w:val="DAB95810"/>
    <w:rsid w:val="DAEFCC78"/>
    <w:rsid w:val="DB9720AE"/>
    <w:rsid w:val="DBB7313A"/>
    <w:rsid w:val="DBDF370F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DFFBD4EC"/>
    <w:rsid w:val="E7AF7C0F"/>
    <w:rsid w:val="E7BF0CB5"/>
    <w:rsid w:val="E7F13810"/>
    <w:rsid w:val="EB77F258"/>
    <w:rsid w:val="EBCAC3EE"/>
    <w:rsid w:val="EC7BD0CC"/>
    <w:rsid w:val="ED95192E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3ADE9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79108F"/>
    <w:rsid w:val="F7BDA5FD"/>
    <w:rsid w:val="F7BF83E4"/>
    <w:rsid w:val="F7EA4F65"/>
    <w:rsid w:val="F7EEE370"/>
    <w:rsid w:val="F7F5CCF9"/>
    <w:rsid w:val="F7F6327C"/>
    <w:rsid w:val="F7FF92AB"/>
    <w:rsid w:val="F7FFFCFA"/>
    <w:rsid w:val="F92FDC7C"/>
    <w:rsid w:val="F9B548CA"/>
    <w:rsid w:val="F9DECA2B"/>
    <w:rsid w:val="FABFDDF5"/>
    <w:rsid w:val="FAEE7056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746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8740"/>
    <w:rsid w:val="FFF8E052"/>
    <w:rsid w:val="FFFD2AD4"/>
    <w:rsid w:val="FFFD7948"/>
    <w:rsid w:val="FFFDD3E6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5530</Words>
  <Characters>7660</Characters>
  <Lines>0</Lines>
  <Paragraphs>0</Paragraphs>
  <TotalTime>2</TotalTime>
  <ScaleCrop>false</ScaleCrop>
  <LinksUpToDate>false</LinksUpToDate>
  <CharactersWithSpaces>7692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2022-04-02T15:18:00Z</dcterms:created>
  <dc:creator>zhou</dc:creator>
  <cp:lastModifiedBy>Zine</cp:lastModifiedBy>
  <cp:lastPrinted>2022-06-14T01:03:00Z</cp:lastPrinted>
  <dcterms:modified xsi:type="dcterms:W3CDTF">2023-03-07T12:02:13Z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D365AF89AAA44BC695CEBBE55F33CB2B</vt:lpwstr>
  </property>
</Properties>
</file>