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Pi Model Doctor - Auto Configurator 实施方案 v3</w:t>
      </w:r>
    </w:p>
    <w:p>
      <w:pPr>
        <w:jc w:val="center"/>
      </w:pPr>
      <w:r>
        <w:rPr>
          <w:i/>
          <w:color w:val="595959"/>
          <w:sz w:val="22"/>
        </w:rPr>
        <w:t>最终验收规范修订版 · 本文定义产品边界、工程合同、安全规则与验收矩阵</w:t>
      </w:r>
    </w:p>
    <w:p>
      <w:pPr>
        <w:pStyle w:val="Heading1"/>
      </w:pPr>
      <w:r>
        <w:t>0. 文档状态与规范用语</w:t>
      </w:r>
    </w:p>
    <w:p>
      <w:r>
        <w:t>本文将原 v3 的方向性方案收敛为可执行、可测试、可验收的工程规范。实现与验收均以本文为准；若 Pi SDK、models.dev schema 或正式 models.json schema 发生变化，应先更新兼容性基线和本文，再扩展自动写入行为。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  <w:vAlign w:val="center"/>
            <w:shd w:fill="D9EAF7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8352"/>
            <w:vAlign w:val="center"/>
            <w:shd w:fill="D9EAF7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1728"/>
            <w:vAlign w:val="center"/>
          </w:tcPr>
          <w:p>
            <w:r>
              <w:t>必须 / 不得</w:t>
            </w:r>
          </w:p>
        </w:tc>
        <w:tc>
          <w:tcPr>
            <w:tcW w:type="dxa" w:w="8352"/>
            <w:vAlign w:val="center"/>
          </w:tcPr>
          <w:p>
            <w:r>
              <w:t>强制要求；不满足即验收失败。</w:t>
            </w:r>
          </w:p>
        </w:tc>
      </w:tr>
      <w:tr>
        <w:tc>
          <w:tcPr>
            <w:tcW w:type="dxa" w:w="1728"/>
            <w:vAlign w:val="center"/>
          </w:tcPr>
          <w:p>
            <w:r>
              <w:t>应该 / 不应该</w:t>
            </w:r>
          </w:p>
        </w:tc>
        <w:tc>
          <w:tcPr>
            <w:tcW w:type="dxa" w:w="8352"/>
            <w:vAlign w:val="center"/>
          </w:tcPr>
          <w:p>
            <w:r>
              <w:t>默认要求；如偏离，必须记录理由、风险与替代验证。</w:t>
            </w:r>
          </w:p>
        </w:tc>
      </w:tr>
      <w:tr>
        <w:tc>
          <w:tcPr>
            <w:tcW w:type="dxa" w:w="1728"/>
            <w:vAlign w:val="center"/>
          </w:tcPr>
          <w:p>
            <w:r>
              <w:t>可以</w:t>
            </w:r>
          </w:p>
        </w:tc>
        <w:tc>
          <w:tcPr>
            <w:tcW w:type="dxa" w:w="8352"/>
            <w:vAlign w:val="center"/>
          </w:tcPr>
          <w:p>
            <w:r>
              <w:t>可选能力，不作为基础验收阻断项。</w:t>
            </w:r>
          </w:p>
        </w:tc>
      </w:tr>
      <w:tr>
        <w:tc>
          <w:tcPr>
            <w:tcW w:type="dxa" w:w="1728"/>
            <w:vAlign w:val="center"/>
          </w:tcPr>
          <w:p>
            <w:r>
              <w:t>运行时字段</w:t>
            </w:r>
          </w:p>
        </w:tc>
        <w:tc>
          <w:tcPr>
            <w:tcW w:type="dxa" w:w="8352"/>
            <w:vAlign w:val="center"/>
          </w:tcPr>
          <w:p>
            <w:r>
              <w:t>Pi 正式 schema 或 SDK 明确消费的字段。</w:t>
            </w:r>
          </w:p>
        </w:tc>
      </w:tr>
      <w:tr>
        <w:tc>
          <w:tcPr>
            <w:tcW w:type="dxa" w:w="1728"/>
            <w:vAlign w:val="center"/>
          </w:tcPr>
          <w:p>
            <w:r>
              <w:t>兼容/策略元数据</w:t>
            </w:r>
          </w:p>
        </w:tc>
        <w:tc>
          <w:tcPr>
            <w:tcW w:type="dxa" w:w="8352"/>
            <w:vAlign w:val="center"/>
          </w:tcPr>
          <w:p>
            <w:r>
              <w:t>Doctor 自身用于解释、审计或 fallback 的信息；不得宣称 Pi 运行时一定消费。</w:t>
            </w:r>
          </w:p>
        </w:tc>
      </w:tr>
    </w:tbl>
    <w:p/>
    <w:p>
      <w:r>
        <w:t>版本基线：实现必须记录所依据的 Pi 版本、models.dev schema 版本/观测日期、PolicyCatalog schemaVersion 和 _piModelDoctor metadata version。</w:t>
      </w:r>
    </w:p>
    <w:p>
      <w:pPr>
        <w:pStyle w:val="Heading1"/>
      </w:pPr>
      <w:r>
        <w:t>1. 核心定位、范围与非目标</w:t>
      </w:r>
    </w:p>
    <w:p>
      <w:pPr>
        <w:pStyle w:val="Heading2"/>
      </w:pPr>
      <w:r>
        <w:t>1.1 核心定位</w:t>
      </w:r>
    </w:p>
    <w:p>
      <w:r>
        <w:t>Pi Model Doctor 是 Pi 的模型配置与生命周期维护扩展。它不是无条件配置生成器，也不是 provider 行为的权威来源。其职责是：发现候选模型、归一化外部 metadata、生成保守的配置建议、检查配置漂移、在用户授权后安全修复，以及协助模型迁移。</w:t>
      </w:r>
    </w:p>
    <w:p>
      <w:pPr>
        <w:pStyle w:val="ListBullet"/>
      </w:pPr>
      <w:r>
        <w:t>自动发现 provider/model 候选，并明确匹配依据和置信度。</w:t>
      </w:r>
    </w:p>
    <w:p>
      <w:pPr>
        <w:pStyle w:val="ListBullet"/>
      </w:pPr>
      <w:r>
        <w:t>从 models.dev、Pi runtime/built-in metadata 和本地配置中补全模型知识。</w:t>
      </w:r>
    </w:p>
    <w:p>
      <w:pPr>
        <w:pStyle w:val="ListBullet"/>
      </w:pPr>
      <w:r>
        <w:t>维护 models.json，同时保护用户显式修改和未知字段。</w:t>
      </w:r>
    </w:p>
    <w:p>
      <w:pPr>
        <w:pStyle w:val="ListBullet"/>
      </w:pPr>
      <w:r>
        <w:t>将确定性差异作为 repair，将主观选择作为 recommendation。</w:t>
      </w:r>
    </w:p>
    <w:p>
      <w:pPr>
        <w:pStyle w:val="ListBullet"/>
      </w:pPr>
      <w:r>
        <w:t>对无法由 Pi 直接表达的能力生成 advisory policy 或 warning，而非伪装为已启用。</w:t>
      </w:r>
    </w:p>
    <w:p>
      <w:pPr>
        <w:pStyle w:val="Heading2"/>
      </w:pPr>
      <w:r>
        <w:t>1.2 非目标</w:t>
      </w:r>
    </w:p>
    <w:p>
      <w:pPr>
        <w:pStyle w:val="ListBullet"/>
      </w:pPr>
      <w:r>
        <w:t>不保证 models.dev 中每个模型都能自动生成可运行配置。</w:t>
      </w:r>
    </w:p>
    <w:p>
      <w:pPr>
        <w:pStyle w:val="ListBullet"/>
      </w:pPr>
      <w:r>
        <w:t>不自动验证模型质量、吞吐、延迟或“最佳”模型；没有用户偏好时不得执行主观优化。</w:t>
      </w:r>
    </w:p>
    <w:p>
      <w:pPr>
        <w:pStyle w:val="ListBullet"/>
      </w:pPr>
      <w:r>
        <w:t>不自动删除 deprecated 模型。</w:t>
      </w:r>
    </w:p>
    <w:p>
      <w:pPr>
        <w:pStyle w:val="ListBullet"/>
      </w:pPr>
      <w:r>
        <w:t>不自动复制或迁移 API key、Authorization、OAuth、cookie、secret headers。</w:t>
      </w:r>
    </w:p>
    <w:p>
      <w:pPr>
        <w:pStyle w:val="ListBullet"/>
      </w:pPr>
      <w:r>
        <w:t>不替代 provider 官方文档，也不将 models.dev 视为唯一权威来源。</w:t>
      </w:r>
    </w:p>
    <w:p>
      <w:pPr>
        <w:pStyle w:val="ListBullet"/>
      </w:pPr>
      <w:r>
        <w:t>不对任意 endpoint 默认执行带凭据的主动网络探测。</w:t>
      </w:r>
    </w:p>
    <w:p>
      <w:pPr>
        <w:pStyle w:val="Heading2"/>
      </w:pPr>
      <w:r>
        <w:t>1.3 能力结果分级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vAlign w:val="center"/>
            <w:shd w:fill="D9EAF7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5328"/>
            <w:vAlign w:val="center"/>
            <w:shd w:fill="D9EAF7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3024"/>
            <w:vAlign w:val="center"/>
            <w:shd w:fill="D9EAF7"/>
          </w:tcPr>
          <w:p>
            <w:r>
              <w:rPr>
                <w:b/>
              </w:rPr>
              <w:t>允许行为</w:t>
            </w:r>
          </w:p>
        </w:tc>
      </w:tr>
      <w:tr>
        <w:tc>
          <w:tcPr>
            <w:tcW w:type="dxa" w:w="2016"/>
            <w:vAlign w:val="center"/>
          </w:tcPr>
          <w:p>
            <w:r>
              <w:t>resolved</w:t>
            </w:r>
          </w:p>
        </w:tc>
        <w:tc>
          <w:tcPr>
            <w:tcW w:type="dxa" w:w="5328"/>
            <w:vAlign w:val="center"/>
          </w:tcPr>
          <w:p>
            <w:r>
              <w:t>来源一致、身份明确、Pi 有正式表达方式。</w:t>
            </w:r>
          </w:p>
        </w:tc>
        <w:tc>
          <w:tcPr>
            <w:tcW w:type="dxa" w:w="3024"/>
            <w:vAlign w:val="center"/>
          </w:tcPr>
          <w:p>
            <w:r>
              <w:t>可进入 managed repair plan。</w:t>
            </w:r>
          </w:p>
        </w:tc>
      </w:tr>
      <w:tr>
        <w:tc>
          <w:tcPr>
            <w:tcW w:type="dxa" w:w="2016"/>
            <w:vAlign w:val="center"/>
          </w:tcPr>
          <w:p>
            <w:r>
              <w:t>partially-resolved</w:t>
            </w:r>
          </w:p>
        </w:tc>
        <w:tc>
          <w:tcPr>
            <w:tcW w:type="dxa" w:w="5328"/>
            <w:vAlign w:val="center"/>
          </w:tcPr>
          <w:p>
            <w:r>
              <w:t>部分字段可表达，部分只能 advisory。</w:t>
            </w:r>
          </w:p>
        </w:tc>
        <w:tc>
          <w:tcPr>
            <w:tcW w:type="dxa" w:w="3024"/>
            <w:vAlign w:val="center"/>
          </w:tcPr>
          <w:p>
            <w:r>
              <w:t>仅修复确定字段，其余 warning。</w:t>
            </w:r>
          </w:p>
        </w:tc>
      </w:tr>
      <w:tr>
        <w:tc>
          <w:tcPr>
            <w:tcW w:type="dxa" w:w="2016"/>
            <w:vAlign w:val="center"/>
          </w:tcPr>
          <w:p>
            <w:r>
              <w:t>advisory-only</w:t>
            </w:r>
          </w:p>
        </w:tc>
        <w:tc>
          <w:tcPr>
            <w:tcW w:type="dxa" w:w="5328"/>
            <w:vAlign w:val="center"/>
          </w:tcPr>
          <w:p>
            <w:r>
              <w:t>检测到能力，但 Pi 无直接控制字段。</w:t>
            </w:r>
          </w:p>
        </w:tc>
        <w:tc>
          <w:tcPr>
            <w:tcW w:type="dxa" w:w="3024"/>
            <w:vAlign w:val="center"/>
          </w:tcPr>
          <w:p>
            <w:r>
              <w:t>只记录策略/提示，不宣称启用。</w:t>
            </w:r>
          </w:p>
        </w:tc>
      </w:tr>
      <w:tr>
        <w:tc>
          <w:tcPr>
            <w:tcW w:type="dxa" w:w="2016"/>
            <w:vAlign w:val="center"/>
          </w:tcPr>
          <w:p>
            <w:r>
              <w:t>unsupported</w:t>
            </w:r>
          </w:p>
        </w:tc>
        <w:tc>
          <w:tcPr>
            <w:tcW w:type="dxa" w:w="5328"/>
            <w:vAlign w:val="center"/>
          </w:tcPr>
          <w:p>
            <w:r>
              <w:t>Pi 协议或 adapter 无法支持。</w:t>
            </w:r>
          </w:p>
        </w:tc>
        <w:tc>
          <w:tcPr>
            <w:tcW w:type="dxa" w:w="3024"/>
            <w:vAlign w:val="center"/>
          </w:tcPr>
          <w:p>
            <w:r>
              <w:t>明确拒绝自动写入或生成保守 fallback。</w:t>
            </w:r>
          </w:p>
        </w:tc>
      </w:tr>
      <w:tr>
        <w:tc>
          <w:tcPr>
            <w:tcW w:type="dxa" w:w="2016"/>
            <w:vAlign w:val="center"/>
          </w:tcPr>
          <w:p>
            <w:r>
              <w:t>ambiguous</w:t>
            </w:r>
          </w:p>
        </w:tc>
        <w:tc>
          <w:tcPr>
            <w:tcW w:type="dxa" w:w="5328"/>
            <w:vAlign w:val="center"/>
          </w:tcPr>
          <w:p>
            <w:r>
              <w:t>存在多个 provider/model 候选。</w:t>
            </w:r>
          </w:p>
        </w:tc>
        <w:tc>
          <w:tcPr>
            <w:tcW w:type="dxa" w:w="3024"/>
            <w:vAlign w:val="center"/>
          </w:tcPr>
          <w:p>
            <w:r>
              <w:t>必须要求用户选择，不得静默选首项。</w:t>
            </w:r>
          </w:p>
        </w:tc>
      </w:tr>
    </w:tbl>
    <w:p/>
    <w:p>
      <w:pPr>
        <w:pStyle w:val="Heading1"/>
      </w:pPr>
      <w:r>
        <w:t>2. 事实来源与优先级</w:t>
      </w:r>
    </w:p>
    <w:p>
      <w:r>
        <w:t>配置值与事实判断必须区分“所有权优先级”和“可信来源优先级”。用户值优先保留，不代表其一定正确；Doctor 应报告冲突但不得静默覆盖。</w:t>
      </w:r>
    </w:p>
    <w:p>
      <w:pPr>
        <w:pStyle w:val="Heading2"/>
      </w:pPr>
      <w:r>
        <w:t>2.1 所有权优先级</w:t>
      </w:r>
    </w:p>
    <w:p>
      <w:pPr>
        <w:spacing w:before="60" w:after="120"/>
        <w:ind w:left="360" w:right="360"/>
        <w:shd w:fill="F2F2F2"/>
      </w:pPr>
      <w:r>
        <w:rPr>
          <w:rFonts w:ascii="Consolas" w:hAnsi="Consolas" w:eastAsia="Microsoft YaHei"/>
          <w:sz w:val="18"/>
        </w:rPr>
        <w:t>用户显式值</w:t>
      </w:r>
      <w:r>
        <w:br/>
      </w:r>
      <w:r>
        <w:rPr>
          <w:rFonts w:ascii="Consolas" w:hAnsi="Consolas" w:eastAsia="Microsoft YaHei"/>
          <w:sz w:val="18"/>
        </w:rPr>
        <w:t>&gt; 用户在 Doctor 写入后修改的 managed field</w:t>
      </w:r>
      <w:r>
        <w:br/>
      </w:r>
      <w:r>
        <w:rPr>
          <w:rFonts w:ascii="Consolas" w:hAnsi="Consolas" w:eastAsia="Microsoft YaHei"/>
          <w:sz w:val="18"/>
        </w:rPr>
        <w:t>&gt; Doctor 当前仍拥有的 field snapshot</w:t>
      </w:r>
      <w:r>
        <w:br/>
      </w:r>
      <w:r>
        <w:rPr>
          <w:rFonts w:ascii="Consolas" w:hAnsi="Consolas" w:eastAsia="Microsoft YaHei"/>
          <w:sz w:val="18"/>
        </w:rPr>
        <w:t>&gt; 新发现的 metadata 建议</w:t>
      </w:r>
    </w:p>
    <w:p>
      <w:pPr>
        <w:pStyle w:val="Heading2"/>
      </w:pPr>
      <w:r>
        <w:t>2.2 metadata 可信来源优先级</w:t>
      </w:r>
    </w:p>
    <w:p>
      <w:pPr>
        <w:spacing w:before="60" w:after="120"/>
        <w:ind w:left="360" w:right="360"/>
        <w:shd w:fill="F2F2F2"/>
      </w:pPr>
      <w:r>
        <w:rPr>
          <w:rFonts w:ascii="Consolas" w:hAnsi="Consolas" w:eastAsia="Microsoft YaHei"/>
          <w:sz w:val="18"/>
        </w:rPr>
        <w:t>用户明确声明的代理/endpoint 意图</w:t>
      </w:r>
      <w:r>
        <w:br/>
      </w:r>
      <w:r>
        <w:rPr>
          <w:rFonts w:ascii="Consolas" w:hAnsi="Consolas" w:eastAsia="Microsoft YaHei"/>
          <w:sz w:val="18"/>
        </w:rPr>
        <w:t>&gt; 已验证的当前 Pi runtime/provider metadata</w:t>
      </w:r>
      <w:r>
        <w:br/>
      </w:r>
      <w:r>
        <w:rPr>
          <w:rFonts w:ascii="Consolas" w:hAnsi="Consolas" w:eastAsia="Microsoft YaHei"/>
          <w:sz w:val="18"/>
        </w:rPr>
        <w:t>&gt; Pi built-in model/provider metadata</w:t>
      </w:r>
      <w:r>
        <w:br/>
      </w:r>
      <w:r>
        <w:rPr>
          <w:rFonts w:ascii="Consolas" w:hAnsi="Consolas" w:eastAsia="Microsoft YaHei"/>
          <w:sz w:val="18"/>
        </w:rPr>
        <w:t>&gt; provider 官方 metadata（如存在且可验证）</w:t>
      </w:r>
      <w:r>
        <w:br/>
      </w:r>
      <w:r>
        <w:rPr>
          <w:rFonts w:ascii="Consolas" w:hAnsi="Consolas" w:eastAsia="Microsoft YaHei"/>
          <w:sz w:val="18"/>
        </w:rPr>
        <w:t>&gt; models.dev catalog</w:t>
      </w:r>
      <w:r>
        <w:br/>
      </w:r>
      <w:r>
        <w:rPr>
          <w:rFonts w:ascii="Consolas" w:hAnsi="Consolas" w:eastAsia="Microsoft YaHei"/>
          <w:sz w:val="18"/>
        </w:rPr>
        <w:t>&gt; conservative fallback</w:t>
      </w:r>
    </w:p>
    <w:p>
      <w:r>
        <w:t>来源冲突时必须生成 finding，记录来源和选择理由。models.dev 不得直接覆盖用户代理 endpoint、headers、temperature 或任意未知兼容字段。</w:t>
      </w:r>
    </w:p>
    <w:p>
      <w:pPr>
        <w:pStyle w:val="Heading1"/>
      </w:pPr>
      <w:r>
        <w:t>3. Pi 集成边界与运行时生效</w:t>
      </w:r>
    </w:p>
    <w:p>
      <w:pPr>
        <w:pStyle w:val="Heading2"/>
      </w:pPr>
      <w:r>
        <w:t>3.1 持久化与运行时注册必须分层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vAlign w:val="center"/>
            <w:shd w:fill="D9EAF7"/>
          </w:tcPr>
          <w:p>
            <w:r>
              <w:rPr>
                <w:b/>
              </w:rPr>
              <w:t>层</w:t>
            </w:r>
          </w:p>
        </w:tc>
        <w:tc>
          <w:tcPr>
            <w:tcW w:type="dxa" w:w="3888"/>
            <w:vAlign w:val="center"/>
            <w:shd w:fill="D9EAF7"/>
          </w:tcPr>
          <w:p>
            <w:r>
              <w:rPr>
                <w:b/>
              </w:rPr>
              <w:t>机制</w:t>
            </w:r>
          </w:p>
        </w:tc>
        <w:tc>
          <w:tcPr>
            <w:tcW w:type="dxa" w:w="4608"/>
            <w:vAlign w:val="center"/>
            <w:shd w:fill="D9EAF7"/>
          </w:tcPr>
          <w:p>
            <w:r>
              <w:rPr>
                <w:b/>
              </w:rPr>
              <w:t>语义</w:t>
            </w:r>
          </w:p>
        </w:tc>
      </w:tr>
      <w:tr>
        <w:tc>
          <w:tcPr>
            <w:tcW w:type="dxa" w:w="1872"/>
            <w:vAlign w:val="center"/>
          </w:tcPr>
          <w:p>
            <w:r>
              <w:t>运行时激活</w:t>
            </w:r>
          </w:p>
        </w:tc>
        <w:tc>
          <w:tcPr>
            <w:tcW w:type="dxa" w:w="3888"/>
            <w:vAlign w:val="center"/>
          </w:tcPr>
          <w:p>
            <w:r>
              <w:t>pi.registerProvider()、runtime registry 或受支持的 reload API</w:t>
            </w:r>
          </w:p>
        </w:tc>
        <w:tc>
          <w:tcPr>
            <w:tcW w:type="dxa" w:w="4608"/>
            <w:vAlign w:val="center"/>
          </w:tcPr>
          <w:p>
            <w:r>
              <w:t>影响当前 Pi 进程；不等同于持久化。</w:t>
            </w:r>
          </w:p>
        </w:tc>
      </w:tr>
      <w:tr>
        <w:tc>
          <w:tcPr>
            <w:tcW w:type="dxa" w:w="1872"/>
            <w:vAlign w:val="center"/>
          </w:tcPr>
          <w:p>
            <w:r>
              <w:t>持久化</w:t>
            </w:r>
          </w:p>
        </w:tc>
        <w:tc>
          <w:tcPr>
            <w:tcW w:type="dxa" w:w="3888"/>
            <w:vAlign w:val="center"/>
          </w:tcPr>
          <w:p>
            <w:r>
              <w:t>JSONC-aware parser/merge + validated atomic write</w:t>
            </w:r>
          </w:p>
        </w:tc>
        <w:tc>
          <w:tcPr>
            <w:tcW w:type="dxa" w:w="4608"/>
            <w:vAlign w:val="center"/>
          </w:tcPr>
          <w:p>
            <w:r>
              <w:t>更新 agent directory 下的 models.json。</w:t>
            </w:r>
          </w:p>
        </w:tc>
      </w:tr>
      <w:tr>
        <w:tc>
          <w:tcPr>
            <w:tcW w:type="dxa" w:w="1872"/>
            <w:vAlign w:val="center"/>
          </w:tcPr>
          <w:p>
            <w:r>
              <w:t>动态 catalog</w:t>
            </w:r>
          </w:p>
        </w:tc>
        <w:tc>
          <w:tcPr>
            <w:tcW w:type="dxa" w:w="3888"/>
            <w:vAlign w:val="center"/>
          </w:tcPr>
          <w:p>
            <w:r>
              <w:t>provider refresh/context.store（若使用）</w:t>
            </w:r>
          </w:p>
        </w:tc>
        <w:tc>
          <w:tcPr>
            <w:tcW w:type="dxa" w:w="4608"/>
            <w:vAlign w:val="center"/>
          </w:tcPr>
          <w:p>
            <w:r>
              <w:t>provider-specific；不得与 models.json backup 混为一谈。</w:t>
            </w:r>
          </w:p>
        </w:tc>
      </w:tr>
    </w:tbl>
    <w:p/>
    <w:p>
      <w:r>
        <w:t>不得把 pi.registerProvider() 描述为通用 models.json 写入 API。若目标 Pi 版本没有稳定的持久化 API，必须明确采用 parser/merge 作为持久化方案，不应保留含糊的“官方配置 API 优先”。</w:t>
      </w:r>
    </w:p>
    <w:p>
      <w:r>
        <w:t>禁止 raw overwrite fallback：models.json 解析或验证失败时必须停止，不能通过裸 JSON 覆盖绕过安全检查。</w:t>
      </w:r>
    </w:p>
    <w:p>
      <w:pPr>
        <w:pStyle w:val="Heading2"/>
      </w:pPr>
      <w:r>
        <w:t>3.2 写入后的状态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vAlign w:val="center"/>
            <w:shd w:fill="D9EAF7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7056"/>
            <w:vAlign w:val="center"/>
            <w:shd w:fill="D9EAF7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3312"/>
            <w:vAlign w:val="center"/>
          </w:tcPr>
          <w:p>
            <w:r>
              <w:t>persisted-and-active</w:t>
            </w:r>
          </w:p>
        </w:tc>
        <w:tc>
          <w:tcPr>
            <w:tcW w:type="dxa" w:w="7056"/>
            <w:vAlign w:val="center"/>
          </w:tcPr>
          <w:p>
            <w:r>
              <w:t>配置已持久化且当前 runtime 已验证可见。</w:t>
            </w:r>
          </w:p>
        </w:tc>
      </w:tr>
      <w:tr>
        <w:tc>
          <w:tcPr>
            <w:tcW w:type="dxa" w:w="3312"/>
            <w:vAlign w:val="center"/>
          </w:tcPr>
          <w:p>
            <w:r>
              <w:t>persisted-reload-required</w:t>
            </w:r>
          </w:p>
        </w:tc>
        <w:tc>
          <w:tcPr>
            <w:tcW w:type="dxa" w:w="7056"/>
            <w:vAlign w:val="center"/>
          </w:tcPr>
          <w:p>
            <w:r>
              <w:t>配置已持久化，但当前 Pi 需要 reload/restart。</w:t>
            </w:r>
          </w:p>
        </w:tc>
      </w:tr>
      <w:tr>
        <w:tc>
          <w:tcPr>
            <w:tcW w:type="dxa" w:w="3312"/>
            <w:vAlign w:val="center"/>
          </w:tcPr>
          <w:p>
            <w:r>
              <w:t>persisted-runtime-activation-failed</w:t>
            </w:r>
          </w:p>
        </w:tc>
        <w:tc>
          <w:tcPr>
            <w:tcW w:type="dxa" w:w="7056"/>
            <w:vAlign w:val="center"/>
          </w:tcPr>
          <w:p>
            <w:r>
              <w:t>文件写入成功，但 runtime reload/registration 失败；必须清楚提示。</w:t>
            </w:r>
          </w:p>
        </w:tc>
      </w:tr>
      <w:tr>
        <w:tc>
          <w:tcPr>
            <w:tcW w:type="dxa" w:w="3312"/>
            <w:vAlign w:val="center"/>
          </w:tcPr>
          <w:p>
            <w:r>
              <w:t>not-persisted</w:t>
            </w:r>
          </w:p>
        </w:tc>
        <w:tc>
          <w:tcPr>
            <w:tcW w:type="dxa" w:w="7056"/>
            <w:vAlign w:val="center"/>
          </w:tcPr>
          <w:p>
            <w:r>
              <w:t>未写入，包括 dry-run、取消、授权失败、冲突或 I/O 失败。</w:t>
            </w:r>
          </w:p>
        </w:tc>
      </w:tr>
    </w:tbl>
    <w:p/>
    <w:p>
      <w:r>
        <w:t>命令成功信息不得只说“已添加”；必须说明持久化状态、backup 路径（脱敏）和是否需要 reload。</w:t>
      </w:r>
    </w:p>
    <w:p>
      <w:pPr>
        <w:pStyle w:val="Heading1"/>
      </w:pPr>
      <w:r>
        <w:t>4. models.json 持久化与并发安全合同</w:t>
      </w:r>
    </w:p>
    <w:p>
      <w:pPr>
        <w:pStyle w:val="Heading2"/>
      </w:pPr>
      <w:r>
        <w:t>4.1 默认路径</w:t>
      </w:r>
    </w:p>
    <w:p>
      <w:r>
        <w:t>默认目标为 Pi agent directory 下的 models.json，应通过 Pi agent-directory API 解析，而不是假定所有平台都固定为 ~/.pi/agent/models.json。允许 PI_MODEL_DOCTOR_MODELS_PATH 仅用于测试或显式覆盖。</w:t>
      </w:r>
    </w:p>
    <w:p>
      <w:pPr>
        <w:pStyle w:val="Heading2"/>
      </w:pPr>
      <w:r>
        <w:t>4.2 写入状态机</w:t>
      </w:r>
    </w:p>
    <w:p>
      <w:pPr>
        <w:pStyle w:val="ListNumber"/>
      </w:pPr>
      <w:r>
        <w:t>读取并解析 JSON/JSONC；验证 root、providers、models 和必要字段。</w:t>
      </w:r>
    </w:p>
    <w:p>
      <w:pPr>
        <w:pStyle w:val="ListNumber"/>
      </w:pPr>
      <w:r>
        <w:t>保存原始文件身份信息：内容 hash，并建议保存 mtime/inode。</w:t>
      </w:r>
    </w:p>
    <w:p>
      <w:pPr>
        <w:pStyle w:val="ListNumber"/>
      </w:pPr>
      <w:r>
        <w:t>基于当前文件生成 ChangePlan，不直接修改持久化文件。</w:t>
      </w:r>
    </w:p>
    <w:p>
      <w:pPr>
        <w:pStyle w:val="ListNumber"/>
      </w:pPr>
      <w:r>
        <w:t>输出 secret-safe proposal，并进行 UI 确认或 headless 授权。</w:t>
      </w:r>
    </w:p>
    <w:p>
      <w:pPr>
        <w:pStyle w:val="ListNumber"/>
      </w:pPr>
      <w:r>
        <w:t>确认后重新读取文件；若 hash 已变化，拒绝旧计划并要求重新生成，防止 lost update。</w:t>
      </w:r>
    </w:p>
    <w:p>
      <w:pPr>
        <w:pStyle w:val="ListNumber"/>
      </w:pPr>
      <w:r>
        <w:t>创建 timestamped backup；备份失败则停止。</w:t>
      </w:r>
    </w:p>
    <w:p>
      <w:pPr>
        <w:pStyle w:val="ListNumber"/>
      </w:pPr>
      <w:r>
        <w:t>在同目录创建权限受限的临时文件，写入、flush/fsync，并继承或收紧权限。</w:t>
      </w:r>
    </w:p>
    <w:p>
      <w:pPr>
        <w:pStyle w:val="ListNumber"/>
      </w:pPr>
      <w:r>
        <w:t>atomic rename 替换目标；失败时尽力清理 temp，并保留原始错误。</w:t>
      </w:r>
    </w:p>
    <w:p>
      <w:pPr>
        <w:pStyle w:val="ListNumber"/>
      </w:pPr>
      <w:r>
        <w:t>按运行时生效合同 reload/register/verify。</w:t>
      </w:r>
    </w:p>
    <w:p>
      <w:pPr>
        <w:pStyle w:val="Heading2"/>
      </w:pPr>
      <w:r>
        <w:t>4.3 增量合并与字段保留</w:t>
      </w:r>
    </w:p>
    <w:p>
      <w:pPr>
        <w:pStyle w:val="ListBullet"/>
      </w:pPr>
      <w:r>
        <w:t>必须保留未知 top-level、provider、model 字段。</w:t>
      </w:r>
    </w:p>
    <w:p>
      <w:pPr>
        <w:pStyle w:val="ListBullet"/>
      </w:pPr>
      <w:r>
        <w:t>必须保留未涉及的 provider/model。</w:t>
      </w:r>
    </w:p>
    <w:p>
      <w:pPr>
        <w:pStyle w:val="ListBullet"/>
      </w:pPr>
      <w:r>
        <w:t>不得重排或重写与本操作无关的数据语义；格式化变化应最小化。</w:t>
      </w:r>
    </w:p>
    <w:p>
      <w:pPr>
        <w:pStyle w:val="ListBullet"/>
      </w:pPr>
      <w:r>
        <w:t>headers、apiKey、oauth、authHeader、temperature、endpoint override 和任意用户 compat 字段默认视为用户所有。</w:t>
      </w:r>
    </w:p>
    <w:p>
      <w:pPr>
        <w:pStyle w:val="ListBullet"/>
      </w:pPr>
      <w:r>
        <w:t>对 built-in provider、extension-registered provider、custom provider 和 proxy override 必须采用不同策略，不得一律复制成完整 provider。</w:t>
      </w:r>
    </w:p>
    <w:p>
      <w:pPr>
        <w:pStyle w:val="Heading2"/>
      </w:pPr>
      <w:r>
        <w:t>4.4 Provider 分类与写入策略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D9EAF7"/>
          </w:tcPr>
          <w:p>
            <w:r>
              <w:rPr>
                <w:b/>
              </w:rPr>
              <w:t>Provider 类型</w:t>
            </w:r>
          </w:p>
        </w:tc>
        <w:tc>
          <w:tcPr>
            <w:tcW w:type="dxa" w:w="7776"/>
            <w:vAlign w:val="center"/>
            <w:shd w:fill="D9EAF7"/>
          </w:tcPr>
          <w:p>
            <w:r>
              <w:rPr>
                <w:b/>
              </w:rPr>
              <w:t>默认策略</w:t>
            </w:r>
          </w:p>
        </w:tc>
      </w:tr>
      <w:tr>
        <w:tc>
          <w:tcPr>
            <w:tcW w:type="dxa" w:w="2592"/>
            <w:vAlign w:val="center"/>
          </w:tcPr>
          <w:p>
            <w:r>
              <w:t>Pi built-in</w:t>
            </w:r>
          </w:p>
        </w:tc>
        <w:tc>
          <w:tcPr>
            <w:tcW w:type="dxa" w:w="7776"/>
            <w:vAlign w:val="center"/>
          </w:tcPr>
          <w:p>
            <w:r>
              <w:t>优先使用 modelOverrides 或最小 override；避免复制整份 built-in catalog。</w:t>
            </w:r>
          </w:p>
        </w:tc>
      </w:tr>
      <w:tr>
        <w:tc>
          <w:tcPr>
            <w:tcW w:type="dxa" w:w="2592"/>
            <w:vAlign w:val="center"/>
          </w:tcPr>
          <w:p>
            <w:r>
              <w:t>models.json custom</w:t>
            </w:r>
          </w:p>
        </w:tc>
        <w:tc>
          <w:tcPr>
            <w:tcW w:type="dxa" w:w="7776"/>
            <w:vAlign w:val="center"/>
          </w:tcPr>
          <w:p>
            <w:r>
              <w:t>在现有 provider 中增量 merge。</w:t>
            </w:r>
          </w:p>
        </w:tc>
      </w:tr>
      <w:tr>
        <w:tc>
          <w:tcPr>
            <w:tcW w:type="dxa" w:w="2592"/>
            <w:vAlign w:val="center"/>
          </w:tcPr>
          <w:p>
            <w:r>
              <w:t>extension-registered</w:t>
            </w:r>
          </w:p>
        </w:tc>
        <w:tc>
          <w:tcPr>
            <w:tcW w:type="dxa" w:w="7776"/>
            <w:vAlign w:val="center"/>
          </w:tcPr>
          <w:p>
            <w:r>
              <w:t>运行时 metadata 只读参考；持久化前必须确认是否需要独立 models.json override。</w:t>
            </w:r>
          </w:p>
        </w:tc>
      </w:tr>
      <w:tr>
        <w:tc>
          <w:tcPr>
            <w:tcW w:type="dxa" w:w="2592"/>
            <w:vAlign w:val="center"/>
          </w:tcPr>
          <w:p>
            <w:r>
              <w:t>proxy override</w:t>
            </w:r>
          </w:p>
        </w:tc>
        <w:tc>
          <w:tcPr>
            <w:tcW w:type="dxa" w:w="7776"/>
            <w:vAlign w:val="center"/>
          </w:tcPr>
          <w:p>
            <w:r>
              <w:t>endpoint/API/headers 视为用户意图，不自动还原官方 endpoint。</w:t>
            </w:r>
          </w:p>
        </w:tc>
      </w:tr>
      <w:tr>
        <w:tc>
          <w:tcPr>
            <w:tcW w:type="dxa" w:w="2592"/>
            <w:vAlign w:val="center"/>
          </w:tcPr>
          <w:p>
            <w:r>
              <w:t>unknown</w:t>
            </w:r>
          </w:p>
        </w:tc>
        <w:tc>
          <w:tcPr>
            <w:tcW w:type="dxa" w:w="7776"/>
            <w:vAlign w:val="center"/>
          </w:tcPr>
          <w:p>
            <w:r>
              <w:t>生成 advisory 或要求显式 endpoint/API，不猜测凭据。</w:t>
            </w:r>
          </w:p>
        </w:tc>
      </w:tr>
    </w:tbl>
    <w:p/>
    <w:p>
      <w:pPr>
        <w:pStyle w:val="Heading2"/>
      </w:pPr>
      <w:r>
        <w:t>4.5 Backup 与回滚</w:t>
      </w:r>
    </w:p>
    <w:p>
      <w:pPr>
        <w:pStyle w:val="ListBullet"/>
      </w:pPr>
      <w:r>
        <w:t>backup 包含与原 models.json 相同的敏感信息，文档必须明确提示。</w:t>
      </w:r>
    </w:p>
    <w:p>
      <w:pPr>
        <w:pStyle w:val="ListBullet"/>
      </w:pPr>
      <w:r>
        <w:t>backup 权限不得宽于原文件；新文件默认仅当前用户可读写。</w:t>
      </w:r>
    </w:p>
    <w:p>
      <w:pPr>
        <w:pStyle w:val="ListBullet"/>
      </w:pPr>
      <w:r>
        <w:t>必须支持同 timestamp 冲突 suffix。</w:t>
      </w:r>
    </w:p>
    <w:p>
      <w:pPr>
        <w:pStyle w:val="ListBullet"/>
      </w:pPr>
      <w:r>
        <w:t>应定义 retention：按数量或天数清理；清理必须是独立、显式、可配置行为。</w:t>
      </w:r>
    </w:p>
    <w:p>
      <w:pPr>
        <w:pStyle w:val="ListBullet"/>
      </w:pPr>
      <w:r>
        <w:t>回滚流程必须说明：验证 backup → 再备份当前文件 → atomic restore → reload/verify。</w:t>
      </w:r>
    </w:p>
    <w:p>
      <w:pPr>
        <w:pStyle w:val="Heading1"/>
      </w:pPr>
      <w:r>
        <w:t>5. 字段所有权与 _piModelDoctor metadata</w:t>
      </w:r>
    </w:p>
    <w:p>
      <w:pPr>
        <w:pStyle w:val="Heading2"/>
      </w:pPr>
      <w:r>
        <w:t>5.1 所有权模型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vAlign w:val="center"/>
            <w:shd w:fill="D9EAF7"/>
          </w:tcPr>
          <w:p>
            <w:r>
              <w:rPr>
                <w:b/>
              </w:rPr>
              <w:t>所有权</w:t>
            </w:r>
          </w:p>
        </w:tc>
        <w:tc>
          <w:tcPr>
            <w:tcW w:type="dxa" w:w="5472"/>
            <w:vAlign w:val="center"/>
            <w:shd w:fill="D9EAF7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rPr>
                <w:b/>
              </w:rPr>
              <w:t>自动修复</w:t>
            </w:r>
          </w:p>
        </w:tc>
      </w:tr>
      <w:tr>
        <w:tc>
          <w:tcPr>
            <w:tcW w:type="dxa" w:w="2160"/>
            <w:vAlign w:val="center"/>
          </w:tcPr>
          <w:p>
            <w:r>
              <w:t>doctor-owned</w:t>
            </w:r>
          </w:p>
        </w:tc>
        <w:tc>
          <w:tcPr>
            <w:tcW w:type="dxa" w:w="5472"/>
            <w:vAlign w:val="center"/>
          </w:tcPr>
          <w:p>
            <w:r>
              <w:t>Doctor 写入且当前值仍等于最后 snapshot。</w:t>
            </w:r>
          </w:p>
        </w:tc>
        <w:tc>
          <w:tcPr>
            <w:tcW w:type="dxa" w:w="2880"/>
            <w:vAlign w:val="center"/>
          </w:tcPr>
          <w:p>
            <w:r>
              <w:t>允许。</w:t>
            </w:r>
          </w:p>
        </w:tc>
      </w:tr>
      <w:tr>
        <w:tc>
          <w:tcPr>
            <w:tcW w:type="dxa" w:w="2160"/>
            <w:vAlign w:val="center"/>
          </w:tcPr>
          <w:p>
            <w:r>
              <w:t>user-owned</w:t>
            </w:r>
          </w:p>
        </w:tc>
        <w:tc>
          <w:tcPr>
            <w:tcW w:type="dxa" w:w="5472"/>
            <w:vAlign w:val="center"/>
          </w:tcPr>
          <w:p>
            <w:r>
              <w:t>Doctor 从未拥有，或用户已修改。</w:t>
            </w:r>
          </w:p>
        </w:tc>
        <w:tc>
          <w:tcPr>
            <w:tcW w:type="dxa" w:w="2880"/>
            <w:vAlign w:val="center"/>
          </w:tcPr>
          <w:p>
            <w:r>
              <w:t>禁止覆盖，只报告。</w:t>
            </w:r>
          </w:p>
        </w:tc>
      </w:tr>
      <w:tr>
        <w:tc>
          <w:tcPr>
            <w:tcW w:type="dxa" w:w="2160"/>
            <w:vAlign w:val="center"/>
          </w:tcPr>
          <w:p>
            <w:r>
              <w:t>shared/advisory</w:t>
            </w:r>
          </w:p>
        </w:tc>
        <w:tc>
          <w:tcPr>
            <w:tcW w:type="dxa" w:w="5472"/>
            <w:vAlign w:val="center"/>
          </w:tcPr>
          <w:p>
            <w:r>
              <w:t>Doctor 可提供事实或建议，但运行时含义依赖 provider。</w:t>
            </w:r>
          </w:p>
        </w:tc>
        <w:tc>
          <w:tcPr>
            <w:tcW w:type="dxa" w:w="2880"/>
            <w:vAlign w:val="center"/>
          </w:tcPr>
          <w:p>
            <w:r>
              <w:t>仅在显式确认下修改。</w:t>
            </w:r>
          </w:p>
        </w:tc>
      </w:tr>
    </w:tbl>
    <w:p/>
    <w:p>
      <w:pPr>
        <w:pStyle w:val="Heading2"/>
      </w:pPr>
      <w:r>
        <w:t>5.2 必需 metadata</w:t>
      </w:r>
    </w:p>
    <w:p>
      <w:pPr>
        <w:spacing w:before="60" w:after="120"/>
        <w:ind w:left="360" w:right="360"/>
        <w:shd w:fill="F2F2F2"/>
      </w:pPr>
      <w:r>
        <w:rPr>
          <w:rFonts w:ascii="Consolas" w:hAnsi="Consolas" w:eastAsia="Microsoft YaHei"/>
          <w:sz w:val="18"/>
        </w:rPr>
        <w:t>"_piModelDoctor": {</w:t>
      </w:r>
      <w:r>
        <w:br/>
      </w:r>
      <w:r>
        <w:rPr>
          <w:rFonts w:ascii="Consolas" w:hAnsi="Consolas" w:eastAsia="Microsoft YaHei"/>
          <w:sz w:val="18"/>
        </w:rPr>
        <w:t xml:space="preserve">  "managed": true,</w:t>
      </w:r>
      <w:r>
        <w:br/>
      </w:r>
      <w:r>
        <w:rPr>
          <w:rFonts w:ascii="Consolas" w:hAnsi="Consolas" w:eastAsia="Microsoft YaHei"/>
          <w:sz w:val="18"/>
        </w:rPr>
        <w:t xml:space="preserve">  "source": "models.dev",</w:t>
      </w:r>
      <w:r>
        <w:br/>
      </w:r>
      <w:r>
        <w:rPr>
          <w:rFonts w:ascii="Consolas" w:hAnsi="Consolas" w:eastAsia="Microsoft YaHei"/>
          <w:sz w:val="18"/>
        </w:rPr>
        <w:t xml:space="preserve">  "lastCheck": "2026-08-01T00:00:00.000Z",</w:t>
      </w:r>
      <w:r>
        <w:br/>
      </w:r>
      <w:r>
        <w:rPr>
          <w:rFonts w:ascii="Consolas" w:hAnsi="Consolas" w:eastAsia="Microsoft YaHei"/>
          <w:sz w:val="18"/>
        </w:rPr>
        <w:t xml:space="preserve">  "autoRepair": true,</w:t>
      </w:r>
      <w:r>
        <w:br/>
      </w:r>
      <w:r>
        <w:rPr>
          <w:rFonts w:ascii="Consolas" w:hAnsi="Consolas" w:eastAsia="Microsoft YaHei"/>
          <w:sz w:val="18"/>
        </w:rPr>
        <w:t xml:space="preserve">  "version": 1,</w:t>
      </w:r>
      <w:r>
        <w:br/>
      </w:r>
      <w:r>
        <w:rPr>
          <w:rFonts w:ascii="Consolas" w:hAnsi="Consolas" w:eastAsia="Microsoft YaHei"/>
          <w:sz w:val="18"/>
        </w:rPr>
        <w:t xml:space="preserve">  "providerId": "provider-id",</w:t>
      </w:r>
      <w:r>
        <w:br/>
      </w:r>
      <w:r>
        <w:rPr>
          <w:rFonts w:ascii="Consolas" w:hAnsi="Consolas" w:eastAsia="Microsoft YaHei"/>
          <w:sz w:val="18"/>
        </w:rPr>
        <w:t xml:space="preserve">  "modelId": "model-id",</w:t>
      </w:r>
      <w:r>
        <w:br/>
      </w:r>
      <w:r>
        <w:rPr>
          <w:rFonts w:ascii="Consolas" w:hAnsi="Consolas" w:eastAsia="Microsoft YaHei"/>
          <w:sz w:val="18"/>
        </w:rPr>
        <w:t xml:space="preserve">  "managedFields": ["contextWindow", "maxTokens"],</w:t>
      </w:r>
      <w:r>
        <w:br/>
      </w:r>
      <w:r>
        <w:rPr>
          <w:rFonts w:ascii="Consolas" w:hAnsi="Consolas" w:eastAsia="Microsoft YaHei"/>
          <w:sz w:val="18"/>
        </w:rPr>
        <w:t xml:space="preserve">  "managedValues": {</w:t>
      </w:r>
      <w:r>
        <w:br/>
      </w:r>
      <w:r>
        <w:rPr>
          <w:rFonts w:ascii="Consolas" w:hAnsi="Consolas" w:eastAsia="Microsoft YaHei"/>
          <w:sz w:val="18"/>
        </w:rPr>
        <w:t xml:space="preserve">    "contextWindow": 200000,</w:t>
      </w:r>
      <w:r>
        <w:br/>
      </w:r>
      <w:r>
        <w:rPr>
          <w:rFonts w:ascii="Consolas" w:hAnsi="Consolas" w:eastAsia="Microsoft YaHei"/>
          <w:sz w:val="18"/>
        </w:rPr>
        <w:t xml:space="preserve">    "maxTokens": 32000</w:t>
      </w:r>
      <w:r>
        <w:br/>
      </w:r>
      <w:r>
        <w:rPr>
          <w:rFonts w:ascii="Consolas" w:hAnsi="Consolas" w:eastAsia="Microsoft YaHei"/>
          <w:sz w:val="18"/>
        </w:rPr>
        <w:t xml:space="preserve">  }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r>
        <w:t>只有当当前值仍等于 managedValues[field] 时，该字段才可自动更新。metadata schema 不兼容时必须降级为 user-owned 或重新建立所有权，不得假定可写。</w:t>
      </w:r>
    </w:p>
    <w:p>
      <w:r>
        <w:t>_piModelDoctor 是 Doctor namespace；若 Pi runtime 不消费未知字段，应提供 stripDoctorMetadata 供 runtime-facing object 使用。</w:t>
      </w:r>
    </w:p>
    <w:p>
      <w:pPr>
        <w:pStyle w:val="Heading1"/>
      </w:pPr>
      <w:r>
        <w:t>6. Discovery 与身份匹配合同</w:t>
      </w:r>
    </w:p>
    <w:p>
      <w:pPr>
        <w:pStyle w:val="Heading2"/>
      </w:pPr>
      <w:r>
        <w:t>6.1 确定性匹配顺序</w:t>
      </w:r>
    </w:p>
    <w:p>
      <w:pPr>
        <w:pStyle w:val="ListNumber"/>
      </w:pPr>
      <w:r>
        <w:t>exact provider ID + exact model ID</w:t>
      </w:r>
    </w:p>
    <w:p>
      <w:pPr>
        <w:pStyle w:val="ListNumber"/>
      </w:pPr>
      <w:r>
        <w:t>exact provider identity + exact model name</w:t>
      </w:r>
    </w:p>
    <w:p>
      <w:pPr>
        <w:pStyle w:val="ListNumber"/>
      </w:pPr>
      <w:r>
        <w:t>exact normalized endpoint + exact model ID</w:t>
      </w:r>
    </w:p>
    <w:p>
      <w:pPr>
        <w:pStyle w:val="ListNumber"/>
      </w:pPr>
      <w:r>
        <w:t>显式维护的 alias mapping</w:t>
      </w:r>
    </w:p>
    <w:p>
      <w:pPr>
        <w:pStyle w:val="ListNumber"/>
      </w:pPr>
      <w:r>
        <w:t>返回 candidate list，由用户选择</w:t>
      </w:r>
    </w:p>
    <w:p>
      <w:r>
        <w:t>部分匹配、substring、provider 首项或 catalog 首项不得直接进入写入计划。多个同分候选必须返回 ambiguous/model-selection-required。</w:t>
      </w:r>
    </w:p>
    <w:p>
      <w:pPr>
        <w:pStyle w:val="Heading2"/>
      </w:pPr>
      <w:r>
        <w:t>6.2 Discovery 输出</w:t>
      </w:r>
    </w:p>
    <w:p>
      <w:r>
        <w:t>每个候选应包含 provider ID/name、model ID/name、deprecated 状态、匹配依据、来源、adapter 状态和 capability resolution 等级。</w:t>
      </w:r>
    </w:p>
    <w:p>
      <w:r>
        <w:t>UI 模式可使用选择器；headless 模式必须要求显式 model/destination。--yes 只授权写入，不得被解释为“允许静默选择首项”。</w:t>
      </w:r>
    </w:p>
    <w:p>
      <w:pPr>
        <w:pStyle w:val="Heading1"/>
      </w:pPr>
      <w:r>
        <w:t>7. models.dev 与三类缓存合同</w:t>
      </w:r>
    </w:p>
    <w:p>
      <w:pPr>
        <w:pStyle w:val="Heading2"/>
      </w:pPr>
      <w:r>
        <w:t>7.1 缓存文件语义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shd w:fill="D9EAF7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7344"/>
            <w:vAlign w:val="center"/>
            <w:shd w:fill="D9EAF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2736"/>
            <w:vAlign w:val="center"/>
          </w:tcPr>
          <w:p>
            <w:r>
              <w:t>models-cache.json</w:t>
            </w:r>
          </w:p>
        </w:tc>
        <w:tc>
          <w:tcPr>
            <w:tcW w:type="dxa" w:w="7344"/>
            <w:vAlign w:val="center"/>
          </w:tcPr>
          <w:p>
            <w:r>
              <w:t>规范化完整 catalog、schema version、fetchedAt、ETag、Last-Modified。</w:t>
            </w:r>
          </w:p>
        </w:tc>
      </w:tr>
      <w:tr>
        <w:tc>
          <w:tcPr>
            <w:tcW w:type="dxa" w:w="2736"/>
            <w:vAlign w:val="center"/>
          </w:tcPr>
          <w:p>
            <w:r>
              <w:t>providers-cache.json</w:t>
            </w:r>
          </w:p>
        </w:tc>
        <w:tc>
          <w:tcPr>
            <w:tcW w:type="dxa" w:w="7344"/>
            <w:vAlign w:val="center"/>
          </w:tcPr>
          <w:p>
            <w:r>
              <w:t>provider 摘要、env 名称、API、adapter、required header 名和已观测 capability 信号；不得存 credential value。</w:t>
            </w:r>
          </w:p>
        </w:tc>
      </w:tr>
      <w:tr>
        <w:tc>
          <w:tcPr>
            <w:tcW w:type="dxa" w:w="2736"/>
            <w:vAlign w:val="center"/>
          </w:tcPr>
          <w:p>
            <w:r>
              <w:t>policies-cache.json</w:t>
            </w:r>
          </w:p>
        </w:tc>
        <w:tc>
          <w:tcPr>
            <w:tcW w:type="dxa" w:w="7344"/>
            <w:vAlign w:val="center"/>
          </w:tcPr>
          <w:p>
            <w:r>
              <w:t>版本化 PolicyCatalog：adapter mapping、fallback、Pi-expressible mapping 和 unsupported/advisory 规则。</w:t>
            </w:r>
          </w:p>
        </w:tc>
      </w:tr>
    </w:tbl>
    <w:p/>
    <w:p>
      <w:pPr>
        <w:pStyle w:val="Heading2"/>
      </w:pPr>
      <w:r>
        <w:t>7.2 缓存状态机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D9EAF7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7200"/>
            <w:vAlign w:val="center"/>
            <w:shd w:fill="D9EAF7"/>
          </w:tcPr>
          <w:p>
            <w:r>
              <w:rPr>
                <w:b/>
              </w:rPr>
              <w:t>行为</w:t>
            </w:r>
          </w:p>
        </w:tc>
      </w:tr>
      <w:tr>
        <w:tc>
          <w:tcPr>
            <w:tcW w:type="dxa" w:w="2880"/>
            <w:vAlign w:val="center"/>
          </w:tcPr>
          <w:p>
            <w:r>
              <w:t>fresh-cache</w:t>
            </w:r>
          </w:p>
        </w:tc>
        <w:tc>
          <w:tcPr>
            <w:tcW w:type="dxa" w:w="7200"/>
            <w:vAlign w:val="center"/>
          </w:tcPr>
          <w:p>
            <w:r>
              <w:t>local-first，不请求网络。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forced/manual refresh</w:t>
            </w:r>
          </w:p>
        </w:tc>
        <w:tc>
          <w:tcPr>
            <w:tcW w:type="dxa" w:w="7200"/>
            <w:vAlign w:val="center"/>
          </w:tcPr>
          <w:p>
            <w:r>
              <w:t>发送条件请求；200 验证后原子替换，304 更新 freshness。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stale + network failure</w:t>
            </w:r>
          </w:p>
        </w:tc>
        <w:tc>
          <w:tcPr>
            <w:tcW w:type="dxa" w:w="7200"/>
            <w:vAlign w:val="center"/>
          </w:tcPr>
          <w:p>
            <w:r>
              <w:t>继续使用有效 stale cache，显式 warning。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no-cache + network failure</w:t>
            </w:r>
          </w:p>
        </w:tc>
        <w:tc>
          <w:tcPr>
            <w:tcW w:type="dxa" w:w="7200"/>
            <w:vAlign w:val="center"/>
          </w:tcPr>
          <w:p>
            <w:r>
              <w:t>返回 typed failure；add 仅在用户提供完整 endpoint/model/API 时允许保守 fallback。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invalid cache</w:t>
            </w:r>
          </w:p>
        </w:tc>
        <w:tc>
          <w:tcPr>
            <w:tcW w:type="dxa" w:w="7200"/>
            <w:vAlign w:val="center"/>
          </w:tcPr>
          <w:p>
            <w:r>
              <w:t>安全失效，不将错误数据作为 catalog/policy。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invalid network payload</w:t>
            </w:r>
          </w:p>
        </w:tc>
        <w:tc>
          <w:tcPr>
            <w:tcW w:type="dxa" w:w="7200"/>
            <w:vAlign w:val="center"/>
          </w:tcPr>
          <w:p>
            <w:r>
              <w:t>不得覆盖有效旧缓存；返回 invalid-catalog。</w:t>
            </w:r>
          </w:p>
        </w:tc>
      </w:tr>
    </w:tbl>
    <w:p/>
    <w:p>
      <w:pPr>
        <w:pStyle w:val="ListBullet"/>
      </w:pPr>
      <w:r>
        <w:t>网络请求必须有 timeout、HTTP status 检查、AbortSignal 和 redirect/URL 安全策略。</w:t>
      </w:r>
    </w:p>
    <w:p>
      <w:pPr>
        <w:pStyle w:val="ListBullet"/>
      </w:pPr>
      <w:r>
        <w:t>cache write 必须 atomic，文件权限不得暴露敏感环境结构。</w:t>
      </w:r>
    </w:p>
    <w:p>
      <w:pPr>
        <w:pStyle w:val="ListBullet"/>
      </w:pPr>
      <w:r>
        <w:t>schema/version 不兼容必须安全失效并重新生成 policy。</w:t>
      </w:r>
    </w:p>
    <w:p>
      <w:pPr>
        <w:pStyle w:val="ListBullet"/>
      </w:pPr>
      <w:r>
        <w:t>背景 refresh 只更新 cache，不得写 models.json；session shutdown 必须停止 timer。</w:t>
      </w:r>
    </w:p>
    <w:p>
      <w:pPr>
        <w:pStyle w:val="ListBullet"/>
      </w:pPr>
      <w:r>
        <w:t>应加入 jitter 或跨进程协调，避免多个 Pi session 同时刷新；至少保证并发 cache write 不产生损坏。</w:t>
      </w:r>
    </w:p>
    <w:p>
      <w:pPr>
        <w:pStyle w:val="ListBullet"/>
      </w:pPr>
      <w:r>
        <w:t>项目自定义 models.dev endpoint 只有在项目已受信任时才可采用。</w:t>
      </w:r>
    </w:p>
    <w:p>
      <w:pPr>
        <w:pStyle w:val="Heading1"/>
      </w:pPr>
      <w:r>
        <w:t>8. Universal Cache Capability Engine</w:t>
      </w:r>
    </w:p>
    <w:p>
      <w:pPr>
        <w:pStyle w:val="Heading2"/>
      </w:pPr>
      <w:r>
        <w:t>8.1 概念分离</w:t>
      </w:r>
    </w:p>
    <w:p>
      <w:r>
        <w:t>不得把 cache capability、客户端控制方式、计费、usage reporting、retention 和 session affinity 合并成一个布尔值。</w:t>
      </w:r>
    </w:p>
    <w:p>
      <w:pPr>
        <w:spacing w:before="60" w:after="120"/>
        <w:ind w:left="360" w:right="360"/>
        <w:shd w:fill="F2F2F2"/>
      </w:pPr>
      <w:r>
        <w:rPr>
          <w:rFonts w:ascii="Consolas" w:hAnsi="Consolas" w:eastAsia="Microsoft YaHei"/>
          <w:sz w:val="18"/>
        </w:rPr>
        <w:t>NormalizedCache = {</w:t>
      </w:r>
      <w:r>
        <w:br/>
      </w:r>
      <w:r>
        <w:rPr>
          <w:rFonts w:ascii="Consolas" w:hAnsi="Consolas" w:eastAsia="Microsoft YaHei"/>
          <w:sz w:val="18"/>
        </w:rPr>
        <w:t xml:space="preserve">  capability: { prompt, context, kv },</w:t>
      </w:r>
      <w:r>
        <w:br/>
      </w:r>
      <w:r>
        <w:rPr>
          <w:rFonts w:ascii="Consolas" w:hAnsi="Consolas" w:eastAsia="Microsoft YaHei"/>
          <w:sz w:val="18"/>
        </w:rPr>
        <w:t xml:space="preserve">  control: { prompt, context, kv },</w:t>
      </w:r>
      <w:r>
        <w:br/>
      </w:r>
      <w:r>
        <w:rPr>
          <w:rFonts w:ascii="Consolas" w:hAnsi="Consolas" w:eastAsia="Microsoft YaHei"/>
          <w:sz w:val="18"/>
        </w:rPr>
        <w:t xml:space="preserve">  pricing: { read, write },</w:t>
      </w:r>
      <w:r>
        <w:br/>
      </w:r>
      <w:r>
        <w:rPr>
          <w:rFonts w:ascii="Consolas" w:hAnsi="Consolas" w:eastAsia="Microsoft YaHei"/>
          <w:sz w:val="18"/>
        </w:rPr>
        <w:t xml:space="preserve">  usageReporting: { readTokens, writeTokens },</w:t>
      </w:r>
      <w:r>
        <w:br/>
      </w:r>
      <w:r>
        <w:rPr>
          <w:rFonts w:ascii="Consolas" w:hAnsi="Consolas" w:eastAsia="Microsoft YaHei"/>
          <w:sz w:val="18"/>
        </w:rPr>
        <w:t xml:space="preserve">  retention: { supported, values },</w:t>
      </w:r>
      <w:r>
        <w:br/>
      </w:r>
      <w:r>
        <w:rPr>
          <w:rFonts w:ascii="Consolas" w:hAnsi="Consolas" w:eastAsia="Microsoft YaHei"/>
          <w:sz w:val="18"/>
        </w:rPr>
        <w:t xml:space="preserve">  sessionAffinity: { supported, format },</w:t>
      </w:r>
      <w:r>
        <w:br/>
      </w:r>
      <w:r>
        <w:rPr>
          <w:rFonts w:ascii="Consolas" w:hAnsi="Consolas" w:eastAsia="Microsoft YaHei"/>
          <w:sz w:val="18"/>
        </w:rPr>
        <w:t xml:space="preserve">  confidence: "high" | "medium" | "low",</w:t>
      </w:r>
      <w:r>
        <w:br/>
      </w:r>
      <w:r>
        <w:rPr>
          <w:rFonts w:ascii="Consolas" w:hAnsi="Consolas" w:eastAsia="Microsoft YaHei"/>
          <w:sz w:val="18"/>
        </w:rPr>
        <w:t xml:space="preserve">  source: "pi" | "provider" | "models.dev" | "fallback"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2"/>
      </w:pPr>
      <w:r>
        <w:t>8.2 写入规则</w:t>
      </w:r>
    </w:p>
    <w:p>
      <w:pPr>
        <w:pStyle w:val="ListBullet"/>
      </w:pPr>
      <w:r>
        <w:t>只有 Pi 正式支持的字段才可写入运行时 compat。</w:t>
      </w:r>
    </w:p>
    <w:p>
      <w:pPr>
        <w:pStyle w:val="ListBullet"/>
      </w:pPr>
      <w:r>
        <w:t>检测到 pricing 不等于客户端可以开启 cache。</w:t>
      </w:r>
    </w:p>
    <w:p>
      <w:pPr>
        <w:pStyle w:val="ListBullet"/>
      </w:pPr>
      <w:r>
        <w:t>KV cache 通常是 provider/server 内部能力；若 Pi 无控制字段，必须标记 advisory-only。</w:t>
      </w:r>
    </w:p>
    <w:p>
      <w:pPr>
        <w:pStyle w:val="ListBullet"/>
      </w:pPr>
      <w:r>
        <w:t>Provider adapter 必须分别给出 prompt/context/KV 的 resolved/partial/advisory/unsupported 结果。</w:t>
      </w:r>
    </w:p>
    <w:p>
      <w:pPr>
        <w:pStyle w:val="ListBullet"/>
      </w:pPr>
      <w:r>
        <w:t>任何未知字段只能放入 Doctor policy namespace，不能宣称 Pi 会消费。</w:t>
      </w:r>
    </w:p>
    <w:p>
      <w:pPr>
        <w:pStyle w:val="Heading1"/>
      </w:pPr>
      <w:r>
        <w:t>9. Universal Thinking / Reasoning Engine</w:t>
      </w:r>
    </w:p>
    <w:p>
      <w:pPr>
        <w:pStyle w:val="Heading2"/>
      </w:pPr>
      <w:r>
        <w:t>9.1 归一化模型</w:t>
      </w:r>
    </w:p>
    <w:p>
      <w:pPr>
        <w:spacing w:before="60" w:after="120"/>
        <w:ind w:left="360" w:right="360"/>
        <w:shd w:fill="F2F2F2"/>
      </w:pPr>
      <w:r>
        <w:rPr>
          <w:rFonts w:ascii="Consolas" w:hAnsi="Consolas" w:eastAsia="Microsoft YaHei"/>
          <w:sz w:val="18"/>
        </w:rPr>
        <w:t>NormalizedReasoning = {</w:t>
      </w:r>
      <w:r>
        <w:br/>
      </w:r>
      <w:r>
        <w:rPr>
          <w:rFonts w:ascii="Consolas" w:hAnsi="Consolas" w:eastAsia="Microsoft YaHei"/>
          <w:sz w:val="18"/>
        </w:rPr>
        <w:t xml:space="preserve">  supported: boolean,</w:t>
      </w:r>
      <w:r>
        <w:br/>
      </w:r>
      <w:r>
        <w:rPr>
          <w:rFonts w:ascii="Consolas" w:hAnsi="Consolas" w:eastAsia="Microsoft YaHei"/>
          <w:sz w:val="18"/>
        </w:rPr>
        <w:t xml:space="preserve">  controlType: "toggle" | "effort" | "budget" | "adaptive" | "unknown",</w:t>
      </w:r>
      <w:r>
        <w:br/>
      </w:r>
      <w:r>
        <w:rPr>
          <w:rFonts w:ascii="Consolas" w:hAnsi="Consolas" w:eastAsia="Microsoft YaHei"/>
          <w:sz w:val="18"/>
        </w:rPr>
        <w:t xml:space="preserve">  levels: string[],</w:t>
      </w:r>
      <w:r>
        <w:br/>
      </w:r>
      <w:r>
        <w:rPr>
          <w:rFonts w:ascii="Consolas" w:hAnsi="Consolas" w:eastAsia="Microsoft YaHei"/>
          <w:sz w:val="18"/>
        </w:rPr>
        <w:t xml:space="preserve">  defaultLevel?: string,</w:t>
      </w:r>
      <w:r>
        <w:br/>
      </w:r>
      <w:r>
        <w:rPr>
          <w:rFonts w:ascii="Consolas" w:hAnsi="Consolas" w:eastAsia="Microsoft YaHei"/>
          <w:sz w:val="18"/>
        </w:rPr>
        <w:t xml:space="preserve">  canDisable?: boolean,</w:t>
      </w:r>
      <w:r>
        <w:br/>
      </w:r>
      <w:r>
        <w:rPr>
          <w:rFonts w:ascii="Consolas" w:hAnsi="Consolas" w:eastAsia="Microsoft YaHei"/>
          <w:sz w:val="18"/>
        </w:rPr>
        <w:t xml:space="preserve">  minBudgetTokens?: number,</w:t>
      </w:r>
      <w:r>
        <w:br/>
      </w:r>
      <w:r>
        <w:rPr>
          <w:rFonts w:ascii="Consolas" w:hAnsi="Consolas" w:eastAsia="Microsoft YaHei"/>
          <w:sz w:val="18"/>
        </w:rPr>
        <w:t xml:space="preserve">  maxBudgetTokens?: number,</w:t>
      </w:r>
      <w:r>
        <w:br/>
      </w:r>
      <w:r>
        <w:rPr>
          <w:rFonts w:ascii="Consolas" w:hAnsi="Consolas" w:eastAsia="Microsoft YaHei"/>
          <w:sz w:val="18"/>
        </w:rPr>
        <w:t xml:space="preserve">  maxOutputTokens?: number,</w:t>
      </w:r>
      <w:r>
        <w:br/>
      </w:r>
      <w:r>
        <w:rPr>
          <w:rFonts w:ascii="Consolas" w:hAnsi="Consolas" w:eastAsia="Microsoft YaHei"/>
          <w:sz w:val="18"/>
        </w:rPr>
        <w:t xml:space="preserve">  mappingConfidence: "high" | "medium" | "low",</w:t>
      </w:r>
      <w:r>
        <w:br/>
      </w:r>
      <w:r>
        <w:rPr>
          <w:rFonts w:ascii="Consolas" w:hAnsi="Consolas" w:eastAsia="Microsoft YaHei"/>
          <w:sz w:val="18"/>
        </w:rPr>
        <w:t xml:space="preserve">  fallbackReason?: string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2"/>
      </w:pPr>
      <w:r>
        <w:t>9.2 Adapter 要求</w:t>
      </w:r>
    </w:p>
    <w:p>
      <w:pPr>
        <w:pStyle w:val="ListBullet"/>
      </w:pPr>
      <w:r>
        <w:t>必须支持 toggle、effort、budget、adaptive 和 unknown fallback 的明确结果。</w:t>
      </w:r>
    </w:p>
    <w:p>
      <w:pPr>
        <w:pStyle w:val="ListBullet"/>
      </w:pPr>
      <w:r>
        <w:t>必须区分 reasoning budget 与模型 max output tokens，且验证 min ≤ selected budget ≤ max。</w:t>
      </w:r>
    </w:p>
    <w:p>
      <w:pPr>
        <w:pStyle w:val="ListBullet"/>
      </w:pPr>
      <w:r>
        <w:t>thinkingLevelMap 必须遵循 Pi 的 omitted/string/null 三态语义，并正确处理 unsupported holes、xhigh/max opt-in 和不可关闭模型。</w:t>
      </w:r>
    </w:p>
    <w:p>
      <w:pPr>
        <w:pStyle w:val="ListBullet"/>
      </w:pPr>
      <w:r>
        <w:t>Anthropic adapter 必须区分 legacy budget thinking 与 adaptive thinking，不得对所有 Anthropic 模型固定写 budget payload。</w:t>
      </w:r>
    </w:p>
    <w:p>
      <w:pPr>
        <w:pStyle w:val="ListBullet"/>
      </w:pPr>
      <w:r>
        <w:t>Google adapter 只有在对应 Pi API/字段正式支持时才生成 thinkingConfig。</w:t>
      </w:r>
    </w:p>
    <w:p>
      <w:pPr>
        <w:pStyle w:val="ListBullet"/>
      </w:pPr>
      <w:r>
        <w:t>OpenAI/OpenAI-compatible adapter 必须使用 Pi 正式支持的 thinkingFormat、supportsReasoningEffort 等字段；provider 未知时生成 fallback policy/warning。</w:t>
      </w:r>
    </w:p>
    <w:p>
      <w:pPr>
        <w:pStyle w:val="ListBullet"/>
      </w:pPr>
      <w:r>
        <w:t>reasoning metadata 缺失时不得根据模型名称无提示推断为已支持。</w:t>
      </w:r>
    </w:p>
    <w:p>
      <w:pPr>
        <w:pStyle w:val="Heading1"/>
      </w:pPr>
      <w:r>
        <w:t>10. Headers、凭据与网络安全</w:t>
      </w:r>
    </w:p>
    <w:p>
      <w:pPr>
        <w:pStyle w:val="Heading2"/>
      </w:pPr>
      <w:r>
        <w:t>10.1 Credential policy</w:t>
      </w:r>
    </w:p>
    <w:p>
      <w:pPr>
        <w:pStyle w:val="ListNumber"/>
      </w:pPr>
      <w:r>
        <w:t>首选 Pi /login、auth store 或 provider-native auth。</w:t>
      </w:r>
    </w:p>
    <w:p>
      <w:pPr>
        <w:pStyle w:val="ListNumber"/>
      </w:pPr>
      <w:r>
        <w:t>其次使用 $ENV_VAR、${ENV_VAR} 或受信任的 !command 引用。</w:t>
      </w:r>
    </w:p>
    <w:p>
      <w:pPr>
        <w:pStyle w:val="ListNumber"/>
      </w:pPr>
      <w:r>
        <w:t>literal API key 必须警告，默认不得持久化；若显式允许，所有输出、错误和 plan 必须脱敏。</w:t>
      </w:r>
    </w:p>
    <w:p>
      <w:pPr>
        <w:pStyle w:val="ListNumber"/>
      </w:pPr>
      <w:r>
        <w:t>API key、Authorization、OAuth、cookie、secret headers 永远是 user-owned。</w:t>
      </w:r>
    </w:p>
    <w:p>
      <w:pPr>
        <w:pStyle w:val="ListNumber"/>
      </w:pPr>
      <w:r>
        <w:t>migration 不复制 credential 或 secret header。</w:t>
      </w:r>
    </w:p>
    <w:p>
      <w:pPr>
        <w:pStyle w:val="ListNumber"/>
      </w:pPr>
      <w:r>
        <w:t>cache 和 policy 文件不得保存解析后的 secret value。</w:t>
      </w:r>
    </w:p>
    <w:p>
      <w:pPr>
        <w:pStyle w:val="Heading2"/>
      </w:pPr>
      <w:r>
        <w:t>10.2 Header 检查</w:t>
      </w:r>
    </w:p>
    <w:p>
      <w:pPr>
        <w:pStyle w:val="ListBullet"/>
      </w:pPr>
      <w:r>
        <w:t>可以报告 provider/model headers 是否存在、required header 名是否缺失、同名值是否冲突。</w:t>
      </w:r>
    </w:p>
    <w:p>
      <w:pPr>
        <w:pStyle w:val="ListBullet"/>
      </w:pPr>
      <w:r>
        <w:t>不得输出 header value。</w:t>
      </w:r>
    </w:p>
    <w:p>
      <w:pPr>
        <w:pStyle w:val="ListBullet"/>
      </w:pPr>
      <w:r>
        <w:t>不得自动生成 secret value。</w:t>
      </w:r>
    </w:p>
    <w:p>
      <w:pPr>
        <w:pStyle w:val="ListBullet"/>
      </w:pPr>
      <w:r>
        <w:t>非敏感默认 header 也必须经过 allowlist 和明确来源验证。</w:t>
      </w:r>
    </w:p>
    <w:p>
      <w:pPr>
        <w:pStyle w:val="ListBullet"/>
      </w:pPr>
      <w:r>
        <w:t>provider-level 与 model-level 同名冲突只报告，保持用户值。</w:t>
      </w:r>
    </w:p>
    <w:p>
      <w:pPr>
        <w:pStyle w:val="Heading2"/>
      </w:pPr>
      <w:r>
        <w:t>10.3 Endpoint 检查</w:t>
      </w:r>
    </w:p>
    <w:p>
      <w:r>
        <w:t>默认 endpoint 检查仅做静态比较和 URL 结构验证。主动 connectivity/protocol probe 必须 opt-in，并防止 SSRF：限制 scheme、redirect、credential forwarding、本地/私网地址策略和响应大小。不得向用户自定义 endpoint 自动发送 models.dev 或其他 provider 的凭据。</w:t>
      </w:r>
    </w:p>
    <w:p>
      <w:pPr>
        <w:pStyle w:val="Heading1"/>
      </w:pPr>
      <w:r>
        <w:t>11. 命令合同</w:t>
      </w:r>
    </w:p>
    <w:p>
      <w:pPr>
        <w:spacing w:before="60" w:after="120"/>
        <w:ind w:left="360" w:right="360"/>
        <w:shd w:fill="F2F2F2"/>
      </w:pPr>
      <w:r>
        <w:rPr>
          <w:rFonts w:ascii="Consolas" w:hAnsi="Consolas" w:eastAsia="Microsoft YaHei"/>
          <w:sz w:val="18"/>
        </w:rPr>
        <w:t>/model-doctor add &lt;provider-or-url&gt; [model] [--api-key &lt;reference&gt;] [--dry-run] [--yes]</w:t>
      </w:r>
      <w:r>
        <w:br/>
      </w:r>
      <w:r>
        <w:rPr>
          <w:rFonts w:ascii="Consolas" w:hAnsi="Consolas" w:eastAsia="Microsoft YaHei"/>
          <w:sz w:val="18"/>
        </w:rPr>
        <w:t>/model-doctor list [provider]</w:t>
      </w:r>
      <w:r>
        <w:br/>
      </w:r>
      <w:r>
        <w:rPr>
          <w:rFonts w:ascii="Consolas" w:hAnsi="Consolas" w:eastAsia="Microsoft YaHei"/>
          <w:sz w:val="18"/>
        </w:rPr>
        <w:t>/model-doctor check [provider/model]</w:t>
      </w:r>
      <w:r>
        <w:br/>
      </w:r>
      <w:r>
        <w:rPr>
          <w:rFonts w:ascii="Consolas" w:hAnsi="Consolas" w:eastAsia="Microsoft YaHei"/>
          <w:sz w:val="18"/>
        </w:rPr>
        <w:t>/model-doctor fix [provider/model] [--dry-run] [--yes]</w:t>
      </w:r>
      <w:r>
        <w:br/>
      </w:r>
      <w:r>
        <w:rPr>
          <w:rFonts w:ascii="Consolas" w:hAnsi="Consolas" w:eastAsia="Microsoft YaHei"/>
          <w:sz w:val="18"/>
        </w:rPr>
        <w:t>/model-doctor remove &lt;provider/model&gt; [--dry-run] [--yes]</w:t>
      </w:r>
      <w:r>
        <w:br/>
      </w:r>
      <w:r>
        <w:rPr>
          <w:rFonts w:ascii="Consolas" w:hAnsi="Consolas" w:eastAsia="Microsoft YaHei"/>
          <w:sz w:val="18"/>
        </w:rPr>
        <w:t>/model-doctor refresh [--force] [--dry-run]</w:t>
      </w:r>
      <w:r>
        <w:br/>
      </w:r>
      <w:r>
        <w:rPr>
          <w:rFonts w:ascii="Consolas" w:hAnsi="Consolas" w:eastAsia="Microsoft YaHei"/>
          <w:sz w:val="18"/>
        </w:rPr>
        <w:t>/model-doctor migrate &lt;provider/model&gt; [--to &lt;provider/model&gt;] [--dry-run] [--yes] [--remove-source]</w:t>
      </w:r>
      <w:r>
        <w:br/>
      </w:r>
      <w:r>
        <w:rPr>
          <w:rFonts w:ascii="Consolas" w:hAnsi="Consolas" w:eastAsia="Microsoft YaHei"/>
          <w:sz w:val="18"/>
        </w:rPr>
        <w:t>/model-doctor help</w:t>
      </w:r>
    </w:p>
    <w:p>
      <w:pPr>
        <w:pStyle w:val="Heading2"/>
      </w:pPr>
      <w:r>
        <w:t>11.1 全局授权规则</w:t>
      </w:r>
    </w:p>
    <w:p>
      <w:pPr>
        <w:pStyle w:val="ListBullet"/>
      </w:pPr>
      <w:r>
        <w:t>UI mutation：必须显示 secret-safe plan，并使用确认对话框。</w:t>
      </w:r>
    </w:p>
    <w:p>
      <w:pPr>
        <w:pStyle w:val="ListBullet"/>
      </w:pPr>
      <w:r>
        <w:t>Headless mutation：默认拒绝，只有显式 --yes 才允许写入。</w:t>
      </w:r>
    </w:p>
    <w:p>
      <w:pPr>
        <w:pStyle w:val="ListBullet"/>
      </w:pPr>
      <w:r>
        <w:t>--dry-run 优先级高于 --yes：不写 models.json、不创建 backup、不持久化 cache、不改变永久 runtime 状态。</w:t>
      </w:r>
    </w:p>
    <w:p>
      <w:pPr>
        <w:pStyle w:val="ListBullet"/>
      </w:pPr>
      <w:r>
        <w:t>取消必须报告 not-persisted，不应声称失败后已应用。</w:t>
      </w:r>
    </w:p>
    <w:p>
      <w:pPr>
        <w:pStyle w:val="ListBullet"/>
      </w:pPr>
      <w:r>
        <w:t>未知 flag/子命令必须返回 usage error，不得忽略。</w:t>
      </w:r>
    </w:p>
    <w:p>
      <w:pPr>
        <w:pStyle w:val="Heading2"/>
      </w:pPr>
      <w:r>
        <w:t>11.2 add</w:t>
      </w:r>
    </w:p>
    <w:p>
      <w:pPr>
        <w:pStyle w:val="ListBullet"/>
      </w:pPr>
      <w:r>
        <w:t>未指定 model：UI 显示 candidates；headless 返回 selection-required。</w:t>
      </w:r>
    </w:p>
    <w:p>
      <w:pPr>
        <w:pStyle w:val="ListBullet"/>
      </w:pPr>
      <w:r>
        <w:t>生成 proposal 时显示来源、匹配依据、adapter resolution 和需要用户处理的凭据/header。</w:t>
      </w:r>
    </w:p>
    <w:p>
      <w:pPr>
        <w:pStyle w:val="ListBullet"/>
      </w:pPr>
      <w:r>
        <w:t>不允许通过 --yes 静默接受 ambiguous model。</w:t>
      </w:r>
    </w:p>
    <w:p>
      <w:pPr>
        <w:pStyle w:val="Heading2"/>
      </w:pPr>
      <w:r>
        <w:t>11.3 check</w:t>
      </w:r>
    </w:p>
    <w:p>
      <w:pPr>
        <w:pStyle w:val="ListBullet"/>
      </w:pPr>
      <w:r>
        <w:t>check 应优先完成纯本地结构、所有权、headers-presence 和 metadata-version 检查；网络/catalog 不可用时仍返回这些本地 findings。</w:t>
      </w:r>
    </w:p>
    <w:p>
      <w:pPr>
        <w:pStyle w:val="ListBullet"/>
      </w:pPr>
      <w:r>
        <w:t>catalog 相关检查在 stale cache 下继续执行并附 warning；无 catalog 时只省略远程比较，不得把整体 check 误报为成功。</w:t>
      </w:r>
    </w:p>
    <w:p>
      <w:pPr>
        <w:pStyle w:val="Heading2"/>
      </w:pPr>
      <w:r>
        <w:t>11.4 fix</w:t>
      </w:r>
    </w:p>
    <w:p>
      <w:pPr>
        <w:pStyle w:val="ListBullet"/>
      </w:pPr>
      <w:r>
        <w:t>无 target 表示 fix-all；有 target 必须是精确 provider/model。</w:t>
      </w:r>
    </w:p>
    <w:p>
      <w:pPr>
        <w:pStyle w:val="ListBullet"/>
      </w:pPr>
      <w:r>
        <w:t>仅修复 doctor-owned 且确定性的字段。</w:t>
      </w:r>
    </w:p>
    <w:p>
      <w:pPr>
        <w:pStyle w:val="ListBullet"/>
      </w:pPr>
      <w:r>
        <w:t>deprecated、ambiguous、user-owned conflict 和 advisory capability 不自动修复。</w:t>
      </w:r>
    </w:p>
    <w:p>
      <w:pPr>
        <w:pStyle w:val="Heading2"/>
      </w:pPr>
      <w:r>
        <w:t>11.5 remove</w:t>
      </w:r>
    </w:p>
    <w:p>
      <w:pPr>
        <w:pStyle w:val="ListBullet"/>
      </w:pPr>
      <w:r>
        <w:t>必须精确匹配 provider/model。</w:t>
      </w:r>
    </w:p>
    <w:p>
      <w:pPr>
        <w:pStyle w:val="ListBullet"/>
      </w:pPr>
      <w:r>
        <w:t>默认只移除模型；只有 provider 为空、由 Doctor 管理且没有用户字段时才可删除 provider。</w:t>
      </w:r>
    </w:p>
    <w:p>
      <w:pPr>
        <w:pStyle w:val="Heading2"/>
      </w:pPr>
      <w:r>
        <w:t>11.6 refresh</w:t>
      </w:r>
    </w:p>
    <w:p>
      <w:pPr>
        <w:pStyle w:val="ListBullet"/>
      </w:pPr>
      <w:r>
        <w:t>刷新 catalog 后必须检查当前 models.json，并输出 catalog 状态、findings 摘要和 repairable 数量。</w:t>
      </w:r>
    </w:p>
    <w:p>
      <w:pPr>
        <w:pStyle w:val="ListBullet"/>
      </w:pPr>
      <w:r>
        <w:t>不得自动修复 models.json。</w:t>
      </w:r>
    </w:p>
    <w:p>
      <w:pPr>
        <w:pStyle w:val="ListBullet"/>
      </w:pPr>
      <w:r>
        <w:t>refresh --dry-run 不持久化任何 cache；正常 refresh 可以持久化经过验证的 catalog/policy cache。</w:t>
      </w:r>
    </w:p>
    <w:p>
      <w:pPr>
        <w:pStyle w:val="Heading2"/>
      </w:pPr>
      <w:r>
        <w:t>11.7 migrate</w:t>
      </w:r>
    </w:p>
    <w:p>
      <w:pPr>
        <w:pStyle w:val="ListBullet"/>
      </w:pPr>
      <w:r>
        <w:t>source 和 destination 必须明确、可解析且不相同。</w:t>
      </w:r>
    </w:p>
    <w:p>
      <w:pPr>
        <w:pStyle w:val="ListBullet"/>
      </w:pPr>
      <w:r>
        <w:t>UI 可选择 destination；headless 必须显式 --to。</w:t>
      </w:r>
    </w:p>
    <w:p>
      <w:pPr>
        <w:pStyle w:val="ListBullet"/>
      </w:pPr>
      <w:r>
        <w:t>目标已存在时必须比较 user-owned fields，目标值优先，并生成 migration-conflict。</w:t>
      </w:r>
    </w:p>
    <w:p>
      <w:pPr>
        <w:pStyle w:val="ListBullet"/>
      </w:pPr>
      <w:r>
        <w:t>保留安全用户字段；不复制 endpoint override、headers、API key、OAuth 或 Authorization。</w:t>
      </w:r>
    </w:p>
    <w:p>
      <w:pPr>
        <w:pStyle w:val="ListBullet"/>
      </w:pPr>
      <w:r>
        <w:t>源模型默认保留；只有 --remove-source 才删除。</w:t>
      </w:r>
    </w:p>
    <w:p>
      <w:pPr>
        <w:pStyle w:val="ListBullet"/>
      </w:pPr>
      <w:r>
        <w:t>deprecated 迁移只能建议，不得自动执行。</w:t>
      </w:r>
    </w:p>
    <w:p>
      <w:pPr>
        <w:pStyle w:val="ListBullet"/>
      </w:pPr>
      <w:r>
        <w:t>必须支持 dry-run、backup、atomic write、runtime activation status 和 rollback 说明。</w:t>
      </w:r>
    </w:p>
    <w:p>
      <w:pPr>
        <w:pStyle w:val="Heading1"/>
      </w:pPr>
      <w:r>
        <w:t>12. Finding、错误与输出合同</w:t>
      </w:r>
    </w:p>
    <w:p>
      <w:pPr>
        <w:pStyle w:val="Heading2"/>
      </w:pPr>
      <w:r>
        <w:t>12.1 稳定错误类型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D9EAF7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7200"/>
            <w:vAlign w:val="center"/>
            <w:shd w:fill="D9EAF7"/>
          </w:tcPr>
          <w:p>
            <w:r>
              <w:rPr>
                <w:b/>
              </w:rPr>
              <w:t>场景</w:t>
            </w:r>
          </w:p>
        </w:tc>
      </w:tr>
      <w:tr>
        <w:tc>
          <w:tcPr>
            <w:tcW w:type="dxa" w:w="2880"/>
            <w:vAlign w:val="center"/>
          </w:tcPr>
          <w:p>
            <w:r>
              <w:t>invalid-target</w:t>
            </w:r>
          </w:p>
        </w:tc>
        <w:tc>
          <w:tcPr>
            <w:tcW w:type="dxa" w:w="7200"/>
            <w:vAlign w:val="center"/>
          </w:tcPr>
          <w:p>
            <w:r>
              <w:t>命令目标缺失、格式错误或目标不存在。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invalid-config</w:t>
            </w:r>
          </w:p>
        </w:tc>
        <w:tc>
          <w:tcPr>
            <w:tcW w:type="dxa" w:w="7200"/>
            <w:vAlign w:val="center"/>
          </w:tcPr>
          <w:p>
            <w:r>
              <w:t>models.json 解析/schema 错误。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authorization-required</w:t>
            </w:r>
          </w:p>
        </w:tc>
        <w:tc>
          <w:tcPr>
            <w:tcW w:type="dxa" w:w="7200"/>
            <w:vAlign w:val="center"/>
          </w:tcPr>
          <w:p>
            <w:r>
              <w:t>UI 取消或 headless 未提供 --yes。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selection-required</w:t>
            </w:r>
          </w:p>
        </w:tc>
        <w:tc>
          <w:tcPr>
            <w:tcW w:type="dxa" w:w="7200"/>
            <w:vAlign w:val="center"/>
          </w:tcPr>
          <w:p>
            <w:r>
              <w:t>候选不唯一或缺少显式 model/destination。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network-unavailable</w:t>
            </w:r>
          </w:p>
        </w:tc>
        <w:tc>
          <w:tcPr>
            <w:tcW w:type="dxa" w:w="7200"/>
            <w:vAlign w:val="center"/>
          </w:tcPr>
          <w:p>
            <w:r>
              <w:t>网络不可用且需要远程数据。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invalid-catalog</w:t>
            </w:r>
          </w:p>
        </w:tc>
        <w:tc>
          <w:tcPr>
            <w:tcW w:type="dxa" w:w="7200"/>
            <w:vAlign w:val="center"/>
          </w:tcPr>
          <w:p>
            <w:r>
              <w:t>网络响应或 cache schema 非法。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backup-error</w:t>
            </w:r>
          </w:p>
        </w:tc>
        <w:tc>
          <w:tcPr>
            <w:tcW w:type="dxa" w:w="7200"/>
            <w:vAlign w:val="center"/>
          </w:tcPr>
          <w:p>
            <w:r>
              <w:t>无法创建 backup。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write-error</w:t>
            </w:r>
          </w:p>
        </w:tc>
        <w:tc>
          <w:tcPr>
            <w:tcW w:type="dxa" w:w="7200"/>
            <w:vAlign w:val="center"/>
          </w:tcPr>
          <w:p>
            <w:r>
              <w:t>temp write/fsync/rename 失败。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concurrent-modification</w:t>
            </w:r>
          </w:p>
        </w:tc>
        <w:tc>
          <w:tcPr>
            <w:tcW w:type="dxa" w:w="7200"/>
            <w:vAlign w:val="center"/>
          </w:tcPr>
          <w:p>
            <w:r>
              <w:t>确认前后 models.json hash 变化。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migration-conflict</w:t>
            </w:r>
          </w:p>
        </w:tc>
        <w:tc>
          <w:tcPr>
            <w:tcW w:type="dxa" w:w="7200"/>
            <w:vAlign w:val="center"/>
          </w:tcPr>
          <w:p>
            <w:r>
              <w:t>destination 用户字段与 source 不一致。</w:t>
            </w:r>
          </w:p>
        </w:tc>
      </w:tr>
    </w:tbl>
    <w:p/>
    <w:p>
      <w:pPr>
        <w:pStyle w:val="Heading2"/>
      </w:pPr>
      <w:r>
        <w:t>12.2 Finding 最小结构</w:t>
      </w:r>
    </w:p>
    <w:p>
      <w:pPr>
        <w:spacing w:before="60" w:after="120"/>
        <w:ind w:left="360" w:right="360"/>
        <w:shd w:fill="F2F2F2"/>
      </w:pPr>
      <w:r>
        <w:rPr>
          <w:rFonts w:ascii="Consolas" w:hAnsi="Consolas" w:eastAsia="Microsoft YaHei"/>
          <w:sz w:val="18"/>
        </w:rPr>
        <w:t>Finding = {</w:t>
      </w:r>
      <w:r>
        <w:br/>
      </w:r>
      <w:r>
        <w:rPr>
          <w:rFonts w:ascii="Consolas" w:hAnsi="Consolas" w:eastAsia="Microsoft YaHei"/>
          <w:sz w:val="18"/>
        </w:rPr>
        <w:t xml:space="preserve">  severity: "error" | "warning" | "info",</w:t>
      </w:r>
      <w:r>
        <w:br/>
      </w:r>
      <w:r>
        <w:rPr>
          <w:rFonts w:ascii="Consolas" w:hAnsi="Consolas" w:eastAsia="Microsoft YaHei"/>
          <w:sz w:val="18"/>
        </w:rPr>
        <w:t xml:space="preserve">  code: string,</w:t>
      </w:r>
      <w:r>
        <w:br/>
      </w:r>
      <w:r>
        <w:rPr>
          <w:rFonts w:ascii="Consolas" w:hAnsi="Consolas" w:eastAsia="Microsoft YaHei"/>
          <w:sz w:val="18"/>
        </w:rPr>
        <w:t xml:space="preserve">  target: string,</w:t>
      </w:r>
      <w:r>
        <w:br/>
      </w:r>
      <w:r>
        <w:rPr>
          <w:rFonts w:ascii="Consolas" w:hAnsi="Consolas" w:eastAsia="Microsoft YaHei"/>
          <w:sz w:val="18"/>
        </w:rPr>
        <w:t xml:space="preserve">  message: string,</w:t>
      </w:r>
      <w:r>
        <w:br/>
      </w:r>
      <w:r>
        <w:rPr>
          <w:rFonts w:ascii="Consolas" w:hAnsi="Consolas" w:eastAsia="Microsoft YaHei"/>
          <w:sz w:val="18"/>
        </w:rPr>
        <w:t xml:space="preserve">  repairable: boolean,</w:t>
      </w:r>
      <w:r>
        <w:br/>
      </w:r>
      <w:r>
        <w:rPr>
          <w:rFonts w:ascii="Consolas" w:hAnsi="Consolas" w:eastAsia="Microsoft YaHei"/>
          <w:sz w:val="18"/>
        </w:rPr>
        <w:t xml:space="preserve">  userOwned?: boolean,</w:t>
      </w:r>
      <w:r>
        <w:br/>
      </w:r>
      <w:r>
        <w:rPr>
          <w:rFonts w:ascii="Consolas" w:hAnsi="Consolas" w:eastAsia="Microsoft YaHei"/>
          <w:sz w:val="18"/>
        </w:rPr>
        <w:t xml:space="preserve">  source?: string,</w:t>
      </w:r>
      <w:r>
        <w:br/>
      </w:r>
      <w:r>
        <w:rPr>
          <w:rFonts w:ascii="Consolas" w:hAnsi="Consolas" w:eastAsia="Microsoft YaHei"/>
          <w:sz w:val="18"/>
        </w:rPr>
        <w:t xml:space="preserve">  confidence?: "high" | "medium" | "low"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r>
        <w:t>所有 message、plan、warning、error、backup path 和 nested object 必须经过 secret redaction。不得直接打印 raw Error、request headers 或 credential-resolved provider object。</w:t>
      </w:r>
    </w:p>
    <w:p>
      <w:pPr>
        <w:pStyle w:val="Heading1"/>
      </w:pPr>
      <w:r>
        <w:t>13. 生命周期工作流</w:t>
      </w:r>
    </w:p>
    <w:p>
      <w:pPr>
        <w:pStyle w:val="Heading2"/>
      </w:pPr>
      <w:r>
        <w:t>13.1 Add</w:t>
      </w:r>
    </w:p>
    <w:p>
      <w:pPr>
        <w:spacing w:before="60" w:after="120"/>
        <w:ind w:left="360" w:right="360"/>
        <w:shd w:fill="F2F2F2"/>
      </w:pPr>
      <w:r>
        <w:rPr>
          <w:rFonts w:ascii="Consolas" w:hAnsi="Consolas" w:eastAsia="Microsoft YaHei"/>
          <w:sz w:val="18"/>
        </w:rPr>
        <w:t>input → discovery → deterministic match/candidate selection → metadata resolution → capability grading → proposal → authorization → concurrent-change check → backup → merge/atomic write → runtime activation → verification</w:t>
      </w:r>
    </w:p>
    <w:p>
      <w:pPr>
        <w:pStyle w:val="Heading2"/>
      </w:pPr>
      <w:r>
        <w:t>13.2 Refresh</w:t>
      </w:r>
    </w:p>
    <w:p>
      <w:pPr>
        <w:spacing w:before="60" w:after="120"/>
        <w:ind w:left="360" w:right="360"/>
        <w:shd w:fill="F2F2F2"/>
      </w:pPr>
      <w:r>
        <w:rPr>
          <w:rFonts w:ascii="Consolas" w:hAnsi="Consolas" w:eastAsia="Microsoft YaHei"/>
          <w:sz w:val="18"/>
        </w:rPr>
        <w:t>conditional catalog fetch → validation → cache update/stale fallback → policy resolution → non-mutating full config check → summary</w:t>
      </w:r>
    </w:p>
    <w:p>
      <w:pPr>
        <w:pStyle w:val="Heading2"/>
      </w:pPr>
      <w:r>
        <w:t>13.3 Fix</w:t>
      </w:r>
    </w:p>
    <w:p>
      <w:pPr>
        <w:spacing w:before="60" w:after="120"/>
        <w:ind w:left="360" w:right="360"/>
        <w:shd w:fill="F2F2F2"/>
      </w:pPr>
      <w:r>
        <w:rPr>
          <w:rFonts w:ascii="Consolas" w:hAnsi="Consolas" w:eastAsia="Microsoft YaHei"/>
          <w:sz w:val="18"/>
        </w:rPr>
        <w:t>local validation → catalog/policy resolution → ownership comparison → repair plan → authorization → concurrent-change check → backup → atomic write → runtime verification</w:t>
      </w:r>
    </w:p>
    <w:p>
      <w:pPr>
        <w:pStyle w:val="Heading2"/>
      </w:pPr>
      <w:r>
        <w:t>13.4 Migrate</w:t>
      </w:r>
    </w:p>
    <w:p>
      <w:pPr>
        <w:spacing w:before="60" w:after="120"/>
        <w:ind w:left="360" w:right="360"/>
        <w:shd w:fill="F2F2F2"/>
      </w:pPr>
      <w:r>
        <w:rPr>
          <w:rFonts w:ascii="Consolas" w:hAnsi="Consolas" w:eastAsia="Microsoft YaHei"/>
          <w:sz w:val="18"/>
        </w:rPr>
        <w:t>source validation → destination discovery/selection → protocol &amp; ownership comparison → preservation plan → authorization → concurrent-change check → backup → destination merge → optional source removal → atomic write → runtime verification</w:t>
      </w:r>
    </w:p>
    <w:p>
      <w:pPr>
        <w:pStyle w:val="Heading1"/>
      </w:pPr>
      <w:r>
        <w:t>14.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152"/>
            <w:vAlign w:val="center"/>
            <w:shd w:fill="D9EAF7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8928"/>
            <w:vAlign w:val="center"/>
            <w:shd w:fill="D9EAF7"/>
          </w:tcPr>
          <w:p>
            <w:r>
              <w:rPr>
                <w:b/>
              </w:rPr>
              <w:t>验收要求</w:t>
            </w:r>
          </w:p>
        </w:tc>
      </w:tr>
      <w:tr>
        <w:tc>
          <w:tcPr>
            <w:tcW w:type="dxa" w:w="1152"/>
            <w:vAlign w:val="center"/>
          </w:tcPr>
          <w:p>
            <w:r>
              <w:t>A1</w:t>
            </w:r>
          </w:p>
        </w:tc>
        <w:tc>
          <w:tcPr>
            <w:tcW w:type="dxa" w:w="8928"/>
            <w:vAlign w:val="center"/>
          </w:tcPr>
          <w:p>
            <w:r>
              <w:t>所有 mutation 使用 read → proposal → authorization → re-read/hash check → backup → atomic write。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A2</w:t>
            </w:r>
          </w:p>
        </w:tc>
        <w:tc>
          <w:tcPr>
            <w:tcW w:type="dxa" w:w="8928"/>
            <w:vAlign w:val="center"/>
          </w:tcPr>
          <w:p>
            <w:r>
              <w:t>JSON/JSONC 无法解析时拒绝写入，不存在 raw overwrite fallback。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A3</w:t>
            </w:r>
          </w:p>
        </w:tc>
        <w:tc>
          <w:tcPr>
            <w:tcW w:type="dxa" w:w="8928"/>
            <w:vAlign w:val="center"/>
          </w:tcPr>
          <w:p>
            <w:r>
              <w:t>未知 top-level/provider/model 字段和无关 provider/model 保持不变。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A4</w:t>
            </w:r>
          </w:p>
        </w:tc>
        <w:tc>
          <w:tcPr>
            <w:tcW w:type="dxa" w:w="8928"/>
            <w:vAlign w:val="center"/>
          </w:tcPr>
          <w:p>
            <w:r>
              <w:t>用户修改后的 managed field 被识别为冲突且不覆盖。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A5</w:t>
            </w:r>
          </w:p>
        </w:tc>
        <w:tc>
          <w:tcPr>
            <w:tcW w:type="dxa" w:w="8928"/>
            <w:vAlign w:val="center"/>
          </w:tcPr>
          <w:p>
            <w:r>
              <w:t>backup 权限安全、命名可冲突避让，write/rename 失败不声称成功。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A6</w:t>
            </w:r>
          </w:p>
        </w:tc>
        <w:tc>
          <w:tcPr>
            <w:tcW w:type="dxa" w:w="8928"/>
            <w:vAlign w:val="center"/>
          </w:tcPr>
          <w:p>
            <w:r>
              <w:t>并发修改通过 hash/mtime 检测，旧 plan 不得覆盖新内容。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B1</w:t>
            </w:r>
          </w:p>
        </w:tc>
        <w:tc>
          <w:tcPr>
            <w:tcW w:type="dxa" w:w="8928"/>
            <w:vAlign w:val="center"/>
          </w:tcPr>
          <w:p>
            <w:r>
              <w:t>add 未指定 model：UI 选择，headless selection-required；不静默选首项。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B2</w:t>
            </w:r>
          </w:p>
        </w:tc>
        <w:tc>
          <w:tcPr>
            <w:tcW w:type="dxa" w:w="8928"/>
            <w:vAlign w:val="center"/>
          </w:tcPr>
          <w:p>
            <w:r>
              <w:t>ambiguous provider/model 在 add/check/fix/migrate 中均不得自动写入。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B3</w:t>
            </w:r>
          </w:p>
        </w:tc>
        <w:tc>
          <w:tcPr>
            <w:tcW w:type="dxa" w:w="8928"/>
            <w:vAlign w:val="center"/>
          </w:tcPr>
          <w:p>
            <w:r>
              <w:t>check 覆盖 endpoint、API、model ID、deprecated、limits、cost、reasoning、cache、headers、metadata/policy version。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B4</w:t>
            </w:r>
          </w:p>
        </w:tc>
        <w:tc>
          <w:tcPr>
            <w:tcW w:type="dxa" w:w="8928"/>
            <w:vAlign w:val="center"/>
          </w:tcPr>
          <w:p>
            <w:r>
              <w:t>无 catalog 时 check 仍返回本地结构/所有权 findings。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B5</w:t>
            </w:r>
          </w:p>
        </w:tc>
        <w:tc>
          <w:tcPr>
            <w:tcW w:type="dxa" w:w="8928"/>
            <w:vAlign w:val="center"/>
          </w:tcPr>
          <w:p>
            <w:r>
              <w:t>refresh 输出 catalog 状态、finding 总数/摘要和 repairable 数量，且不写 models.json。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B6</w:t>
            </w:r>
          </w:p>
        </w:tc>
        <w:tc>
          <w:tcPr>
            <w:tcW w:type="dxa" w:w="8928"/>
            <w:vAlign w:val="center"/>
          </w:tcPr>
          <w:p>
            <w:r>
              <w:t>fix-all 与单模型 fix 均只修改 Doctor 可管理字段。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B7</w:t>
            </w:r>
          </w:p>
        </w:tc>
        <w:tc>
          <w:tcPr>
            <w:tcW w:type="dxa" w:w="8928"/>
            <w:vAlign w:val="center"/>
          </w:tcPr>
          <w:p>
            <w:r>
              <w:t>migrate 默认保留源，--remove-source 才删除；destination conflict 保留目标值。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C1</w:t>
            </w:r>
          </w:p>
        </w:tc>
        <w:tc>
          <w:tcPr>
            <w:tcW w:type="dxa" w:w="8928"/>
            <w:vAlign w:val="center"/>
          </w:tcPr>
          <w:p>
            <w:r>
              <w:t>reasoning 覆盖 toggle/effort/budget/adaptive/unknown，未知 provider 有明确 fallback。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C2</w:t>
            </w:r>
          </w:p>
        </w:tc>
        <w:tc>
          <w:tcPr>
            <w:tcW w:type="dxa" w:w="8928"/>
            <w:vAlign w:val="center"/>
          </w:tcPr>
          <w:p>
            <w:r>
              <w:t>thinkingLevelMap 遵循 omitted/string/null 和 xhigh/max opt-in 语义。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C3</w:t>
            </w:r>
          </w:p>
        </w:tc>
        <w:tc>
          <w:tcPr>
            <w:tcW w:type="dxa" w:w="8928"/>
            <w:vAlign w:val="center"/>
          </w:tcPr>
          <w:p>
            <w:r>
              <w:t>cache 独立表达 capability/control/pricing/usage/retention/affinity，不以 pricing 代替 support。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C4</w:t>
            </w:r>
          </w:p>
        </w:tc>
        <w:tc>
          <w:tcPr>
            <w:tcW w:type="dxa" w:w="8928"/>
            <w:vAlign w:val="center"/>
          </w:tcPr>
          <w:p>
            <w:r>
              <w:t>Pi 无法表达的 cache/reasoning 能力为 advisory/unsupported，不宣称运行时已启用。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C5</w:t>
            </w:r>
          </w:p>
        </w:tc>
        <w:tc>
          <w:tcPr>
            <w:tcW w:type="dxa" w:w="8928"/>
            <w:vAlign w:val="center"/>
          </w:tcPr>
          <w:p>
            <w:r>
              <w:t>PolicyCatalog 有 schemaVersion，非法/旧 policy 安全失效并重新生成。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D1</w:t>
            </w:r>
          </w:p>
        </w:tc>
        <w:tc>
          <w:tcPr>
            <w:tcW w:type="dxa" w:w="8928"/>
            <w:vAlign w:val="center"/>
          </w:tcPr>
          <w:p>
            <w:r>
              <w:t>fresh cache local-first；forced refresh 支持 ETag/Last-Modified/304。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D2</w:t>
            </w:r>
          </w:p>
        </w:tc>
        <w:tc>
          <w:tcPr>
            <w:tcW w:type="dxa" w:w="8928"/>
            <w:vAlign w:val="center"/>
          </w:tcPr>
          <w:p>
            <w:r>
              <w:t>stale + network failure 使用有效旧 cache 并 warning；invalid payload 不覆盖旧 cache。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D3</w:t>
            </w:r>
          </w:p>
        </w:tc>
        <w:tc>
          <w:tcPr>
            <w:tcW w:type="dxa" w:w="8928"/>
            <w:vAlign w:val="center"/>
          </w:tcPr>
          <w:p>
            <w:r>
              <w:t>refresh --dry-run、add/fix/migrate dry-run 不写 config、backup 或 cache。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D4</w:t>
            </w:r>
          </w:p>
        </w:tc>
        <w:tc>
          <w:tcPr>
            <w:tcW w:type="dxa" w:w="8928"/>
            <w:vAlign w:val="center"/>
          </w:tcPr>
          <w:p>
            <w:r>
              <w:t>background refresh 可关闭、shutdown 停止、失败仅 warning、永不写 models.json。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E1</w:t>
            </w:r>
          </w:p>
        </w:tc>
        <w:tc>
          <w:tcPr>
            <w:tcW w:type="dxa" w:w="8928"/>
            <w:vAlign w:val="center"/>
          </w:tcPr>
          <w:p>
            <w:r>
              <w:t>UI mutation 可取消且无副作用；headless mutation 无 --yes 默认拒绝。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E2</w:t>
            </w:r>
          </w:p>
        </w:tc>
        <w:tc>
          <w:tcPr>
            <w:tcW w:type="dxa" w:w="8928"/>
            <w:vAlign w:val="center"/>
          </w:tcPr>
          <w:p>
            <w:r>
              <w:t>API key、headers、Authorization、OAuth、cookie 在所有输出中脱敏。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E3</w:t>
            </w:r>
          </w:p>
        </w:tc>
        <w:tc>
          <w:tcPr>
            <w:tcW w:type="dxa" w:w="8928"/>
            <w:vAlign w:val="center"/>
          </w:tcPr>
          <w:p>
            <w:r>
              <w:t>migration 不复制 secret；cache 不保存 resolved secret。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E4</w:t>
            </w:r>
          </w:p>
        </w:tc>
        <w:tc>
          <w:tcPr>
            <w:tcW w:type="dxa" w:w="8928"/>
            <w:vAlign w:val="center"/>
          </w:tcPr>
          <w:p>
            <w:r>
              <w:t>主动 endpoint probe 为 opt-in，并有 SSRF/redirect/credential 安全策略。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F1</w:t>
            </w:r>
          </w:p>
        </w:tc>
        <w:tc>
          <w:tcPr>
            <w:tcW w:type="dxa" w:w="8928"/>
            <w:vAlign w:val="center"/>
          </w:tcPr>
          <w:p>
            <w:r>
              <w:t>写入后明确报告 persisted-and-active / reload-required / activation-failed / not-persisted。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F2</w:t>
            </w:r>
          </w:p>
        </w:tc>
        <w:tc>
          <w:tcPr>
            <w:tcW w:type="dxa" w:w="8928"/>
            <w:vAlign w:val="center"/>
          </w:tcPr>
          <w:p>
            <w:r>
              <w:t>Pi extension 通过真实 runtime/RPC smoke test 注册 /model-doctor。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F3</w:t>
            </w:r>
          </w:p>
        </w:tc>
        <w:tc>
          <w:tcPr>
            <w:tcW w:type="dxa" w:w="8928"/>
            <w:vAlign w:val="center"/>
          </w:tcPr>
          <w:p>
            <w:r>
              <w:t>typecheck、unit/service/integration tests 和 diff/format checks 全部通过。</w:t>
            </w:r>
          </w:p>
        </w:tc>
      </w:tr>
      <w:tr>
        <w:tc>
          <w:tcPr>
            <w:tcW w:type="dxa" w:w="1152"/>
            <w:vAlign w:val="center"/>
          </w:tcPr>
          <w:p>
            <w:r>
              <w:t>F4</w:t>
            </w:r>
          </w:p>
        </w:tc>
        <w:tc>
          <w:tcPr>
            <w:tcW w:type="dxa" w:w="8928"/>
            <w:vAlign w:val="center"/>
          </w:tcPr>
          <w:p>
            <w:r>
              <w:t>README、命令 help、backend contract 与实际行为一致。</w:t>
            </w:r>
          </w:p>
        </w:tc>
      </w:tr>
    </w:tbl>
    <w:p/>
    <w:p>
      <w:pPr>
        <w:pStyle w:val="Heading1"/>
      </w:pPr>
      <w:r>
        <w:t>15. 自动化测试矩阵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vAlign w:val="center"/>
            <w:shd w:fill="D9EAF7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7920"/>
            <w:vAlign w:val="center"/>
            <w:shd w:fill="D9EAF7"/>
          </w:tcPr>
          <w:p>
            <w:r>
              <w:rPr>
                <w:b/>
              </w:rPr>
              <w:t>必须覆盖</w:t>
            </w:r>
          </w:p>
        </w:tc>
      </w:tr>
      <w:tr>
        <w:tc>
          <w:tcPr>
            <w:tcW w:type="dxa" w:w="2160"/>
            <w:vAlign w:val="center"/>
          </w:tcPr>
          <w:p>
            <w:r>
              <w:t>Parser/command</w:t>
            </w:r>
          </w:p>
        </w:tc>
        <w:tc>
          <w:tcPr>
            <w:tcW w:type="dxa" w:w="7920"/>
            <w:vAlign w:val="center"/>
          </w:tcPr>
          <w:p>
            <w:r>
              <w:t>quoted args、unknown flags、help、dry-run、yes、migrate destination、selection-required。</w:t>
            </w:r>
          </w:p>
        </w:tc>
      </w:tr>
      <w:tr>
        <w:tc>
          <w:tcPr>
            <w:tcW w:type="dxa" w:w="2160"/>
            <w:vAlign w:val="center"/>
          </w:tcPr>
          <w:p>
            <w:r>
              <w:t>JSON boundary</w:t>
            </w:r>
          </w:p>
        </w:tc>
        <w:tc>
          <w:tcPr>
            <w:tcW w:type="dxa" w:w="7920"/>
            <w:vAlign w:val="center"/>
          </w:tcPr>
          <w:p>
            <w:r>
              <w:t>JSONC、trailing comma、invalid root/schema、unknown field preservation、metadata stripping。</w:t>
            </w:r>
          </w:p>
        </w:tc>
      </w:tr>
      <w:tr>
        <w:tc>
          <w:tcPr>
            <w:tcW w:type="dxa" w:w="2160"/>
            <w:vAlign w:val="center"/>
          </w:tcPr>
          <w:p>
            <w:r>
              <w:t>Persistence</w:t>
            </w:r>
          </w:p>
        </w:tc>
        <w:tc>
          <w:tcPr>
            <w:tcW w:type="dxa" w:w="7920"/>
            <w:vAlign w:val="center"/>
          </w:tcPr>
          <w:p>
            <w:r>
              <w:t>backup collision、permission、backup failure、temp write failure、rename failure、cleanup、concurrent modification。</w:t>
            </w:r>
          </w:p>
        </w:tc>
      </w:tr>
      <w:tr>
        <w:tc>
          <w:tcPr>
            <w:tcW w:type="dxa" w:w="2160"/>
            <w:vAlign w:val="center"/>
          </w:tcPr>
          <w:p>
            <w:r>
              <w:t>Cache/network</w:t>
            </w:r>
          </w:p>
        </w:tc>
        <w:tc>
          <w:tcPr>
            <w:tcW w:type="dxa" w:w="7920"/>
            <w:vAlign w:val="center"/>
          </w:tcPr>
          <w:p>
            <w:r>
              <w:t>fresh local、forced refresh、conditional headers、304、timeout、stale fallback、no-cache failure、invalid payload/cache/policy。</w:t>
            </w:r>
          </w:p>
        </w:tc>
      </w:tr>
      <w:tr>
        <w:tc>
          <w:tcPr>
            <w:tcW w:type="dxa" w:w="2160"/>
            <w:vAlign w:val="center"/>
          </w:tcPr>
          <w:p>
            <w:r>
              <w:t>Reasoning</w:t>
            </w:r>
          </w:p>
        </w:tc>
        <w:tc>
          <w:tcPr>
            <w:tcW w:type="dxa" w:w="7920"/>
            <w:vAlign w:val="center"/>
          </w:tcPr>
          <w:p>
            <w:r>
              <w:t>toggle、effort、budget min/max、adaptive、unknown fallback、thinking map holes、xhigh/max。</w:t>
            </w:r>
          </w:p>
        </w:tc>
      </w:tr>
      <w:tr>
        <w:tc>
          <w:tcPr>
            <w:tcW w:type="dxa" w:w="2160"/>
            <w:vAlign w:val="center"/>
          </w:tcPr>
          <w:p>
            <w:r>
              <w:t>Cache engine</w:t>
            </w:r>
          </w:p>
        </w:tc>
        <w:tc>
          <w:tcPr>
            <w:tcW w:type="dxa" w:w="7920"/>
            <w:vAlign w:val="center"/>
          </w:tcPr>
          <w:p>
            <w:r>
              <w:t>prompt/context/KV 独立信号、control vs pricing、各 adapter、advisory unsupported。</w:t>
            </w:r>
          </w:p>
        </w:tc>
      </w:tr>
      <w:tr>
        <w:tc>
          <w:tcPr>
            <w:tcW w:type="dxa" w:w="2160"/>
            <w:vAlign w:val="center"/>
          </w:tcPr>
          <w:p>
            <w:r>
              <w:t>Service</w:t>
            </w:r>
          </w:p>
        </w:tc>
        <w:tc>
          <w:tcPr>
            <w:tcW w:type="dxa" w:w="7920"/>
            <w:vAlign w:val="center"/>
          </w:tcPr>
          <w:p>
            <w:r>
              <w:t>list/check/fix/fix-all/refresh/add/remove/migrate、deprecated、headers、metadata/policy version、ambiguous match。</w:t>
            </w:r>
          </w:p>
        </w:tc>
      </w:tr>
      <w:tr>
        <w:tc>
          <w:tcPr>
            <w:tcW w:type="dxa" w:w="2160"/>
            <w:vAlign w:val="center"/>
          </w:tcPr>
          <w:p>
            <w:r>
              <w:t>Authorization</w:t>
            </w:r>
          </w:p>
        </w:tc>
        <w:tc>
          <w:tcPr>
            <w:tcW w:type="dxa" w:w="7920"/>
            <w:vAlign w:val="center"/>
          </w:tcPr>
          <w:p>
            <w:r>
              <w:t>UI confirm/cancel、headless reject、--yes success、dry-run precedence。</w:t>
            </w:r>
          </w:p>
        </w:tc>
      </w:tr>
      <w:tr>
        <w:tc>
          <w:tcPr>
            <w:tcW w:type="dxa" w:w="2160"/>
            <w:vAlign w:val="center"/>
          </w:tcPr>
          <w:p>
            <w:r>
              <w:t>Secrets</w:t>
            </w:r>
          </w:p>
        </w:tc>
        <w:tc>
          <w:tcPr>
            <w:tcW w:type="dxa" w:w="7920"/>
            <w:vAlign w:val="center"/>
          </w:tcPr>
          <w:p>
            <w:r>
              <w:t>nested headers、URL query secret、raw Error、migration warning、plan before/after redaction。</w:t>
            </w:r>
          </w:p>
        </w:tc>
      </w:tr>
      <w:tr>
        <w:tc>
          <w:tcPr>
            <w:tcW w:type="dxa" w:w="2160"/>
            <w:vAlign w:val="center"/>
          </w:tcPr>
          <w:p>
            <w:r>
              <w:t>Integration</w:t>
            </w:r>
          </w:p>
        </w:tc>
        <w:tc>
          <w:tcPr>
            <w:tcW w:type="dxa" w:w="7920"/>
            <w:vAlign w:val="center"/>
          </w:tcPr>
          <w:p>
            <w:r>
              <w:t>通过真实 Pi extension loader/RPC get_commands 验证注册，无网络和 secret 输出。</w:t>
            </w:r>
          </w:p>
        </w:tc>
      </w:tr>
      <w:tr>
        <w:tc>
          <w:tcPr>
            <w:tcW w:type="dxa" w:w="2160"/>
            <w:vAlign w:val="center"/>
          </w:tcPr>
          <w:p>
            <w:r>
              <w:t>Runtime activation</w:t>
            </w:r>
          </w:p>
        </w:tc>
        <w:tc>
          <w:tcPr>
            <w:tcW w:type="dxa" w:w="7920"/>
            <w:vAlign w:val="center"/>
          </w:tcPr>
          <w:p>
            <w:r>
              <w:t>写入后 active/reload-required/activation-failed 状态。</w:t>
            </w:r>
          </w:p>
        </w:tc>
      </w:tr>
    </w:tbl>
    <w:p/>
    <w:p>
      <w:pPr>
        <w:pStyle w:val="Heading1"/>
      </w:pPr>
      <w:r>
        <w:t>16. Definition of Done</w:t>
      </w:r>
    </w:p>
    <w:p>
      <w:pPr>
        <w:pStyle w:val="ListBullet"/>
      </w:pPr>
      <w:r>
        <w:t>本文所有“必须/不得”要求均有实现或明确的 out-of-scope 记录。</w:t>
      </w:r>
    </w:p>
    <w:p>
      <w:pPr>
        <w:pStyle w:val="ListBullet"/>
      </w:pPr>
      <w:r>
        <w:t>每条验收标准至少有一个自动化测试或可重复的集成验证。</w:t>
      </w:r>
    </w:p>
    <w:p>
      <w:pPr>
        <w:pStyle w:val="ListBullet"/>
      </w:pPr>
      <w:r>
        <w:t>生产代码无已知 TODO/FIXME、secret logging 或为绕过类型系统引入的 unsafe any。</w:t>
      </w:r>
    </w:p>
    <w:p>
      <w:pPr>
        <w:pStyle w:val="ListBullet"/>
      </w:pPr>
      <w:r>
        <w:t>所有写操作具有 backup、atomic write、并发冲突保护和 typed error。</w:t>
      </w:r>
    </w:p>
    <w:p>
      <w:pPr>
        <w:pStyle w:val="ListBullet"/>
      </w:pPr>
      <w:r>
        <w:t>dry-run 对 config、backup、cache 和永久 runtime 状态均无副作用。</w:t>
      </w:r>
    </w:p>
    <w:p>
      <w:pPr>
        <w:pStyle w:val="ListBullet"/>
      </w:pPr>
      <w:r>
        <w:t>文档明确当前 Pi SDK、models.dev schema 和 PolicyCatalog 版本基线。</w:t>
      </w:r>
    </w:p>
    <w:p>
      <w:pPr>
        <w:pStyle w:val="ListBullet"/>
      </w:pPr>
      <w:r>
        <w:t>README、help、backend contract、错误矩阵和实现一致。</w:t>
      </w:r>
    </w:p>
    <w:p>
      <w:pPr>
        <w:pStyle w:val="ListBullet"/>
      </w:pPr>
      <w:r>
        <w:t>typecheck、完整测试、integration smoke 和 diff/format check 通过。</w:t>
      </w:r>
    </w:p>
    <w:p>
      <w:pPr>
        <w:pStyle w:val="ListBullet"/>
      </w:pPr>
      <w:r>
        <w:t>变更已提交；任务和发布记录按项目流程完成。</w:t>
      </w:r>
    </w:p>
    <w:p>
      <w:pPr>
        <w:pStyle w:val="Heading1"/>
      </w:pPr>
      <w:r>
        <w:t>17. 明确的设计决策摘要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vAlign w:val="center"/>
            <w:shd w:fill="D9EAF7"/>
          </w:tcPr>
          <w:p>
            <w:r>
              <w:rPr>
                <w:b/>
              </w:rPr>
              <w:t>决策</w:t>
            </w:r>
          </w:p>
        </w:tc>
        <w:tc>
          <w:tcPr>
            <w:tcW w:type="dxa" w:w="6480"/>
            <w:vAlign w:val="center"/>
            <w:shd w:fill="D9EAF7"/>
          </w:tcPr>
          <w:p>
            <w:r>
              <w:rPr>
                <w:b/>
              </w:rPr>
              <w:t>理由</w:t>
            </w:r>
          </w:p>
        </w:tc>
      </w:tr>
      <w:tr>
        <w:tc>
          <w:tcPr>
            <w:tcW w:type="dxa" w:w="3600"/>
            <w:vAlign w:val="center"/>
          </w:tcPr>
          <w:p>
            <w:r>
              <w:t>Repair 与 recommendation 分离</w:t>
            </w:r>
          </w:p>
        </w:tc>
        <w:tc>
          <w:tcPr>
            <w:tcW w:type="dxa" w:w="6480"/>
            <w:vAlign w:val="center"/>
          </w:tcPr>
          <w:p>
            <w:r>
              <w:t>避免把主观“优化”变成自动覆盖。</w:t>
            </w:r>
          </w:p>
        </w:tc>
      </w:tr>
      <w:tr>
        <w:tc>
          <w:tcPr>
            <w:tcW w:type="dxa" w:w="3600"/>
            <w:vAlign w:val="center"/>
          </w:tcPr>
          <w:p>
            <w:r>
              <w:t>models.dev 是 catalog 来源而非唯一真相</w:t>
            </w:r>
          </w:p>
        </w:tc>
        <w:tc>
          <w:tcPr>
            <w:tcW w:type="dxa" w:w="6480"/>
            <w:vAlign w:val="center"/>
          </w:tcPr>
          <w:p>
            <w:r>
              <w:t>代理、built-in metadata 和用户意图可能更准确。</w:t>
            </w:r>
          </w:p>
        </w:tc>
      </w:tr>
      <w:tr>
        <w:tc>
          <w:tcPr>
            <w:tcW w:type="dxa" w:w="3600"/>
            <w:vAlign w:val="center"/>
          </w:tcPr>
          <w:p>
            <w:r>
              <w:t>Pi-expressible 与 advisory capability 分离</w:t>
            </w:r>
          </w:p>
        </w:tc>
        <w:tc>
          <w:tcPr>
            <w:tcW w:type="dxa" w:w="6480"/>
            <w:vAlign w:val="center"/>
          </w:tcPr>
          <w:p>
            <w:r>
              <w:t>避免写入 Pi 不消费的伪运行时字段。</w:t>
            </w:r>
          </w:p>
        </w:tc>
      </w:tr>
      <w:tr>
        <w:tc>
          <w:tcPr>
            <w:tcW w:type="dxa" w:w="3600"/>
            <w:vAlign w:val="center"/>
          </w:tcPr>
          <w:p>
            <w:r>
              <w:t>field-level snapshot ownership</w:t>
            </w:r>
          </w:p>
        </w:tc>
        <w:tc>
          <w:tcPr>
            <w:tcW w:type="dxa" w:w="6480"/>
            <w:vAlign w:val="center"/>
          </w:tcPr>
          <w:p>
            <w:r>
              <w:t>安全识别用户在 Doctor 写入后的修改。</w:t>
            </w:r>
          </w:p>
        </w:tc>
      </w:tr>
      <w:tr>
        <w:tc>
          <w:tcPr>
            <w:tcW w:type="dxa" w:w="3600"/>
            <w:vAlign w:val="center"/>
          </w:tcPr>
          <w:p>
            <w:r>
              <w:t>禁止 raw overwrite fallback</w:t>
            </w:r>
          </w:p>
        </w:tc>
        <w:tc>
          <w:tcPr>
            <w:tcW w:type="dxa" w:w="6480"/>
            <w:vAlign w:val="center"/>
          </w:tcPr>
          <w:p>
            <w:r>
              <w:t>解析失败时安全优先。</w:t>
            </w:r>
          </w:p>
        </w:tc>
      </w:tr>
      <w:tr>
        <w:tc>
          <w:tcPr>
            <w:tcW w:type="dxa" w:w="3600"/>
            <w:vAlign w:val="center"/>
          </w:tcPr>
          <w:p>
            <w:r>
              <w:t>确认后重新读取并比较 hash</w:t>
            </w:r>
          </w:p>
        </w:tc>
        <w:tc>
          <w:tcPr>
            <w:tcW w:type="dxa" w:w="6480"/>
            <w:vAlign w:val="center"/>
          </w:tcPr>
          <w:p>
            <w:r>
              <w:t>防止多个 Pi session 造成 lost update。</w:t>
            </w:r>
          </w:p>
        </w:tc>
      </w:tr>
      <w:tr>
        <w:tc>
          <w:tcPr>
            <w:tcW w:type="dxa" w:w="3600"/>
            <w:vAlign w:val="center"/>
          </w:tcPr>
          <w:p>
            <w:r>
              <w:t>runtime activation 与持久化分层</w:t>
            </w:r>
          </w:p>
        </w:tc>
        <w:tc>
          <w:tcPr>
            <w:tcW w:type="dxa" w:w="6480"/>
            <w:vAlign w:val="center"/>
          </w:tcPr>
          <w:p>
            <w:r>
              <w:t>写入文件不等于当前 session 已生效。</w:t>
            </w:r>
          </w:p>
        </w:tc>
      </w:tr>
      <w:tr>
        <w:tc>
          <w:tcPr>
            <w:tcW w:type="dxa" w:w="3600"/>
            <w:vAlign w:val="center"/>
          </w:tcPr>
          <w:p>
            <w:r>
              <w:t>凭据永远 user-owned</w:t>
            </w:r>
          </w:p>
        </w:tc>
        <w:tc>
          <w:tcPr>
            <w:tcW w:type="dxa" w:w="6480"/>
            <w:vAlign w:val="center"/>
          </w:tcPr>
          <w:p>
            <w:r>
              <w:t>降低 session、plan、backup 和 migration 泄漏风险。</w:t>
            </w:r>
          </w:p>
        </w:tc>
      </w:tr>
      <w:tr>
        <w:tc>
          <w:tcPr>
            <w:tcW w:type="dxa" w:w="3600"/>
            <w:vAlign w:val="center"/>
          </w:tcPr>
          <w:p>
            <w:r>
              <w:t>migration 默认保留源</w:t>
            </w:r>
          </w:p>
        </w:tc>
        <w:tc>
          <w:tcPr>
            <w:tcW w:type="dxa" w:w="6480"/>
            <w:vAlign w:val="center"/>
          </w:tcPr>
          <w:p>
            <w:r>
              <w:t>提供安全回滚路径。</w:t>
            </w:r>
          </w:p>
        </w:tc>
      </w:tr>
    </w:tbl>
    <w:p/>
    <w:p>
      <w:pPr>
        <w:pStyle w:val="Heading1"/>
      </w:pPr>
      <w:r>
        <w:t>18. Out of Scope</w:t>
      </w:r>
    </w:p>
    <w:p>
      <w:pPr>
        <w:pStyle w:val="ListBullet"/>
      </w:pPr>
      <w:r>
        <w:t>自动评测模型质量并选择“最佳模型”。</w:t>
      </w:r>
    </w:p>
    <w:p>
      <w:pPr>
        <w:pStyle w:val="ListBullet"/>
      </w:pPr>
      <w:r>
        <w:t>自动删除 deprecated 或无法匹配的模型。</w:t>
      </w:r>
    </w:p>
    <w:p>
      <w:pPr>
        <w:pStyle w:val="ListBullet"/>
      </w:pPr>
      <w:r>
        <w:t>未经授权向任意 endpoint 发送凭据或主动探测。</w:t>
      </w:r>
    </w:p>
    <w:p>
      <w:pPr>
        <w:pStyle w:val="ListBullet"/>
      </w:pPr>
      <w:r>
        <w:t>实现 Pi 本身不支持的 provider runtime 行为；此类能力只能 advisory 或由独立 native provider extension 实现。</w:t>
      </w:r>
    </w:p>
    <w:p>
      <w:pPr>
        <w:pStyle w:val="ListBullet"/>
      </w:pPr>
      <w:r>
        <w:t>将 literal secret 从一个 provider/model 自动迁移到另一个。</w:t>
      </w:r>
    </w:p>
    <w:p>
      <w:pPr>
        <w:pStyle w:val="ListBullet"/>
      </w:pPr>
      <w:r>
        <w:t>网络推送、PR 创建、发布或部署。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Pi Model Doctor v3 · 最终验收规范修订版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 Model Doctor - Auto Configurator 实施方案 v3（最终验收规范修订版）</dc:title>
  <dc:subject>Pi Model Doctor engineering and acceptance specification</dc:subject>
  <dc:creator>Pi Model Doctor Project</dc:creator>
  <cp:keywords>Pi, Model Doctor, models.json, models.dev, acceptance specification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