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EE4" w:rsidRDefault="00195EE4" w:rsidP="00195EE4">
      <w:pPr>
        <w:pStyle w:val="a5"/>
        <w:spacing w:before="0" w:beforeAutospacing="0" w:after="0" w:afterAutospacing="0"/>
        <w:jc w:val="center"/>
        <w:rPr>
          <w:rFonts w:ascii="微软雅黑" w:eastAsia="微软雅黑" w:hAnsi="微软雅黑"/>
          <w:sz w:val="22"/>
          <w:szCs w:val="22"/>
        </w:rPr>
      </w:pPr>
      <w:r w:rsidRPr="00195EE4">
        <w:rPr>
          <w:rFonts w:ascii="微软雅黑" w:eastAsia="微软雅黑" w:hAnsi="微软雅黑" w:hint="eastAsia"/>
          <w:b/>
          <w:sz w:val="28"/>
          <w:szCs w:val="22"/>
        </w:rPr>
        <w:t>国铁</w:t>
      </w:r>
      <w:r w:rsidRPr="00195EE4">
        <w:rPr>
          <w:rFonts w:ascii="微软雅黑" w:eastAsia="微软雅黑" w:hAnsi="微软雅黑"/>
          <w:b/>
          <w:sz w:val="28"/>
          <w:szCs w:val="22"/>
        </w:rPr>
        <w:t>无缝线路布置自动设计软件操作</w:t>
      </w:r>
      <w:r w:rsidRPr="00195EE4">
        <w:rPr>
          <w:rFonts w:ascii="微软雅黑" w:eastAsia="微软雅黑" w:hAnsi="微软雅黑" w:hint="eastAsia"/>
          <w:b/>
          <w:sz w:val="28"/>
          <w:szCs w:val="22"/>
        </w:rPr>
        <w:t>说明</w:t>
      </w:r>
    </w:p>
    <w:p w:rsidR="00195EE4" w:rsidRDefault="00195EE4" w:rsidP="00195EE4">
      <w:pPr>
        <w:pStyle w:val="a5"/>
        <w:spacing w:before="0" w:beforeAutospacing="0" w:after="0" w:afterAutospacing="0"/>
        <w:ind w:firstLineChars="200" w:firstLine="440"/>
        <w:rPr>
          <w:rFonts w:ascii="微软雅黑" w:eastAsia="微软雅黑" w:hAnsi="微软雅黑"/>
          <w:sz w:val="22"/>
          <w:szCs w:val="22"/>
        </w:rPr>
      </w:pPr>
      <w:r>
        <w:rPr>
          <w:rFonts w:ascii="微软雅黑" w:eastAsia="微软雅黑" w:hAnsi="微软雅黑" w:hint="eastAsia"/>
          <w:sz w:val="22"/>
          <w:szCs w:val="22"/>
        </w:rPr>
        <w:t>本文</w:t>
      </w:r>
      <w:r>
        <w:rPr>
          <w:rFonts w:ascii="微软雅黑" w:eastAsia="微软雅黑" w:hAnsi="微软雅黑"/>
          <w:sz w:val="22"/>
          <w:szCs w:val="22"/>
        </w:rPr>
        <w:t>以</w:t>
      </w:r>
      <w:r>
        <w:rPr>
          <w:rFonts w:ascii="微软雅黑" w:eastAsia="微软雅黑" w:hAnsi="微软雅黑" w:hint="eastAsia"/>
          <w:sz w:val="22"/>
          <w:szCs w:val="22"/>
        </w:rPr>
        <w:t>法门寺车站无缝线路布置图设计</w:t>
      </w:r>
      <w:r>
        <w:rPr>
          <w:rFonts w:ascii="微软雅黑" w:eastAsia="微软雅黑" w:hAnsi="微软雅黑"/>
          <w:sz w:val="22"/>
          <w:szCs w:val="22"/>
        </w:rPr>
        <w:t>为例，说明</w:t>
      </w:r>
      <w:r>
        <w:rPr>
          <w:rFonts w:ascii="微软雅黑" w:eastAsia="微软雅黑" w:hAnsi="微软雅黑" w:hint="eastAsia"/>
          <w:sz w:val="22"/>
          <w:szCs w:val="22"/>
        </w:rPr>
        <w:t>国铁无缝线路</w:t>
      </w:r>
      <w:r>
        <w:rPr>
          <w:rFonts w:ascii="微软雅黑" w:eastAsia="微软雅黑" w:hAnsi="微软雅黑"/>
          <w:sz w:val="22"/>
          <w:szCs w:val="22"/>
        </w:rPr>
        <w:t>布置自动设计</w:t>
      </w:r>
      <w:r>
        <w:rPr>
          <w:rFonts w:ascii="微软雅黑" w:eastAsia="微软雅黑" w:hAnsi="微软雅黑" w:hint="eastAsia"/>
          <w:sz w:val="22"/>
          <w:szCs w:val="22"/>
        </w:rPr>
        <w:t>软件的使用</w:t>
      </w:r>
      <w:r>
        <w:rPr>
          <w:rFonts w:ascii="微软雅黑" w:eastAsia="微软雅黑" w:hAnsi="微软雅黑"/>
          <w:sz w:val="22"/>
          <w:szCs w:val="22"/>
        </w:rPr>
        <w:t>步骤</w:t>
      </w:r>
      <w:r>
        <w:rPr>
          <w:rFonts w:ascii="微软雅黑" w:eastAsia="微软雅黑" w:hAnsi="微软雅黑" w:hint="eastAsia"/>
          <w:sz w:val="22"/>
          <w:szCs w:val="22"/>
        </w:rPr>
        <w:t>。</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、新建</w:t>
      </w:r>
      <w:r>
        <w:rPr>
          <w:rFonts w:ascii="Calibri" w:hAnsi="Calibri"/>
          <w:sz w:val="22"/>
          <w:szCs w:val="22"/>
        </w:rPr>
        <w:t>dwg</w:t>
      </w:r>
      <w:r>
        <w:rPr>
          <w:rFonts w:ascii="微软雅黑" w:eastAsia="微软雅黑" w:hAnsi="微软雅黑" w:hint="eastAsia"/>
          <w:sz w:val="22"/>
          <w:szCs w:val="22"/>
        </w:rPr>
        <w:t>文件，从站场提供的施工图中复制车站站场线条、道岔编号、车站名称、车站中心里程、道岔表、道岔及设备坐标表以及无缝线路布置图用到的图例（可从测试项目</w:t>
      </w:r>
      <w:r>
        <w:rPr>
          <w:rFonts w:ascii="Calibri" w:hAnsi="Calibri"/>
          <w:sz w:val="22"/>
          <w:szCs w:val="22"/>
        </w:rPr>
        <w:t>/</w:t>
      </w:r>
      <w:r w:rsidR="001A6154" w:rsidRPr="001A6154">
        <w:rPr>
          <w:rFonts w:ascii="微软雅黑" w:eastAsia="微软雅黑" w:hAnsi="微软雅黑" w:hint="eastAsia"/>
          <w:sz w:val="22"/>
          <w:szCs w:val="22"/>
        </w:rPr>
        <w:t>眉县站无缝线路布置图-20190104-图例.dwg</w:t>
      </w:r>
      <w:r>
        <w:rPr>
          <w:rFonts w:ascii="微软雅黑" w:eastAsia="微软雅黑" w:hAnsi="微软雅黑" w:hint="eastAsia"/>
          <w:sz w:val="22"/>
          <w:szCs w:val="22"/>
        </w:rPr>
        <w:t>中复制进来）到新</w:t>
      </w:r>
      <w:r>
        <w:rPr>
          <w:rFonts w:ascii="Calibri" w:hAnsi="Calibri"/>
          <w:sz w:val="22"/>
          <w:szCs w:val="22"/>
        </w:rPr>
        <w:t>dwg</w:t>
      </w:r>
      <w:r>
        <w:rPr>
          <w:rFonts w:ascii="微软雅黑" w:eastAsia="微软雅黑" w:hAnsi="微软雅黑" w:hint="eastAsia"/>
          <w:sz w:val="22"/>
          <w:szCs w:val="22"/>
        </w:rPr>
        <w:t>文件中，将站场的线条（不车站中心里程文字）做成“站场线”块。</w:t>
      </w:r>
    </w:p>
    <w:p w:rsidR="00195EE4" w:rsidRDefault="00195EE4" w:rsidP="00195EE4">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注意：</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）“站场线”块的插入点设置一般为站场中心里程处竖线与正线下行线的交点（以站场坐标系为准）。纵坐标为</w:t>
      </w:r>
      <w:r>
        <w:rPr>
          <w:rFonts w:ascii="Calibri" w:hAnsi="Calibri"/>
          <w:sz w:val="22"/>
          <w:szCs w:val="22"/>
        </w:rPr>
        <w:t>0</w:t>
      </w:r>
      <w:r>
        <w:rPr>
          <w:rFonts w:ascii="微软雅黑" w:eastAsia="微软雅黑" w:hAnsi="微软雅黑" w:hint="eastAsia"/>
          <w:sz w:val="22"/>
          <w:szCs w:val="22"/>
        </w:rPr>
        <w:t>的正线是上行线还是下行线，可以借助道岔及设备坐标表中道岔的纵坐标来判定。且须观察是否为向上纵坐标增大，后续输入要用到。</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）两个表格的放置位置最好成阶梯状，即横竖两个方向均互不相同，方便程序后续识别。</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3</w:t>
      </w:r>
      <w:r>
        <w:rPr>
          <w:rFonts w:ascii="微软雅黑" w:eastAsia="微软雅黑" w:hAnsi="微软雅黑" w:hint="eastAsia"/>
          <w:sz w:val="22"/>
          <w:szCs w:val="22"/>
        </w:rPr>
        <w:t>）需要保证这两个表中所有道岔号码的表示方式统一为“岔1”或“</w:t>
      </w:r>
      <w:r>
        <w:rPr>
          <w:rFonts w:ascii="微软雅黑" w:eastAsia="微软雅黑" w:hAnsi="微软雅黑" w:cs="微软雅黑" w:hint="eastAsia"/>
          <w:sz w:val="22"/>
          <w:szCs w:val="22"/>
        </w:rPr>
        <w:t>①</w:t>
      </w:r>
      <w:r>
        <w:rPr>
          <w:rFonts w:ascii="微软雅黑" w:eastAsia="微软雅黑" w:hAnsi="微软雅黑" w:hint="eastAsia"/>
          <w:sz w:val="22"/>
          <w:szCs w:val="22"/>
        </w:rPr>
        <w:t>”中的一种，且每个道岔号码均为单个单行文本，最好只包含"岔x"或单纯的数字，不要包含“，”“,”“、”等其他字符。如果原表格中道岔号码直接用数字表示时可以手工添加“</w:t>
      </w:r>
      <w:r>
        <w:rPr>
          <w:rFonts w:ascii="Segoe UI Symbol" w:hAnsi="Segoe UI Symbol"/>
          <w:sz w:val="22"/>
          <w:szCs w:val="22"/>
        </w:rPr>
        <w:t>○</w:t>
      </w:r>
      <w:r>
        <w:rPr>
          <w:rFonts w:ascii="微软雅黑" w:eastAsia="微软雅黑" w:hAnsi="微软雅黑" w:hint="eastAsia"/>
          <w:sz w:val="22"/>
          <w:szCs w:val="22"/>
        </w:rPr>
        <w:t>”包含道岔号码或在道岔号码前添加“岔”字，推荐采用手工添加“</w:t>
      </w:r>
      <w:r>
        <w:rPr>
          <w:rFonts w:ascii="Segoe UI Symbol" w:hAnsi="Segoe UI Symbol"/>
          <w:sz w:val="22"/>
          <w:szCs w:val="22"/>
        </w:rPr>
        <w:t>○</w:t>
      </w:r>
      <w:r>
        <w:rPr>
          <w:rFonts w:ascii="微软雅黑" w:eastAsia="微软雅黑" w:hAnsi="微软雅黑" w:hint="eastAsia"/>
          <w:sz w:val="22"/>
          <w:szCs w:val="22"/>
        </w:rPr>
        <w:t>”的方式，绘制“</w:t>
      </w:r>
      <w:r>
        <w:rPr>
          <w:rFonts w:ascii="Segoe UI Symbol" w:hAnsi="Segoe UI Symbol"/>
          <w:sz w:val="22"/>
          <w:szCs w:val="22"/>
        </w:rPr>
        <w:t>○</w:t>
      </w:r>
      <w:r>
        <w:rPr>
          <w:rFonts w:ascii="微软雅黑" w:eastAsia="微软雅黑" w:hAnsi="微软雅黑" w:hint="eastAsia"/>
          <w:sz w:val="22"/>
          <w:szCs w:val="22"/>
        </w:rPr>
        <w:t>”时要注意圆能够包住文字，且圆包住文字后两个圆之间不能重叠。</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4</w:t>
      </w:r>
      <w:r>
        <w:rPr>
          <w:rFonts w:ascii="微软雅黑" w:eastAsia="微软雅黑" w:hAnsi="微软雅黑" w:hint="eastAsia"/>
          <w:sz w:val="22"/>
          <w:szCs w:val="22"/>
        </w:rPr>
        <w:t>）道岔表中需要注意：表中“左开”“右开”两列对应的道岔号码要尽可能集中在每一列的正下方；每一类道岔型号对应的道岔号码即表中每一行</w:t>
      </w:r>
      <w:r>
        <w:rPr>
          <w:rFonts w:ascii="Calibri" w:hAnsi="Calibri"/>
          <w:sz w:val="22"/>
          <w:szCs w:val="22"/>
        </w:rPr>
        <w:t>y</w:t>
      </w:r>
      <w:r>
        <w:rPr>
          <w:rFonts w:ascii="微软雅黑" w:eastAsia="微软雅黑" w:hAnsi="微软雅黑" w:hint="eastAsia"/>
          <w:sz w:val="22"/>
          <w:szCs w:val="22"/>
        </w:rPr>
        <w:t>坐标的选择范围是道岔型号文字坐标上下各</w:t>
      </w:r>
      <w:r>
        <w:rPr>
          <w:rFonts w:ascii="Calibri" w:hAnsi="Calibri"/>
          <w:sz w:val="22"/>
          <w:szCs w:val="22"/>
        </w:rPr>
        <w:t>2.0</w:t>
      </w:r>
      <w:r>
        <w:rPr>
          <w:rFonts w:ascii="微软雅黑" w:eastAsia="微软雅黑" w:hAnsi="微软雅黑" w:hint="eastAsia"/>
          <w:sz w:val="22"/>
          <w:szCs w:val="22"/>
        </w:rPr>
        <w:t>倍的字高，因此需要保证道岔号码尽可能和道岔型号文字在同一行。可参考下图进行格式调整。</w:t>
      </w:r>
    </w:p>
    <w:p w:rsidR="00195EE4" w:rsidRDefault="00195EE4" w:rsidP="00195EE4">
      <w:pPr>
        <w:pStyle w:val="a5"/>
        <w:spacing w:before="0" w:beforeAutospacing="0" w:after="0" w:afterAutospacing="0"/>
        <w:rPr>
          <w:rFonts w:ascii="Calibri" w:hAnsi="Calibri"/>
          <w:sz w:val="22"/>
          <w:szCs w:val="22"/>
        </w:rPr>
      </w:pPr>
      <w:r>
        <w:rPr>
          <w:rFonts w:ascii="Calibri" w:hAnsi="Calibri"/>
          <w:noProof/>
          <w:sz w:val="22"/>
          <w:szCs w:val="22"/>
        </w:rPr>
        <w:lastRenderedPageBreak/>
        <w:drawing>
          <wp:inline distT="0" distB="0" distL="0" distR="0">
            <wp:extent cx="5715000" cy="1913255"/>
            <wp:effectExtent l="0" t="0" r="0" b="0"/>
            <wp:docPr id="2" name="图片 2" descr="道 岔 表 &#10;方 向 轨 型 &#10;场 别 (Kg/m) &#10;辙 叉 &#10;号 数 &#10;1 / 18 &#10;1 / 18 &#10;道 岔 &#10;类 型 &#10;单 开 道 岔 &#10;单 开 道 岔 &#10;数 量 设 计 采 用 图 号 附 注 &#10;新 西 安 南 &#10;机 场 &#10;60 &#10;60 &#10;12 &#10;8 &#10;GLC(07) 02 &#10;GLC(07) 02 &#10;无 缝 &#10;无 缝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道 岔 表 &#10;方 向 轨 型 &#10;场 别 (Kg/m) &#10;辙 叉 &#10;号 数 &#10;1 / 18 &#10;1 / 18 &#10;道 岔 &#10;类 型 &#10;单 开 道 岔 &#10;单 开 道 岔 &#10;数 量 设 计 采 用 图 号 附 注 &#10;新 西 安 南 &#10;机 场 &#10;60 &#10;60 &#10;12 &#10;8 &#10;GLC(07) 02 &#10;GLC(07) 02 &#10;无 缝 &#10;无 缝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13255"/>
                    </a:xfrm>
                    <a:prstGeom prst="rect">
                      <a:avLst/>
                    </a:prstGeom>
                    <a:noFill/>
                    <a:ln>
                      <a:noFill/>
                    </a:ln>
                  </pic:spPr>
                </pic:pic>
              </a:graphicData>
            </a:graphic>
          </wp:inline>
        </w:drawing>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5</w:t>
      </w:r>
      <w:r>
        <w:rPr>
          <w:rFonts w:ascii="微软雅黑" w:eastAsia="微软雅黑" w:hAnsi="微软雅黑" w:hint="eastAsia"/>
          <w:sz w:val="22"/>
          <w:szCs w:val="22"/>
        </w:rPr>
        <w:t>）道岔及设备坐标表中要注意：</w:t>
      </w:r>
    </w:p>
    <w:p w:rsidR="00195EE4" w:rsidRDefault="00195EE4" w:rsidP="00195EE4">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车站两个方向的道岔坐标一般会分为两竖栏，尽量保证分开的距离大一些，如下图所示。</w:t>
      </w:r>
    </w:p>
    <w:p w:rsidR="00195EE4" w:rsidRDefault="00195EE4" w:rsidP="00195EE4">
      <w:pPr>
        <w:pStyle w:val="a5"/>
        <w:spacing w:before="0" w:beforeAutospacing="0" w:after="0" w:afterAutospacing="0"/>
        <w:rPr>
          <w:rFonts w:ascii="Calibri" w:hAnsi="Calibri"/>
          <w:sz w:val="22"/>
          <w:szCs w:val="22"/>
        </w:rPr>
      </w:pPr>
      <w:r>
        <w:rPr>
          <w:rFonts w:ascii="Calibri" w:hAnsi="Calibri"/>
          <w:noProof/>
          <w:sz w:val="22"/>
          <w:szCs w:val="22"/>
        </w:rPr>
        <w:drawing>
          <wp:inline distT="0" distB="0" distL="0" distR="0">
            <wp:extent cx="5715000" cy="3378200"/>
            <wp:effectExtent l="0" t="0" r="0" b="0"/>
            <wp:docPr id="1" name="图片 1" descr="道 及 、 坐 一 &#10;坐 标 系 统 说 明 ： 以 西 法 下 行 正 线 为 ， 垂 直 于 正 线 方 向 为 Y 轴 ， 正 线 左 侧 为 负 ， 右 为 正 &#10;坐 标 值 &#10;方 向 设 备 &#10;方 向 设 各 &#10;场 别 编 号 &#10;场 别 编 号 &#10;新 &#10;西 &#10;安 &#10;O &#10;O &#10;O &#10;O &#10;O &#10;O &#10;O &#10;O &#10;O &#10;O &#10;O &#10;挡 2 &#10;挡 4 &#10;X &#10;DB8 + 5 ． 366 &#10;DK38 + 4 ． 966 &#10;DB8 + 5 ． 366 &#10;DK38 + 49 ． ％ 6 &#10;DK38 + 2 ％ ． 508 &#10;DB8 + 213 ， 708 &#10;DK38 + 開 000 &#10;DB8 + 4 ． 000 &#10;DB7 + 974 ． 000 &#10;DK37 + 000 &#10;DB? + 9 橇 000 &#10;DK37 + 4 ． 000 &#10;DK38 + 652 ． 674 &#10;DB8 + 652 ， 674 &#10;Y &#10;一 5 ． 3 開 &#10;0 ． 000 &#10;9 ． 90D &#10;4 ． 600 &#10;0 ． 00D &#10;4 ， 600 &#10;4 ． 600 &#10;0 ． 00D &#10;9 ． 600 &#10;14 ． 6 閌 &#10;一 5 ． 0 閌 &#10;一 10 ． 0 開 &#10;9 ． 90D &#10;一 5 ， 3 閌 &#10;机 &#10;场 &#10;C 〕 &#10;C 〕 &#10;C 〕 &#10;O &#10;O &#10;C 〕 &#10;C 〕 &#10;O &#10;坐 标 值 &#10;X &#10;DK36 + 2 ． 213 &#10;DK36 + 377 ． 013 &#10;DK36 + 83 &amp; 的 0 &#10;DK36 2L7g0 &#10;DK37 35 ． 2 &#10;DK3t 35 · 2 &#10;DK37 + 125 ． 2 &#10;DK37 + 125 ． 2 &#10;仇 000 &#10;生 600 &#10;4 ． 600 &#10;0.000 &#10;0 ． 000 &#10;4 ． 600 &#10;一 5 ． 000 &#10;9 ． 6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道 及 、 坐 一 &#10;坐 标 系 统 说 明 ： 以 西 法 下 行 正 线 为 ， 垂 直 于 正 线 方 向 为 Y 轴 ， 正 线 左 侧 为 负 ， 右 为 正 &#10;坐 标 值 &#10;方 向 设 备 &#10;方 向 设 各 &#10;场 别 编 号 &#10;场 别 编 号 &#10;新 &#10;西 &#10;安 &#10;O &#10;O &#10;O &#10;O &#10;O &#10;O &#10;O &#10;O &#10;O &#10;O &#10;O &#10;挡 2 &#10;挡 4 &#10;X &#10;DB8 + 5 ． 366 &#10;DK38 + 4 ． 966 &#10;DB8 + 5 ． 366 &#10;DK38 + 49 ． ％ 6 &#10;DK38 + 2 ％ ． 508 &#10;DB8 + 213 ， 708 &#10;DK38 + 開 000 &#10;DB8 + 4 ． 000 &#10;DB7 + 974 ． 000 &#10;DK37 + 000 &#10;DB? + 9 橇 000 &#10;DK37 + 4 ． 000 &#10;DK38 + 652 ． 674 &#10;DB8 + 652 ， 674 &#10;Y &#10;一 5 ． 3 開 &#10;0 ． 000 &#10;9 ． 90D &#10;4 ． 600 &#10;0 ． 00D &#10;4 ， 600 &#10;4 ． 600 &#10;0 ． 00D &#10;9 ． 600 &#10;14 ． 6 閌 &#10;一 5 ． 0 閌 &#10;一 10 ． 0 開 &#10;9 ． 90D &#10;一 5 ， 3 閌 &#10;机 &#10;场 &#10;C 〕 &#10;C 〕 &#10;C 〕 &#10;O &#10;O &#10;C 〕 &#10;C 〕 &#10;O &#10;坐 标 值 &#10;X &#10;DK36 + 2 ． 213 &#10;DK36 + 377 ． 013 &#10;DK36 + 83 &amp; 的 0 &#10;DK36 2L7g0 &#10;DK37 35 ． 2 &#10;DK3t 35 · 2 &#10;DK37 + 125 ． 2 &#10;DK37 + 125 ． 2 &#10;仇 000 &#10;生 600 &#10;4 ． 600 &#10;0.000 &#10;0 ． 000 &#10;4 ． 600 &#10;一 5 ． 000 &#10;9 ． 60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78200"/>
                    </a:xfrm>
                    <a:prstGeom prst="rect">
                      <a:avLst/>
                    </a:prstGeom>
                    <a:noFill/>
                    <a:ln>
                      <a:noFill/>
                    </a:ln>
                  </pic:spPr>
                </pic:pic>
              </a:graphicData>
            </a:graphic>
          </wp:inline>
        </w:drawing>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6</w:t>
      </w:r>
      <w:r>
        <w:rPr>
          <w:rFonts w:ascii="微软雅黑" w:eastAsia="微软雅黑" w:hAnsi="微软雅黑" w:hint="eastAsia"/>
          <w:sz w:val="22"/>
          <w:szCs w:val="22"/>
        </w:rPr>
        <w:t>）道岔及设备坐标表中要注意：检查表格数据，有可能站场提供的数据有误，如上图中道岔</w:t>
      </w:r>
      <w:r>
        <w:rPr>
          <w:rFonts w:ascii="Calibri" w:hAnsi="Calibri"/>
          <w:sz w:val="22"/>
          <w:szCs w:val="22"/>
        </w:rPr>
        <w:t>8</w:t>
      </w:r>
      <w:r>
        <w:rPr>
          <w:rFonts w:ascii="微软雅黑" w:eastAsia="微软雅黑" w:hAnsi="微软雅黑" w:hint="eastAsia"/>
          <w:sz w:val="22"/>
          <w:szCs w:val="22"/>
        </w:rPr>
        <w:t>的横坐标应该为</w:t>
      </w:r>
      <w:r>
        <w:rPr>
          <w:rFonts w:ascii="Calibri" w:hAnsi="Calibri"/>
          <w:sz w:val="22"/>
          <w:szCs w:val="22"/>
        </w:rPr>
        <w:t>DK38+409.966</w:t>
      </w:r>
      <w:r>
        <w:rPr>
          <w:rFonts w:ascii="微软雅黑" w:eastAsia="微软雅黑" w:hAnsi="微软雅黑" w:hint="eastAsia"/>
          <w:sz w:val="22"/>
          <w:szCs w:val="22"/>
        </w:rPr>
        <w:t>。</w:t>
      </w:r>
    </w:p>
    <w:p w:rsidR="00195EE4" w:rsidRDefault="00C232BE" w:rsidP="00195EE4">
      <w:pPr>
        <w:pStyle w:val="a5"/>
        <w:spacing w:before="0" w:beforeAutospacing="0" w:after="0" w:afterAutospacing="0"/>
        <w:rPr>
          <w:rFonts w:ascii="Calibri" w:hAnsi="Calibri"/>
          <w:sz w:val="22"/>
          <w:szCs w:val="22"/>
        </w:rPr>
      </w:pPr>
      <w:r>
        <w:rPr>
          <w:rFonts w:ascii="微软雅黑" w:eastAsia="微软雅黑" w:hAnsi="微软雅黑" w:hint="eastAsia"/>
          <w:sz w:val="22"/>
          <w:szCs w:val="22"/>
        </w:rPr>
        <w:t>2</w:t>
      </w:r>
      <w:r w:rsidR="00195EE4">
        <w:rPr>
          <w:rFonts w:ascii="微软雅黑" w:eastAsia="微软雅黑" w:hAnsi="微软雅黑" w:hint="eastAsia"/>
          <w:sz w:val="22"/>
          <w:szCs w:val="22"/>
        </w:rPr>
        <w:t>、</w:t>
      </w:r>
      <w:r w:rsidR="00F84786">
        <w:rPr>
          <w:rFonts w:ascii="微软雅黑" w:eastAsia="微软雅黑" w:hAnsi="微软雅黑" w:hint="eastAsia"/>
          <w:sz w:val="22"/>
          <w:szCs w:val="22"/>
        </w:rPr>
        <w:t>打开</w:t>
      </w:r>
      <w:r w:rsidR="00F84786">
        <w:rPr>
          <w:rFonts w:ascii="微软雅黑" w:eastAsia="微软雅黑" w:hAnsi="微软雅黑"/>
          <w:sz w:val="22"/>
          <w:szCs w:val="22"/>
        </w:rPr>
        <w:t>国铁无缝线路布置自动设计软件，</w:t>
      </w:r>
      <w:r w:rsidR="00F84786">
        <w:rPr>
          <w:rFonts w:ascii="微软雅黑" w:eastAsia="微软雅黑" w:hAnsi="微软雅黑" w:hint="eastAsia"/>
          <w:sz w:val="22"/>
          <w:szCs w:val="22"/>
        </w:rPr>
        <w:t>打开方式</w:t>
      </w:r>
      <w:r w:rsidR="00F84786">
        <w:rPr>
          <w:rFonts w:ascii="微软雅黑" w:eastAsia="微软雅黑" w:hAnsi="微软雅黑"/>
          <w:sz w:val="22"/>
          <w:szCs w:val="22"/>
        </w:rPr>
        <w:t>为将</w:t>
      </w:r>
      <w:r w:rsidR="00F84786">
        <w:rPr>
          <w:rFonts w:ascii="微软雅黑" w:eastAsia="微软雅黑" w:hAnsi="微软雅黑" w:hint="eastAsia"/>
          <w:sz w:val="22"/>
          <w:szCs w:val="22"/>
        </w:rPr>
        <w:t>“</w:t>
      </w:r>
      <w:r w:rsidR="00F84786" w:rsidRPr="00F84786">
        <w:rPr>
          <w:rFonts w:ascii="微软雅黑" w:eastAsia="微软雅黑" w:hAnsi="微软雅黑" w:hint="eastAsia"/>
          <w:sz w:val="22"/>
          <w:szCs w:val="22"/>
        </w:rPr>
        <w:t>国铁无缝线路布置自动设计软件界面版-20190101-西法项目应用</w:t>
      </w:r>
      <w:r w:rsidR="00F84786">
        <w:rPr>
          <w:rFonts w:ascii="微软雅黑" w:eastAsia="微软雅黑" w:hAnsi="微软雅黑" w:hint="eastAsia"/>
          <w:sz w:val="22"/>
          <w:szCs w:val="22"/>
        </w:rPr>
        <w:t>.py”文件</w:t>
      </w:r>
      <w:r w:rsidR="00F84786">
        <w:rPr>
          <w:rFonts w:ascii="微软雅黑" w:eastAsia="微软雅黑" w:hAnsi="微软雅黑"/>
          <w:sz w:val="22"/>
          <w:szCs w:val="22"/>
        </w:rPr>
        <w:t>拖放</w:t>
      </w:r>
      <w:r w:rsidR="00F84786">
        <w:rPr>
          <w:rFonts w:ascii="微软雅黑" w:eastAsia="微软雅黑" w:hAnsi="微软雅黑" w:hint="eastAsia"/>
          <w:sz w:val="22"/>
          <w:szCs w:val="22"/>
        </w:rPr>
        <w:t>至“</w:t>
      </w:r>
      <w:r w:rsidR="00F84786" w:rsidRPr="00F84786">
        <w:rPr>
          <w:rFonts w:ascii="微软雅黑" w:eastAsia="微软雅黑" w:hAnsi="微软雅黑"/>
          <w:sz w:val="22"/>
          <w:szCs w:val="22"/>
        </w:rPr>
        <w:t>pythonw.exe</w:t>
      </w:r>
      <w:r w:rsidR="00F84786">
        <w:rPr>
          <w:rFonts w:ascii="微软雅黑" w:eastAsia="微软雅黑" w:hAnsi="微软雅黑" w:hint="eastAsia"/>
          <w:sz w:val="22"/>
          <w:szCs w:val="22"/>
        </w:rPr>
        <w:t>”图标上</w:t>
      </w:r>
      <w:r w:rsidR="00F84786">
        <w:rPr>
          <w:rFonts w:ascii="微软雅黑" w:eastAsia="微软雅黑" w:hAnsi="微软雅黑"/>
          <w:sz w:val="22"/>
          <w:szCs w:val="22"/>
        </w:rPr>
        <w:t>。</w:t>
      </w:r>
      <w:r w:rsidR="00F84786">
        <w:rPr>
          <w:rFonts w:ascii="微软雅黑" w:eastAsia="微软雅黑" w:hAnsi="微软雅黑" w:hint="eastAsia"/>
          <w:sz w:val="22"/>
          <w:szCs w:val="22"/>
        </w:rPr>
        <w:t>打</w:t>
      </w:r>
      <w:r w:rsidR="00F84786">
        <w:rPr>
          <w:rFonts w:ascii="微软雅黑" w:eastAsia="微软雅黑" w:hAnsi="微软雅黑" w:hint="eastAsia"/>
          <w:sz w:val="22"/>
          <w:szCs w:val="22"/>
        </w:rPr>
        <w:lastRenderedPageBreak/>
        <w:t>开后</w:t>
      </w:r>
      <w:r w:rsidR="00F84786">
        <w:rPr>
          <w:rFonts w:ascii="微软雅黑" w:eastAsia="微软雅黑" w:hAnsi="微软雅黑"/>
          <w:sz w:val="22"/>
          <w:szCs w:val="22"/>
        </w:rPr>
        <w:t>软件界面如下</w:t>
      </w:r>
      <w:r w:rsidR="00F84786">
        <w:rPr>
          <w:rFonts w:ascii="微软雅黑" w:eastAsia="微软雅黑" w:hAnsi="微软雅黑" w:hint="eastAsia"/>
          <w:sz w:val="22"/>
          <w:szCs w:val="22"/>
        </w:rPr>
        <w:t>图</w:t>
      </w:r>
      <w:r w:rsidR="00F84786">
        <w:rPr>
          <w:rFonts w:ascii="微软雅黑" w:eastAsia="微软雅黑" w:hAnsi="微软雅黑"/>
          <w:sz w:val="22"/>
          <w:szCs w:val="22"/>
        </w:rPr>
        <w:t>所示。</w:t>
      </w:r>
      <w:r w:rsidR="00195EE4">
        <w:rPr>
          <w:noProof/>
        </w:rPr>
        <w:drawing>
          <wp:inline distT="0" distB="0" distL="0" distR="0" wp14:anchorId="1699438F" wp14:editId="29C8FD08">
            <wp:extent cx="5274310" cy="2860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0040"/>
                    </a:xfrm>
                    <a:prstGeom prst="rect">
                      <a:avLst/>
                    </a:prstGeom>
                  </pic:spPr>
                </pic:pic>
              </a:graphicData>
            </a:graphic>
          </wp:inline>
        </w:drawing>
      </w:r>
    </w:p>
    <w:p w:rsidR="00F84786" w:rsidRPr="00C232BE" w:rsidRDefault="00C232BE" w:rsidP="00195EE4">
      <w:pPr>
        <w:pStyle w:val="a5"/>
        <w:spacing w:before="0" w:beforeAutospacing="0" w:after="0" w:afterAutospacing="0"/>
        <w:rPr>
          <w:rFonts w:ascii="微软雅黑" w:eastAsia="微软雅黑" w:hAnsi="微软雅黑"/>
          <w:sz w:val="22"/>
          <w:szCs w:val="22"/>
        </w:rPr>
      </w:pPr>
      <w:r w:rsidRPr="00C232BE">
        <w:rPr>
          <w:rFonts w:ascii="微软雅黑" w:eastAsia="微软雅黑" w:hAnsi="微软雅黑"/>
          <w:sz w:val="22"/>
          <w:szCs w:val="22"/>
        </w:rPr>
        <w:t>3</w:t>
      </w:r>
      <w:r w:rsidR="00F84786" w:rsidRPr="00C232BE">
        <w:rPr>
          <w:rFonts w:ascii="微软雅黑" w:eastAsia="微软雅黑" w:hAnsi="微软雅黑" w:hint="eastAsia"/>
          <w:sz w:val="22"/>
          <w:szCs w:val="22"/>
        </w:rPr>
        <w:t>、</w:t>
      </w:r>
      <w:r w:rsidR="00F84786" w:rsidRPr="00C232BE">
        <w:rPr>
          <w:rFonts w:ascii="微软雅黑" w:eastAsia="微软雅黑" w:hAnsi="微软雅黑"/>
          <w:sz w:val="22"/>
          <w:szCs w:val="22"/>
        </w:rPr>
        <w:t>点击</w:t>
      </w:r>
      <w:r w:rsidR="00F84786" w:rsidRPr="00C232BE">
        <w:rPr>
          <w:rFonts w:ascii="微软雅黑" w:eastAsia="微软雅黑" w:hAnsi="微软雅黑" w:hint="eastAsia"/>
          <w:sz w:val="22"/>
          <w:szCs w:val="22"/>
        </w:rPr>
        <w:t>“设定</w:t>
      </w:r>
      <w:r w:rsidR="00F84786" w:rsidRPr="00C232BE">
        <w:rPr>
          <w:rFonts w:ascii="微软雅黑" w:eastAsia="微软雅黑" w:hAnsi="微软雅黑"/>
          <w:sz w:val="22"/>
          <w:szCs w:val="22"/>
        </w:rPr>
        <w:t>工作目录</w:t>
      </w:r>
      <w:r w:rsidR="00F84786" w:rsidRPr="00C232BE">
        <w:rPr>
          <w:rFonts w:ascii="微软雅黑" w:eastAsia="微软雅黑" w:hAnsi="微软雅黑" w:hint="eastAsia"/>
          <w:sz w:val="22"/>
          <w:szCs w:val="22"/>
        </w:rPr>
        <w:t>”按钮</w:t>
      </w:r>
      <w:r w:rsidR="00F84786" w:rsidRPr="00C232BE">
        <w:rPr>
          <w:rFonts w:ascii="微软雅黑" w:eastAsia="微软雅黑" w:hAnsi="微软雅黑"/>
          <w:sz w:val="22"/>
          <w:szCs w:val="22"/>
        </w:rPr>
        <w:t>，</w:t>
      </w:r>
      <w:r w:rsidR="00F84786" w:rsidRPr="00C232BE">
        <w:rPr>
          <w:rFonts w:ascii="微软雅黑" w:eastAsia="微软雅黑" w:hAnsi="微软雅黑" w:hint="eastAsia"/>
          <w:sz w:val="22"/>
          <w:szCs w:val="22"/>
        </w:rPr>
        <w:t>选择</w:t>
      </w:r>
      <w:r w:rsidR="00F84786" w:rsidRPr="00C232BE">
        <w:rPr>
          <w:rFonts w:ascii="微软雅黑" w:eastAsia="微软雅黑" w:hAnsi="微软雅黑"/>
          <w:sz w:val="22"/>
          <w:szCs w:val="22"/>
        </w:rPr>
        <w:t>想要进行</w:t>
      </w:r>
      <w:r w:rsidR="00F84786" w:rsidRPr="00C232BE">
        <w:rPr>
          <w:rFonts w:ascii="微软雅黑" w:eastAsia="微软雅黑" w:hAnsi="微软雅黑" w:hint="eastAsia"/>
          <w:sz w:val="22"/>
          <w:szCs w:val="22"/>
        </w:rPr>
        <w:t>车站无缝线路设计</w:t>
      </w:r>
      <w:r w:rsidR="00F84786" w:rsidRPr="00C232BE">
        <w:rPr>
          <w:rFonts w:ascii="微软雅黑" w:eastAsia="微软雅黑" w:hAnsi="微软雅黑"/>
          <w:sz w:val="22"/>
          <w:szCs w:val="22"/>
        </w:rPr>
        <w:t>的文件夹作为工作目录，一般情况下，将第</w:t>
      </w:r>
      <w:r w:rsidR="00F84786" w:rsidRPr="00C232BE">
        <w:rPr>
          <w:rFonts w:ascii="微软雅黑" w:eastAsia="微软雅黑" w:hAnsi="微软雅黑" w:hint="eastAsia"/>
          <w:sz w:val="22"/>
          <w:szCs w:val="22"/>
        </w:rPr>
        <w:t>1步准备好的</w:t>
      </w:r>
      <w:r w:rsidR="00F84786" w:rsidRPr="00C232BE">
        <w:rPr>
          <w:rFonts w:ascii="微软雅黑" w:eastAsia="微软雅黑" w:hAnsi="微软雅黑"/>
          <w:sz w:val="22"/>
          <w:szCs w:val="22"/>
        </w:rPr>
        <w:t>dwg文件也放在这个目录下。</w:t>
      </w:r>
      <w:r w:rsidR="00F84786" w:rsidRPr="00C232BE">
        <w:rPr>
          <w:rFonts w:ascii="微软雅黑" w:eastAsia="微软雅黑" w:hAnsi="微软雅黑" w:hint="eastAsia"/>
          <w:sz w:val="22"/>
          <w:szCs w:val="22"/>
        </w:rPr>
        <w:t>完成后会出现设置</w:t>
      </w:r>
      <w:r w:rsidR="00F84786" w:rsidRPr="00C232BE">
        <w:rPr>
          <w:rFonts w:ascii="微软雅黑" w:eastAsia="微软雅黑" w:hAnsi="微软雅黑"/>
          <w:sz w:val="22"/>
          <w:szCs w:val="22"/>
        </w:rPr>
        <w:t>成功的</w:t>
      </w:r>
      <w:r w:rsidR="00F84786" w:rsidRPr="00C232BE">
        <w:rPr>
          <w:rFonts w:ascii="微软雅黑" w:eastAsia="微软雅黑" w:hAnsi="微软雅黑" w:hint="eastAsia"/>
          <w:sz w:val="22"/>
          <w:szCs w:val="22"/>
        </w:rPr>
        <w:t>提醒</w:t>
      </w:r>
      <w:r w:rsidR="00F84786" w:rsidRPr="00C232BE">
        <w:rPr>
          <w:rFonts w:ascii="微软雅黑" w:eastAsia="微软雅黑" w:hAnsi="微软雅黑"/>
          <w:sz w:val="22"/>
          <w:szCs w:val="22"/>
        </w:rPr>
        <w:t>对话框。</w:t>
      </w:r>
    </w:p>
    <w:p w:rsidR="00195EE4" w:rsidRDefault="00C232BE" w:rsidP="00195EE4">
      <w:pPr>
        <w:pStyle w:val="a5"/>
        <w:spacing w:before="0" w:beforeAutospacing="0" w:after="0" w:afterAutospacing="0"/>
        <w:rPr>
          <w:rFonts w:ascii="Calibri" w:hAnsi="Calibri"/>
          <w:sz w:val="22"/>
          <w:szCs w:val="22"/>
        </w:rPr>
      </w:pPr>
      <w:r w:rsidRPr="00C232BE">
        <w:rPr>
          <w:rFonts w:ascii="微软雅黑" w:eastAsia="微软雅黑" w:hAnsi="微软雅黑"/>
          <w:sz w:val="22"/>
          <w:szCs w:val="22"/>
        </w:rPr>
        <w:t>4</w:t>
      </w:r>
      <w:r w:rsidR="00760918" w:rsidRPr="00C232BE">
        <w:rPr>
          <w:rFonts w:ascii="微软雅黑" w:eastAsia="微软雅黑" w:hAnsi="微软雅黑" w:hint="eastAsia"/>
          <w:sz w:val="22"/>
          <w:szCs w:val="22"/>
        </w:rPr>
        <w:t>、</w:t>
      </w:r>
      <w:r w:rsidR="00195EE4">
        <w:rPr>
          <w:rFonts w:ascii="微软雅黑" w:eastAsia="微软雅黑" w:hAnsi="微软雅黑" w:hint="eastAsia"/>
          <w:sz w:val="22"/>
          <w:szCs w:val="22"/>
        </w:rPr>
        <w:t>准备</w:t>
      </w:r>
      <w:r w:rsidR="00195EE4">
        <w:rPr>
          <w:rFonts w:ascii="微软雅黑" w:eastAsia="微软雅黑" w:hAnsi="微软雅黑"/>
          <w:sz w:val="22"/>
          <w:szCs w:val="22"/>
        </w:rPr>
        <w:t>《</w:t>
      </w:r>
      <w:r w:rsidR="00195EE4">
        <w:rPr>
          <w:rFonts w:ascii="微软雅黑" w:eastAsia="微软雅黑" w:hAnsi="微软雅黑" w:hint="eastAsia"/>
          <w:sz w:val="22"/>
          <w:szCs w:val="22"/>
        </w:rPr>
        <w:t>输入数据</w:t>
      </w:r>
      <w:r w:rsidR="00195EE4">
        <w:rPr>
          <w:rFonts w:ascii="Calibri" w:hAnsi="Calibri"/>
          <w:sz w:val="22"/>
          <w:szCs w:val="22"/>
        </w:rPr>
        <w:t>.xls</w:t>
      </w:r>
      <w:r w:rsidR="00195EE4">
        <w:rPr>
          <w:rFonts w:ascii="微软雅黑" w:eastAsia="微软雅黑" w:hAnsi="微软雅黑"/>
          <w:sz w:val="22"/>
          <w:szCs w:val="22"/>
        </w:rPr>
        <w:t>》</w:t>
      </w:r>
      <w:r w:rsidR="00195EE4">
        <w:rPr>
          <w:rFonts w:ascii="微软雅黑" w:eastAsia="微软雅黑" w:hAnsi="微软雅黑" w:hint="eastAsia"/>
          <w:sz w:val="22"/>
          <w:szCs w:val="22"/>
        </w:rPr>
        <w:t>表格，有两种方式</w:t>
      </w:r>
      <w:r w:rsidR="00195EE4">
        <w:rPr>
          <w:rFonts w:ascii="微软雅黑" w:eastAsia="微软雅黑" w:hAnsi="微软雅黑"/>
          <w:sz w:val="22"/>
          <w:szCs w:val="22"/>
        </w:rPr>
        <w:t>可以生成《</w:t>
      </w:r>
      <w:r w:rsidR="00195EE4">
        <w:rPr>
          <w:rFonts w:ascii="微软雅黑" w:eastAsia="微软雅黑" w:hAnsi="微软雅黑" w:hint="eastAsia"/>
          <w:sz w:val="22"/>
          <w:szCs w:val="22"/>
        </w:rPr>
        <w:t>输入数据</w:t>
      </w:r>
      <w:r w:rsidR="00195EE4">
        <w:rPr>
          <w:rFonts w:ascii="Calibri" w:hAnsi="Calibri"/>
          <w:sz w:val="22"/>
          <w:szCs w:val="22"/>
        </w:rPr>
        <w:t>.xls</w:t>
      </w:r>
      <w:r w:rsidR="00195EE4">
        <w:rPr>
          <w:rFonts w:ascii="微软雅黑" w:eastAsia="微软雅黑" w:hAnsi="微软雅黑"/>
          <w:sz w:val="22"/>
          <w:szCs w:val="22"/>
        </w:rPr>
        <w:t>》</w:t>
      </w:r>
      <w:r w:rsidR="00195EE4">
        <w:rPr>
          <w:rFonts w:ascii="微软雅黑" w:eastAsia="微软雅黑" w:hAnsi="微软雅黑" w:hint="eastAsia"/>
          <w:sz w:val="22"/>
          <w:szCs w:val="22"/>
        </w:rPr>
        <w:t>表格。</w:t>
      </w:r>
      <w:r w:rsidR="00195EE4">
        <w:rPr>
          <w:rFonts w:ascii="微软雅黑" w:eastAsia="微软雅黑" w:hAnsi="微软雅黑"/>
          <w:sz w:val="22"/>
          <w:szCs w:val="22"/>
        </w:rPr>
        <w:t>一种</w:t>
      </w:r>
      <w:r w:rsidR="00195EE4">
        <w:rPr>
          <w:rFonts w:ascii="微软雅黑" w:eastAsia="微软雅黑" w:hAnsi="微软雅黑" w:hint="eastAsia"/>
          <w:sz w:val="22"/>
          <w:szCs w:val="22"/>
        </w:rPr>
        <w:t>是</w:t>
      </w:r>
      <w:r w:rsidR="00195EE4">
        <w:rPr>
          <w:rFonts w:ascii="微软雅黑" w:eastAsia="微软雅黑" w:hAnsi="微软雅黑"/>
          <w:sz w:val="22"/>
          <w:szCs w:val="22"/>
        </w:rPr>
        <w:t>通过界面输入数据点击保存数据，另一种是</w:t>
      </w:r>
      <w:r w:rsidR="00195EE4">
        <w:rPr>
          <w:rFonts w:ascii="微软雅黑" w:eastAsia="微软雅黑" w:hAnsi="微软雅黑" w:hint="eastAsia"/>
          <w:sz w:val="22"/>
          <w:szCs w:val="22"/>
        </w:rPr>
        <w:t>手动</w:t>
      </w:r>
      <w:r w:rsidR="00195EE4">
        <w:rPr>
          <w:rFonts w:ascii="微软雅黑" w:eastAsia="微软雅黑" w:hAnsi="微软雅黑"/>
          <w:sz w:val="22"/>
          <w:szCs w:val="22"/>
        </w:rPr>
        <w:t>修改工作目录下的《</w:t>
      </w:r>
      <w:r w:rsidR="00195EE4">
        <w:rPr>
          <w:rFonts w:ascii="微软雅黑" w:eastAsia="微软雅黑" w:hAnsi="微软雅黑" w:hint="eastAsia"/>
          <w:sz w:val="22"/>
          <w:szCs w:val="22"/>
        </w:rPr>
        <w:t>输入数据</w:t>
      </w:r>
      <w:r w:rsidR="00195EE4">
        <w:rPr>
          <w:rFonts w:ascii="Calibri" w:hAnsi="Calibri"/>
          <w:sz w:val="22"/>
          <w:szCs w:val="22"/>
        </w:rPr>
        <w:t>.xls</w:t>
      </w:r>
      <w:r w:rsidR="00195EE4">
        <w:rPr>
          <w:rFonts w:ascii="微软雅黑" w:eastAsia="微软雅黑" w:hAnsi="微软雅黑"/>
          <w:sz w:val="22"/>
          <w:szCs w:val="22"/>
        </w:rPr>
        <w:t>》</w:t>
      </w:r>
      <w:r w:rsidR="00195EE4">
        <w:rPr>
          <w:rFonts w:ascii="微软雅黑" w:eastAsia="微软雅黑" w:hAnsi="微软雅黑" w:hint="eastAsia"/>
          <w:sz w:val="22"/>
          <w:szCs w:val="22"/>
        </w:rPr>
        <w:t>表格。</w:t>
      </w:r>
      <w:r w:rsidR="00195EE4">
        <w:rPr>
          <w:rFonts w:ascii="微软雅黑" w:eastAsia="微软雅黑" w:hAnsi="微软雅黑"/>
          <w:sz w:val="22"/>
          <w:szCs w:val="22"/>
        </w:rPr>
        <w:t>表格中</w:t>
      </w:r>
      <w:r w:rsidR="00195EE4">
        <w:rPr>
          <w:rFonts w:ascii="微软雅黑" w:eastAsia="微软雅黑" w:hAnsi="微软雅黑" w:hint="eastAsia"/>
          <w:sz w:val="22"/>
          <w:szCs w:val="22"/>
        </w:rPr>
        <w:t>各行</w:t>
      </w:r>
      <w:r w:rsidR="00195EE4">
        <w:rPr>
          <w:rFonts w:ascii="微软雅黑" w:eastAsia="微软雅黑" w:hAnsi="微软雅黑"/>
          <w:sz w:val="22"/>
          <w:szCs w:val="22"/>
        </w:rPr>
        <w:t>数据的输入要求如下：</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w:t>
      </w:r>
      <w:r>
        <w:rPr>
          <w:rFonts w:ascii="微软雅黑" w:eastAsia="微软雅黑" w:hAnsi="微软雅黑" w:hint="eastAsia"/>
          <w:sz w:val="22"/>
          <w:szCs w:val="22"/>
        </w:rPr>
        <w:t>）车站起讫里程可以从站场施工图说明中找到。如法门寺车站为“12、本站设计范围:DK36+250～DK38+700”。</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2</w:t>
      </w:r>
      <w:r>
        <w:rPr>
          <w:rFonts w:ascii="微软雅黑" w:eastAsia="微软雅黑" w:hAnsi="微软雅黑" w:hint="eastAsia"/>
          <w:sz w:val="22"/>
          <w:szCs w:val="22"/>
        </w:rPr>
        <w:t>）放大倍数一般默认为</w:t>
      </w:r>
      <w:r>
        <w:rPr>
          <w:rFonts w:ascii="Calibri" w:hAnsi="Calibri"/>
          <w:sz w:val="22"/>
          <w:szCs w:val="22"/>
        </w:rPr>
        <w:t>3.8</w:t>
      </w:r>
      <w:r>
        <w:rPr>
          <w:rFonts w:ascii="微软雅黑" w:eastAsia="微软雅黑" w:hAnsi="微软雅黑" w:hint="eastAsia"/>
          <w:sz w:val="22"/>
          <w:szCs w:val="22"/>
        </w:rPr>
        <w:t>，如果出图效果不合适或遇到复杂的车站时可以根据情况调整，注意需要保留一位小数，如“</w:t>
      </w:r>
      <w:r>
        <w:rPr>
          <w:rFonts w:ascii="Calibri" w:hAnsi="Calibri"/>
          <w:sz w:val="22"/>
          <w:szCs w:val="22"/>
        </w:rPr>
        <w:t>5.0</w:t>
      </w:r>
      <w:r>
        <w:rPr>
          <w:rFonts w:ascii="微软雅黑" w:eastAsia="微软雅黑" w:hAnsi="微软雅黑" w:hint="eastAsia"/>
          <w:sz w:val="22"/>
          <w:szCs w:val="22"/>
        </w:rPr>
        <w:t>”。</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 xml:space="preserve">3)  </w:t>
      </w:r>
      <w:r>
        <w:rPr>
          <w:rFonts w:ascii="微软雅黑" w:eastAsia="微软雅黑" w:hAnsi="微软雅黑" w:hint="eastAsia"/>
          <w:sz w:val="22"/>
          <w:szCs w:val="22"/>
        </w:rPr>
        <w:t>线间距为正线上下行线之间的距离，单位为</w:t>
      </w:r>
      <w:r>
        <w:rPr>
          <w:rFonts w:ascii="Calibri" w:hAnsi="Calibri"/>
          <w:sz w:val="22"/>
          <w:szCs w:val="22"/>
        </w:rPr>
        <w:t>m</w:t>
      </w:r>
      <w:r>
        <w:rPr>
          <w:rFonts w:ascii="微软雅黑" w:eastAsia="微软雅黑" w:hAnsi="微软雅黑" w:hint="eastAsia"/>
          <w:sz w:val="22"/>
          <w:szCs w:val="22"/>
        </w:rPr>
        <w:t>，如“</w:t>
      </w:r>
      <w:r>
        <w:rPr>
          <w:rFonts w:ascii="Calibri" w:hAnsi="Calibri"/>
          <w:sz w:val="22"/>
          <w:szCs w:val="22"/>
        </w:rPr>
        <w:t>4.6</w:t>
      </w:r>
      <w:r>
        <w:rPr>
          <w:rFonts w:ascii="微软雅黑" w:eastAsia="微软雅黑" w:hAnsi="微软雅黑" w:hint="eastAsia"/>
          <w:sz w:val="22"/>
          <w:szCs w:val="22"/>
        </w:rPr>
        <w:t>”。</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4</w:t>
      </w:r>
      <w:r>
        <w:rPr>
          <w:rFonts w:ascii="微软雅黑" w:eastAsia="微软雅黑" w:hAnsi="微软雅黑" w:hint="eastAsia"/>
          <w:sz w:val="22"/>
          <w:szCs w:val="22"/>
        </w:rPr>
        <w:t>）位移桩间距、锁定轨温、锁定轨温调整范围默认值分别为：</w:t>
      </w:r>
      <w:r>
        <w:rPr>
          <w:rFonts w:ascii="Calibri" w:hAnsi="Calibri"/>
          <w:sz w:val="22"/>
          <w:szCs w:val="22"/>
        </w:rPr>
        <w:t>30,22,5</w:t>
      </w:r>
      <w:r>
        <w:rPr>
          <w:rFonts w:ascii="微软雅黑" w:eastAsia="微软雅黑" w:hAnsi="微软雅黑" w:hint="eastAsia"/>
          <w:sz w:val="22"/>
          <w:szCs w:val="22"/>
        </w:rPr>
        <w:t>。位移桩间距同放大倍数，决定了位移观测桩上下两排之间的距离，可以根据需要进行调整。锁定轨</w:t>
      </w:r>
      <w:r>
        <w:rPr>
          <w:rFonts w:ascii="微软雅黑" w:eastAsia="微软雅黑" w:hAnsi="微软雅黑" w:hint="eastAsia"/>
          <w:sz w:val="22"/>
          <w:szCs w:val="22"/>
        </w:rPr>
        <w:lastRenderedPageBreak/>
        <w:t>温和锁定轨温调整范围用于确定车站无缝线路单元轨节表中的锁定轨温，可根据项目进行设置。</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5</w:t>
      </w:r>
      <w:r>
        <w:rPr>
          <w:rFonts w:ascii="微软雅黑" w:eastAsia="微软雅黑" w:hAnsi="微软雅黑" w:hint="eastAsia"/>
          <w:sz w:val="22"/>
          <w:szCs w:val="22"/>
        </w:rPr>
        <w:t>）里程方向：从左向右为里程增大方向则为“1”，反之为“-1”。如法门寺站为从左向右为里程减小方向，取“-1”。</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6</w:t>
      </w:r>
      <w:r>
        <w:rPr>
          <w:rFonts w:ascii="微软雅黑" w:eastAsia="微软雅黑" w:hAnsi="微软雅黑" w:hint="eastAsia"/>
          <w:sz w:val="22"/>
          <w:szCs w:val="22"/>
        </w:rPr>
        <w:t>）里程大小与道岔奇偶数关系：大里程侧为偶数道岔则为“1”，反之为“-1”。如法门寺站大里程侧为偶数道岔，取“1”。</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7</w:t>
      </w:r>
      <w:r>
        <w:rPr>
          <w:rFonts w:ascii="微软雅黑" w:eastAsia="微软雅黑" w:hAnsi="微软雅黑" w:hint="eastAsia"/>
          <w:sz w:val="22"/>
          <w:szCs w:val="22"/>
        </w:rPr>
        <w:t>）道岔表示方式：该值用于从AutoCAD中道岔表、道岔及设备坐标表及股道表三个表中读取道岔的相关数据。如果道岔表示形式为“岔1”则为“1”，表示形式为“</w:t>
      </w:r>
      <w:r>
        <w:rPr>
          <w:rFonts w:ascii="微软雅黑" w:eastAsia="微软雅黑" w:hAnsi="微软雅黑" w:cs="微软雅黑" w:hint="eastAsia"/>
          <w:sz w:val="22"/>
          <w:szCs w:val="22"/>
        </w:rPr>
        <w:t>①</w:t>
      </w:r>
      <w:r>
        <w:rPr>
          <w:rFonts w:ascii="微软雅黑" w:eastAsia="微软雅黑" w:hAnsi="微软雅黑" w:hint="eastAsia"/>
          <w:sz w:val="22"/>
          <w:szCs w:val="22"/>
        </w:rPr>
        <w:t>”则为“-1”。如法门寺车站道岔为纯数字，统一加上圆，表示方式取为“-1”。</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8</w:t>
      </w:r>
      <w:r>
        <w:rPr>
          <w:rFonts w:ascii="微软雅黑" w:eastAsia="微软雅黑" w:hAnsi="微软雅黑" w:hint="eastAsia"/>
          <w:sz w:val="22"/>
          <w:szCs w:val="22"/>
        </w:rPr>
        <w:t>）工作目录：为每个车站建立一个工作文件夹，并将其作为工作目录。如法门寺车站的工作目录为“C:\\Users\\zgy\\Desktop\\西法无缝线路布置图\\法门寺站无缝线路设计”。</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9</w:t>
      </w:r>
      <w:r>
        <w:rPr>
          <w:rFonts w:ascii="微软雅黑" w:eastAsia="微软雅黑" w:hAnsi="微软雅黑" w:hint="eastAsia"/>
          <w:sz w:val="22"/>
          <w:szCs w:val="22"/>
        </w:rPr>
        <w:t>）车站名称：如“法门寺车站”。</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10</w:t>
      </w:r>
      <w:r>
        <w:rPr>
          <w:rFonts w:ascii="微软雅黑" w:eastAsia="微软雅黑" w:hAnsi="微软雅黑" w:hint="eastAsia"/>
          <w:sz w:val="22"/>
          <w:szCs w:val="22"/>
        </w:rPr>
        <w:t>）道岔类型：输入该车站道岔表中无缝线路涉及到的道岔型号，道岔型号在输入时注意不含‘线’和括号。如客专线08016和GLC(07)02的型号格式应为“['客专08016','GLC0702']”。</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11</w:t>
      </w:r>
      <w:r>
        <w:rPr>
          <w:rFonts w:ascii="微软雅黑" w:eastAsia="微软雅黑" w:hAnsi="微软雅黑" w:hint="eastAsia"/>
          <w:sz w:val="22"/>
          <w:szCs w:val="22"/>
        </w:rPr>
        <w:t>）偶数逆向道岔：在偶数道岔中，如果道岔在车站中心左侧，从左向右看，一线分出两线，则为正向岔，两线并为一线则为逆向岔；如果道岔在车站中心右侧，从右向左看，如果一线分为两线为正向岔，如果两线并为一线则为逆向岔。如法门寺车站为“[4,8,12,20,24]”。</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12</w:t>
      </w:r>
      <w:r>
        <w:rPr>
          <w:rFonts w:ascii="微软雅黑" w:eastAsia="微软雅黑" w:hAnsi="微软雅黑" w:hint="eastAsia"/>
          <w:sz w:val="22"/>
          <w:szCs w:val="22"/>
        </w:rPr>
        <w:t>）奇数逆向道岔：同偶数逆向道岔。如法门寺车站为“[3,7]”</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lastRenderedPageBreak/>
        <w:t>13</w:t>
      </w:r>
      <w:r>
        <w:rPr>
          <w:rFonts w:ascii="微软雅黑" w:eastAsia="微软雅黑" w:hAnsi="微软雅黑" w:hint="eastAsia"/>
          <w:sz w:val="22"/>
          <w:szCs w:val="22"/>
        </w:rPr>
        <w:t>）斜岔：岔前不在水平方向的道岔。斜岔对应的前方道岔，该道岔能够将斜岔的方向导入到水平方向上。前岔不一定是紧挨着的道岔，前岔的正负由斜岔岔前的形状决定，斜岔的岔前为‘/’形式，则前岔为正；斜岔的岔前为‘\’形式，则前岔为负。如法门寺车站为</w:t>
      </w:r>
      <w:r>
        <w:rPr>
          <w:rFonts w:ascii="Calibri" w:hAnsi="Calibri"/>
          <w:sz w:val="22"/>
          <w:szCs w:val="22"/>
        </w:rPr>
        <w:t>{13:'+9',15:'-11',18:'+14',22:'-16',20:'+14',24:'-16'}</w:t>
      </w:r>
      <w:r>
        <w:rPr>
          <w:rFonts w:ascii="微软雅黑" w:eastAsia="微软雅黑" w:hAnsi="微软雅黑" w:hint="eastAsia"/>
          <w:sz w:val="22"/>
          <w:szCs w:val="22"/>
        </w:rPr>
        <w:t>。</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14</w:t>
      </w:r>
      <w:r>
        <w:rPr>
          <w:rFonts w:ascii="微软雅黑" w:eastAsia="微软雅黑" w:hAnsi="微软雅黑" w:hint="eastAsia"/>
          <w:sz w:val="22"/>
          <w:szCs w:val="22"/>
        </w:rPr>
        <w:t>）正向上行轨节顺序、正线下行轨节顺序、站线轨节顺序、安全线轨节顺序：在正线上、下行方向，按照咽喉区为一个单元轨节的原则进行单元轨节布置，输入格式为“3q,11h,14q,8h”，站线为“13h</w:t>
      </w:r>
      <w:r w:rsidR="001A6154">
        <w:rPr>
          <w:rFonts w:ascii="微软雅黑" w:eastAsia="微软雅黑" w:hAnsi="微软雅黑"/>
          <w:sz w:val="22"/>
          <w:szCs w:val="22"/>
        </w:rPr>
        <w:t>x</w:t>
      </w:r>
      <w:r>
        <w:rPr>
          <w:rFonts w:ascii="微软雅黑" w:eastAsia="微软雅黑" w:hAnsi="微软雅黑" w:hint="eastAsia"/>
          <w:sz w:val="22"/>
          <w:szCs w:val="22"/>
        </w:rPr>
        <w:t>,22q;15h,18q;9h,16q,24g;11h,14q,20g”，安全线为“20q,2d;24q,4d”。其中分号之间表示若干条单元轨节组成的连续性的单元轨节，数字表示道岔编号，“h”表示道岔后（大里程方向），“q”表示道岔前（小里程方向），“g”表示经过道岔的号码（主要用于标注单元轨节编号及长度时确定合适的位置），“d”表示车挡号码，用于安全线</w:t>
      </w:r>
      <w:r w:rsidR="001A6154">
        <w:rPr>
          <w:rFonts w:ascii="微软雅黑" w:eastAsia="微软雅黑" w:hAnsi="微软雅黑" w:hint="eastAsia"/>
          <w:sz w:val="22"/>
          <w:szCs w:val="22"/>
        </w:rPr>
        <w:t>，“</w:t>
      </w:r>
      <w:r w:rsidR="001A6154">
        <w:rPr>
          <w:rFonts w:ascii="微软雅黑" w:eastAsia="微软雅黑" w:hAnsi="微软雅黑"/>
          <w:sz w:val="22"/>
          <w:szCs w:val="22"/>
        </w:rPr>
        <w:t>x</w:t>
      </w:r>
      <w:r w:rsidR="001A6154">
        <w:rPr>
          <w:rFonts w:ascii="微软雅黑" w:eastAsia="微软雅黑" w:hAnsi="微软雅黑" w:hint="eastAsia"/>
          <w:sz w:val="22"/>
          <w:szCs w:val="22"/>
        </w:rPr>
        <w:t>”表示</w:t>
      </w:r>
      <w:r w:rsidR="001A6154">
        <w:rPr>
          <w:rFonts w:ascii="微软雅黑" w:eastAsia="微软雅黑" w:hAnsi="微软雅黑" w:hint="eastAsia"/>
          <w:sz w:val="22"/>
          <w:szCs w:val="22"/>
        </w:rPr>
        <w:t>道岔斜股</w:t>
      </w:r>
      <w:r w:rsidR="001A6154">
        <w:rPr>
          <w:rFonts w:ascii="微软雅黑" w:eastAsia="微软雅黑" w:hAnsi="微软雅黑" w:hint="eastAsia"/>
          <w:sz w:val="22"/>
          <w:szCs w:val="22"/>
        </w:rPr>
        <w:t>，用于</w:t>
      </w:r>
      <w:r w:rsidR="001A6154">
        <w:rPr>
          <w:rFonts w:ascii="微软雅黑" w:eastAsia="微软雅黑" w:hAnsi="微软雅黑" w:hint="eastAsia"/>
          <w:sz w:val="22"/>
          <w:szCs w:val="22"/>
        </w:rPr>
        <w:t>确定单元</w:t>
      </w:r>
      <w:r w:rsidR="001A6154">
        <w:rPr>
          <w:rFonts w:ascii="微软雅黑" w:eastAsia="微软雅黑" w:hAnsi="微软雅黑"/>
          <w:sz w:val="22"/>
          <w:szCs w:val="22"/>
        </w:rPr>
        <w:t>轨节</w:t>
      </w:r>
      <w:r w:rsidR="001A6154">
        <w:rPr>
          <w:rFonts w:ascii="微软雅黑" w:eastAsia="微软雅黑" w:hAnsi="微软雅黑" w:hint="eastAsia"/>
          <w:sz w:val="22"/>
          <w:szCs w:val="22"/>
        </w:rPr>
        <w:t>接头</w:t>
      </w:r>
      <w:r w:rsidR="001A6154">
        <w:rPr>
          <w:rFonts w:ascii="微软雅黑" w:eastAsia="微软雅黑" w:hAnsi="微软雅黑"/>
          <w:sz w:val="22"/>
          <w:szCs w:val="22"/>
        </w:rPr>
        <w:t>的起始或者终止位置</w:t>
      </w:r>
      <w:r>
        <w:rPr>
          <w:rFonts w:ascii="微软雅黑" w:eastAsia="微软雅黑" w:hAnsi="微软雅黑" w:hint="eastAsia"/>
          <w:sz w:val="22"/>
          <w:szCs w:val="22"/>
        </w:rPr>
        <w:t>。</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15</w:t>
      </w:r>
      <w:r>
        <w:rPr>
          <w:rFonts w:ascii="微软雅黑" w:eastAsia="微软雅黑" w:hAnsi="微软雅黑" w:hint="eastAsia"/>
          <w:sz w:val="22"/>
          <w:szCs w:val="22"/>
        </w:rPr>
        <w:t>）车挡号码：</w:t>
      </w:r>
      <w:r>
        <w:rPr>
          <w:rFonts w:ascii="Calibri" w:hAnsi="Calibri"/>
          <w:sz w:val="22"/>
          <w:szCs w:val="22"/>
        </w:rPr>
        <w:t>[2, 4]</w:t>
      </w:r>
      <w:r>
        <w:rPr>
          <w:rFonts w:ascii="微软雅黑" w:eastAsia="微软雅黑" w:hAnsi="微软雅黑" w:hint="eastAsia"/>
          <w:sz w:val="22"/>
          <w:szCs w:val="22"/>
        </w:rPr>
        <w:t>，输入车挡的号码用英文逗号隔开。</w:t>
      </w:r>
    </w:p>
    <w:p w:rsidR="00195EE4" w:rsidRDefault="00195EE4" w:rsidP="00195EE4">
      <w:pPr>
        <w:pStyle w:val="a5"/>
        <w:spacing w:before="0" w:beforeAutospacing="0" w:after="0" w:afterAutospacing="0"/>
        <w:rPr>
          <w:rFonts w:ascii="Calibri" w:hAnsi="Calibri"/>
          <w:sz w:val="22"/>
          <w:szCs w:val="22"/>
        </w:rPr>
      </w:pPr>
      <w:r>
        <w:rPr>
          <w:rFonts w:ascii="Calibri" w:hAnsi="Calibri"/>
          <w:sz w:val="22"/>
          <w:szCs w:val="22"/>
        </w:rPr>
        <w:t>16</w:t>
      </w:r>
      <w:r>
        <w:rPr>
          <w:rFonts w:ascii="微软雅黑" w:eastAsia="微软雅黑" w:hAnsi="微软雅黑" w:hint="eastAsia"/>
          <w:sz w:val="22"/>
          <w:szCs w:val="22"/>
        </w:rPr>
        <w:t>）站场坐标系方向：向上为</w:t>
      </w:r>
      <w:r>
        <w:rPr>
          <w:rFonts w:ascii="Calibri" w:hAnsi="Calibri"/>
          <w:sz w:val="22"/>
          <w:szCs w:val="22"/>
        </w:rPr>
        <w:t>Y</w:t>
      </w:r>
      <w:r>
        <w:rPr>
          <w:rFonts w:ascii="微软雅黑" w:eastAsia="微软雅黑" w:hAnsi="微软雅黑" w:hint="eastAsia"/>
          <w:sz w:val="22"/>
          <w:szCs w:val="22"/>
        </w:rPr>
        <w:t>轴正方向则取“</w:t>
      </w:r>
      <w:r>
        <w:rPr>
          <w:rFonts w:ascii="Calibri" w:hAnsi="Calibri"/>
          <w:sz w:val="22"/>
          <w:szCs w:val="22"/>
        </w:rPr>
        <w:t>1.0</w:t>
      </w:r>
      <w:r>
        <w:rPr>
          <w:rFonts w:ascii="微软雅黑" w:eastAsia="微软雅黑" w:hAnsi="微软雅黑" w:hint="eastAsia"/>
          <w:sz w:val="22"/>
          <w:szCs w:val="22"/>
        </w:rPr>
        <w:t>”，反之取“-1.0”。</w:t>
      </w:r>
    </w:p>
    <w:p w:rsidR="00195EE4" w:rsidRDefault="00195EE4" w:rsidP="00195EE4">
      <w:pPr>
        <w:pStyle w:val="a5"/>
        <w:spacing w:before="0" w:beforeAutospacing="0" w:after="0" w:afterAutospacing="0"/>
        <w:rPr>
          <w:rFonts w:ascii="微软雅黑" w:eastAsia="微软雅黑" w:hAnsi="微软雅黑"/>
          <w:sz w:val="22"/>
          <w:szCs w:val="22"/>
        </w:rPr>
      </w:pPr>
      <w:r>
        <w:rPr>
          <w:rFonts w:ascii="Calibri" w:hAnsi="Calibri"/>
          <w:sz w:val="22"/>
          <w:szCs w:val="22"/>
        </w:rPr>
        <w:t>17</w:t>
      </w:r>
      <w:r>
        <w:rPr>
          <w:rFonts w:ascii="微软雅黑" w:eastAsia="微软雅黑" w:hAnsi="微软雅黑" w:hint="eastAsia"/>
          <w:sz w:val="22"/>
          <w:szCs w:val="22"/>
        </w:rPr>
        <w:t>）上行轨节起始编号、下行轨节起始编号：根据区间单元轨节编号的顺序，确定在车站开始处的上下行单元轨节起始编号。</w:t>
      </w:r>
    </w:p>
    <w:p w:rsidR="00C232BE" w:rsidRDefault="003E0899" w:rsidP="00195EE4">
      <w:pPr>
        <w:pStyle w:val="a5"/>
        <w:spacing w:before="0" w:beforeAutospacing="0" w:after="0" w:afterAutospacing="0"/>
        <w:rPr>
          <w:rFonts w:ascii="Calibri" w:hAnsi="Calibri"/>
          <w:sz w:val="22"/>
          <w:szCs w:val="22"/>
        </w:rPr>
      </w:pPr>
      <w:r>
        <w:rPr>
          <w:rFonts w:ascii="微软雅黑" w:eastAsia="微软雅黑" w:hAnsi="微软雅黑"/>
          <w:sz w:val="22"/>
          <w:szCs w:val="22"/>
        </w:rPr>
        <w:t>5</w:t>
      </w:r>
      <w:r w:rsidR="00C232BE">
        <w:rPr>
          <w:rFonts w:ascii="微软雅黑" w:eastAsia="微软雅黑" w:hAnsi="微软雅黑" w:hint="eastAsia"/>
          <w:sz w:val="22"/>
          <w:szCs w:val="22"/>
        </w:rPr>
        <w:t>、</w:t>
      </w:r>
      <w:r w:rsidR="00C232BE">
        <w:rPr>
          <w:rFonts w:ascii="微软雅黑" w:eastAsia="微软雅黑" w:hAnsi="微软雅黑"/>
          <w:sz w:val="22"/>
          <w:szCs w:val="22"/>
        </w:rPr>
        <w:t>依次进行</w:t>
      </w:r>
      <w:r w:rsidR="00C232BE">
        <w:rPr>
          <w:rFonts w:ascii="微软雅黑" w:eastAsia="微软雅黑" w:hAnsi="微软雅黑" w:hint="eastAsia"/>
          <w:sz w:val="22"/>
          <w:szCs w:val="22"/>
        </w:rPr>
        <w:t>“保存</w:t>
      </w:r>
      <w:r w:rsidR="00C232BE">
        <w:rPr>
          <w:rFonts w:ascii="微软雅黑" w:eastAsia="微软雅黑" w:hAnsi="微软雅黑"/>
          <w:sz w:val="22"/>
          <w:szCs w:val="22"/>
        </w:rPr>
        <w:t>项目基本信息</w:t>
      </w:r>
      <w:r w:rsidR="00C232BE">
        <w:rPr>
          <w:rFonts w:ascii="微软雅黑" w:eastAsia="微软雅黑" w:hAnsi="微软雅黑" w:hint="eastAsia"/>
          <w:sz w:val="22"/>
          <w:szCs w:val="22"/>
        </w:rPr>
        <w:t>”、</w:t>
      </w:r>
      <w:r w:rsidR="00C232BE">
        <w:rPr>
          <w:rFonts w:ascii="微软雅黑" w:eastAsia="微软雅黑" w:hAnsi="微软雅黑"/>
          <w:sz w:val="22"/>
          <w:szCs w:val="22"/>
        </w:rPr>
        <w:t>“</w:t>
      </w:r>
      <w:r w:rsidR="00C232BE">
        <w:rPr>
          <w:rFonts w:ascii="微软雅黑" w:eastAsia="微软雅黑" w:hAnsi="微软雅黑" w:hint="eastAsia"/>
          <w:sz w:val="22"/>
          <w:szCs w:val="22"/>
        </w:rPr>
        <w:t>读取</w:t>
      </w:r>
      <w:r w:rsidR="00C232BE">
        <w:rPr>
          <w:rFonts w:ascii="微软雅黑" w:eastAsia="微软雅黑" w:hAnsi="微软雅黑"/>
          <w:sz w:val="22"/>
          <w:szCs w:val="22"/>
        </w:rPr>
        <w:t>道岔相关信息”</w:t>
      </w:r>
      <w:r w:rsidR="00C232BE">
        <w:rPr>
          <w:rFonts w:ascii="微软雅黑" w:eastAsia="微软雅黑" w:hAnsi="微软雅黑" w:hint="eastAsia"/>
          <w:sz w:val="22"/>
          <w:szCs w:val="22"/>
        </w:rPr>
        <w:t>、</w:t>
      </w:r>
      <w:r w:rsidR="00C232BE">
        <w:rPr>
          <w:rFonts w:ascii="微软雅黑" w:eastAsia="微软雅黑" w:hAnsi="微软雅黑"/>
          <w:sz w:val="22"/>
          <w:szCs w:val="22"/>
        </w:rPr>
        <w:t xml:space="preserve"> “一键绘图”</w:t>
      </w:r>
      <w:r w:rsidR="00C232BE">
        <w:rPr>
          <w:rFonts w:ascii="微软雅黑" w:eastAsia="微软雅黑" w:hAnsi="微软雅黑" w:hint="eastAsia"/>
          <w:sz w:val="22"/>
          <w:szCs w:val="22"/>
        </w:rPr>
        <w:t>操作</w:t>
      </w:r>
      <w:r w:rsidR="00C232BE">
        <w:rPr>
          <w:rFonts w:ascii="微软雅黑" w:eastAsia="微软雅黑" w:hAnsi="微软雅黑"/>
          <w:sz w:val="22"/>
          <w:szCs w:val="22"/>
        </w:rPr>
        <w:t>即可，每步完成后均有相关的提示，按照提示进行操作。</w:t>
      </w:r>
    </w:p>
    <w:p w:rsidR="00195EE4" w:rsidRDefault="003E0899" w:rsidP="00195EE4">
      <w:pPr>
        <w:pStyle w:val="a5"/>
        <w:spacing w:before="0" w:beforeAutospacing="0" w:after="0" w:afterAutospacing="0"/>
        <w:rPr>
          <w:rFonts w:ascii="Calibri" w:hAnsi="Calibri"/>
          <w:sz w:val="22"/>
          <w:szCs w:val="22"/>
        </w:rPr>
      </w:pPr>
      <w:r>
        <w:rPr>
          <w:rFonts w:ascii="Calibri" w:hAnsi="Calibri"/>
          <w:sz w:val="22"/>
          <w:szCs w:val="22"/>
        </w:rPr>
        <w:t>6</w:t>
      </w:r>
      <w:r w:rsidR="00195EE4">
        <w:rPr>
          <w:rFonts w:ascii="微软雅黑" w:eastAsia="微软雅黑" w:hAnsi="微软雅黑" w:hint="eastAsia"/>
          <w:sz w:val="22"/>
          <w:szCs w:val="22"/>
        </w:rPr>
        <w:t>、清理图面：</w:t>
      </w:r>
    </w:p>
    <w:p w:rsidR="00195EE4" w:rsidRDefault="001A6154" w:rsidP="00195EE4">
      <w:pPr>
        <w:pStyle w:val="a5"/>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对图面中重叠的字进行调整，使图面整洁。手动处理安全线后接有缝线路部分。</w:t>
      </w:r>
    </w:p>
    <w:p w:rsidR="00C41145" w:rsidRDefault="00C41145">
      <w:bookmarkStart w:id="0" w:name="_GoBack"/>
      <w:bookmarkEnd w:id="0"/>
    </w:p>
    <w:sectPr w:rsidR="00C411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6AE" w:rsidRDefault="000616AE" w:rsidP="00195EE4">
      <w:r>
        <w:separator/>
      </w:r>
    </w:p>
  </w:endnote>
  <w:endnote w:type="continuationSeparator" w:id="0">
    <w:p w:rsidR="000616AE" w:rsidRDefault="000616AE" w:rsidP="0019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6AE" w:rsidRDefault="000616AE" w:rsidP="00195EE4">
      <w:r>
        <w:separator/>
      </w:r>
    </w:p>
  </w:footnote>
  <w:footnote w:type="continuationSeparator" w:id="0">
    <w:p w:rsidR="000616AE" w:rsidRDefault="000616AE" w:rsidP="00195E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5"/>
    <w:rsid w:val="000616AE"/>
    <w:rsid w:val="00195EE4"/>
    <w:rsid w:val="001A6154"/>
    <w:rsid w:val="001A761A"/>
    <w:rsid w:val="003E0899"/>
    <w:rsid w:val="00422677"/>
    <w:rsid w:val="00742072"/>
    <w:rsid w:val="00760918"/>
    <w:rsid w:val="00C232BE"/>
    <w:rsid w:val="00C41145"/>
    <w:rsid w:val="00F8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711C7-73B4-4F18-B1F1-7E8475CE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5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5EE4"/>
    <w:rPr>
      <w:sz w:val="18"/>
      <w:szCs w:val="18"/>
    </w:rPr>
  </w:style>
  <w:style w:type="paragraph" w:styleId="a4">
    <w:name w:val="footer"/>
    <w:basedOn w:val="a"/>
    <w:link w:val="Char0"/>
    <w:uiPriority w:val="99"/>
    <w:unhideWhenUsed/>
    <w:rsid w:val="00195EE4"/>
    <w:pPr>
      <w:tabs>
        <w:tab w:val="center" w:pos="4153"/>
        <w:tab w:val="right" w:pos="8306"/>
      </w:tabs>
      <w:snapToGrid w:val="0"/>
      <w:jc w:val="left"/>
    </w:pPr>
    <w:rPr>
      <w:sz w:val="18"/>
      <w:szCs w:val="18"/>
    </w:rPr>
  </w:style>
  <w:style w:type="character" w:customStyle="1" w:styleId="Char0">
    <w:name w:val="页脚 Char"/>
    <w:basedOn w:val="a0"/>
    <w:link w:val="a4"/>
    <w:uiPriority w:val="99"/>
    <w:rsid w:val="00195EE4"/>
    <w:rPr>
      <w:sz w:val="18"/>
      <w:szCs w:val="18"/>
    </w:rPr>
  </w:style>
  <w:style w:type="paragraph" w:styleId="a5">
    <w:name w:val="Normal (Web)"/>
    <w:basedOn w:val="a"/>
    <w:uiPriority w:val="99"/>
    <w:semiHidden/>
    <w:unhideWhenUsed/>
    <w:rsid w:val="00195E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5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gaoyang zhang</dc:creator>
  <cp:keywords/>
  <dc:description/>
  <cp:lastModifiedBy>gaoyang zhang</cp:lastModifiedBy>
  <cp:revision>9</cp:revision>
  <dcterms:created xsi:type="dcterms:W3CDTF">2019-01-03T03:32:00Z</dcterms:created>
  <dcterms:modified xsi:type="dcterms:W3CDTF">2019-01-10T03:49:00Z</dcterms:modified>
</cp:coreProperties>
</file>