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31CFEF">
      <w:r>
        <w:t>从训练日志来看，模型训练整体有效但存在明显的</w:t>
      </w:r>
      <w:r>
        <w:rPr>
          <w:b/>
        </w:rPr>
        <w:t>过拟合</w:t>
      </w:r>
      <w:r>
        <w:t>，57.75%的最佳验证准确率符合ESC - 50数据集的中等偏上水平，具体分析如下：</w:t>
      </w:r>
    </w:p>
    <w:p w14:paraId="15C9A3A5">
      <w:pPr>
        <w:pStyle w:val="2"/>
      </w:pPr>
      <w:r>
        <w:t>一、核心训练趋势</w:t>
      </w:r>
    </w:p>
    <w:p w14:paraId="180ACEB5">
      <w:pPr>
        <w:pStyle w:val="3"/>
      </w:pPr>
      <w:r>
        <w:t>1. 训练集性能：持续稳步提升</w:t>
      </w:r>
    </w:p>
    <w:p w14:paraId="2683C2AD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t>训练准确率（accuracy）从第0轮的5.5%飙升至第158轮的93.6%，最终稳定在90%以上。</w:t>
      </w:r>
    </w:p>
    <w:p w14:paraId="30715A1F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t>训练损失（loss）从3.83降至0.36，下降幅度极大，说明模型在训练数据上已经充分学会了特征规律。</w:t>
      </w:r>
    </w:p>
    <w:p w14:paraId="0FC4DB89">
      <w:pPr>
        <w:pStyle w:val="3"/>
      </w:pPr>
      <w:r>
        <w:t>2. 验证集性能：波动上升后停滞，存在过拟合</w:t>
      </w:r>
    </w:p>
    <w:p w14:paraId="60775959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t>最佳验证准确率：57.75%（出现过3次，分别在第108、111、116、149轮），是随机猜测（2%）的28倍，说明模型有实际泛化能力。</w:t>
      </w:r>
    </w:p>
    <w:p w14:paraId="5084E41C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t>验证损失（val_loss）波动极大（最低2.03，最高12.92），且始终高于训练损失，验证准确率也长期在40% - 57%之间震荡，没有持续上升趋势。</w:t>
      </w:r>
    </w:p>
    <w:p w14:paraId="0E72EE85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t>关键矛盾：训练准确率（93.6%）与最佳验证准确率（57.75%）差距达35.85%，典型的“训练集学透、验证集学不会”的过拟合现象。</w:t>
      </w:r>
    </w:p>
    <w:p w14:paraId="350DD858">
      <w:pPr>
        <w:pStyle w:val="3"/>
      </w:pPr>
      <w:r>
        <w:t>3. 早停机制未触发（推测）</w:t>
      </w:r>
    </w:p>
    <w:p w14:paraId="6A4AF1D6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t>日志显示训练到158轮仍在继续（未到500轮上限），可能是早停的“耐心值”设置过高（比如50轮），验证准确率虽有波动但未满足“连续N轮不提升”的停止条件。</w:t>
      </w:r>
    </w:p>
    <w:p w14:paraId="7A32FB2F">
      <w:pPr>
        <w:pStyle w:val="2"/>
      </w:pPr>
      <w:r>
        <w:t>二、关键结论</w:t>
      </w:r>
    </w:p>
    <w:p w14:paraId="5A903D57">
      <w:pPr>
        <w:numPr>
          <w:ilvl w:val="0"/>
          <w:numId w:val="4"/>
        </w:numPr>
        <w:spacing w:before="0" w:beforeAutospacing="1" w:after="0" w:afterAutospacing="1"/>
        <w:ind w:left="720" w:hanging="360"/>
      </w:pPr>
      <w:r>
        <w:t>模型结构有效：能从50类环境声音中学到区分特征，最佳验证准确率57.75%在ESC - 50的非预训练模型中属于合理水平（行业基准60% - 75%）。</w:t>
      </w:r>
    </w:p>
    <w:p w14:paraId="5021E97D">
      <w:pPr>
        <w:numPr>
          <w:ilvl w:val="0"/>
          <w:numId w:val="4"/>
        </w:numPr>
        <w:spacing w:before="0" w:beforeAutospacing="1" w:after="0" w:afterAutospacing="1"/>
        <w:ind w:left="720" w:hanging="360"/>
      </w:pPr>
      <w:r>
        <w:t>过拟合是核心问题：训练数据量（1600个）相对模型参数（31万）偏少，导致模型记住了训练样本的细节，却无法泛化到新的验证样本。</w:t>
      </w:r>
    </w:p>
    <w:p w14:paraId="2A1CCEE2">
      <w:pPr>
        <w:numPr>
          <w:ilvl w:val="0"/>
          <w:numId w:val="4"/>
        </w:numPr>
        <w:spacing w:before="0" w:beforeAutospacing="1" w:after="0" w:afterAutospacing="1"/>
        <w:ind w:left="720" w:hanging="360"/>
      </w:pPr>
      <w:r>
        <w:t>训练无需继续：第108轮后验证准确率已触及57.75%的峰值，后续158轮的训练仅提升了训练准确率，未改善泛化能力，继续训练只会加重过拟合。</w:t>
      </w:r>
    </w:p>
    <w:p w14:paraId="030CBD6E">
      <w:pPr>
        <w:pStyle w:val="2"/>
      </w:pPr>
      <w:r>
        <w:t>三、优化建议（按优先级排序）</w:t>
      </w:r>
    </w:p>
    <w:p w14:paraId="4AF4A45D">
      <w:pPr>
        <w:numPr>
          <w:ilvl w:val="0"/>
          <w:numId w:val="5"/>
        </w:numPr>
        <w:spacing w:before="0" w:beforeAutospacing="1" w:after="0" w:afterAutospacing="1"/>
        <w:ind w:left="720" w:hanging="360"/>
      </w:pPr>
      <w:r>
        <w:t>增加数据增强（最有效）：给音频样本添加随机噪声、变速、音量调整等，扩大训练数据的多样性，让模型学到更通用的特征。</w:t>
      </w:r>
    </w:p>
    <w:p w14:paraId="3F3B98C4">
      <w:pPr>
        <w:numPr>
          <w:ilvl w:val="0"/>
          <w:numId w:val="5"/>
        </w:numPr>
        <w:spacing w:before="0" w:beforeAutospacing="1" w:after="0" w:afterAutospacing="1"/>
        <w:ind w:left="720" w:hanging="360"/>
      </w:pPr>
      <w:r>
        <w:t>调整早停策略：将早停“耐心值”从50轮降至20 - 30轮，在验证准确率达到峰值后及时停止，避免无效训练。</w:t>
      </w:r>
    </w:p>
    <w:p w14:paraId="54A73C45">
      <w:pPr>
        <w:numPr>
          <w:ilvl w:val="0"/>
          <w:numId w:val="5"/>
        </w:numPr>
        <w:spacing w:before="0" w:beforeAutospacing="1" w:after="0" w:afterAutospacing="1"/>
        <w:ind w:left="720" w:hanging="360"/>
      </w:pPr>
      <w:r>
        <w:t>降低模型复杂度：减少卷积层的通道数或全连接层的参数，避免模型“过度记忆”训练数据（比如把31万参数降至20万左右）。</w:t>
      </w:r>
    </w:p>
    <w:p w14:paraId="2975A419">
      <w:pPr>
        <w:numPr>
          <w:ilvl w:val="0"/>
          <w:numId w:val="5"/>
        </w:numPr>
        <w:spacing w:before="0" w:beforeAutospacing="1" w:after="0" w:afterAutospacing="1"/>
        <w:ind w:left="720" w:hanging="360"/>
      </w:pPr>
      <w:r>
        <w:t>增加正则化：在模型中添加Dropout层（比如dropout rate = 0.2）或L2正则化，抑制过拟合。</w:t>
      </w:r>
    </w:p>
    <w:p w14:paraId="04A6DAA8">
      <w:pPr>
        <w:widowControl w:val="0"/>
        <w:numPr>
          <w:numId w:val="0"/>
        </w:numPr>
        <w:spacing w:before="0" w:beforeAutospacing="1" w:after="0" w:afterAutospacing="1"/>
        <w:jc w:val="both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3040" cy="3397885"/>
            <wp:effectExtent l="0" t="0" r="10160" b="5715"/>
            <wp:docPr id="1" name="图片 1" descr="1e14f06eae1d6f3fa70f5b8c87b69c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e14f06eae1d6f3fa70f5b8c87b69c8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39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52236">
      <w:pPr>
        <w:widowControl w:val="0"/>
        <w:numPr>
          <w:numId w:val="0"/>
        </w:numPr>
        <w:spacing w:before="0" w:beforeAutospacing="1" w:after="0" w:afterAutospacing="1"/>
        <w:jc w:val="both"/>
        <w:rPr>
          <w:rFonts w:hint="eastAsia" w:eastAsiaTheme="minorEastAsia"/>
          <w:lang w:eastAsia="zh-CN"/>
        </w:rPr>
      </w:pPr>
    </w:p>
    <w:p w14:paraId="420F8C5C">
      <w:pPr>
        <w:widowControl w:val="0"/>
        <w:numPr>
          <w:numId w:val="0"/>
        </w:numPr>
        <w:spacing w:before="0" w:beforeAutospacing="1" w:after="0" w:afterAutospacing="1"/>
        <w:jc w:val="both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0500" cy="1480820"/>
            <wp:effectExtent l="0" t="0" r="0" b="5080"/>
            <wp:docPr id="2" name="图片 2" descr="b427e85ac6c9b703ac9e8f077f7a4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b427e85ac6c9b703ac9e8f077f7a410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48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2090D">
      <w:pPr>
        <w:widowControl w:val="0"/>
        <w:numPr>
          <w:numId w:val="0"/>
        </w:numPr>
        <w:spacing w:before="0" w:beforeAutospacing="1" w:after="0" w:afterAutospacing="1"/>
        <w:jc w:val="both"/>
        <w:rPr>
          <w:rFonts w:hint="eastAsia" w:eastAsiaTheme="minorEastAsia"/>
          <w:lang w:eastAsia="zh-CN"/>
        </w:rPr>
      </w:pPr>
    </w:p>
    <w:p w14:paraId="1C0DEDCF">
      <w:pPr>
        <w:widowControl w:val="0"/>
        <w:numPr>
          <w:numId w:val="0"/>
        </w:numPr>
        <w:spacing w:before="0" w:beforeAutospacing="1" w:after="0" w:afterAutospacing="1"/>
        <w:jc w:val="both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object>
          <v:shape id="_x0000_i1025" o:spt="75" type="#_x0000_t75" style="height:36.65pt;width:72pt;" o:ole="t" filled="f" o:preferrelative="t" stroked="f" coordsize="21600,21600">
            <v:fill on="f" focussize="0,0"/>
            <v:stroke on="f"/>
            <v:imagedata r:id="rId7" o:title=""/>
            <o:lock v:ext="edit" aspectratio="t"/>
            <w10:wrap type="none"/>
            <w10:anchorlock/>
          </v:shape>
          <o:OLEObject Type="Embed" ProgID="Package" ShapeID="_x0000_i1025" DrawAspect="Content" ObjectID="_1468075725" r:id="rId6">
            <o:LockedField>false</o:LockedField>
          </o:OLEObject>
        </w:object>
      </w:r>
      <w:r>
        <w:rPr>
          <w:rFonts w:hint="eastAsia" w:eastAsiaTheme="minorEastAsia"/>
          <w:lang w:eastAsia="zh-CN"/>
        </w:rPr>
        <w:object>
          <v:shape id="_x0000_i1026" o:spt="75" type="#_x0000_t75" style="height:36.65pt;width:102.05pt;" o:ole="t" filled="f" o:preferrelative="t" stroked="f" coordsize="21600,21600">
            <v:fill on="f" focussize="0,0"/>
            <v:stroke on="f"/>
            <v:imagedata r:id="rId9" o:title=""/>
            <o:lock v:ext="edit" aspectratio="t"/>
            <w10:wrap type="none"/>
            <w10:anchorlock/>
          </v:shape>
          <o:OLEObject Type="Embed" ProgID="Package" ShapeID="_x0000_i1026" DrawAspect="Content" ObjectID="_1468075726" r:id="rId8">
            <o:LockedField>false</o:LockedField>
          </o:OLEObject>
        </w:objec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2FCB632"/>
    <w:multiLevelType w:val="singleLevel"/>
    <w:tmpl w:val="A2FCB63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">
    <w:nsid w:val="CAAEEE6E"/>
    <w:multiLevelType w:val="singleLevel"/>
    <w:tmpl w:val="CAAEEE6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">
    <w:nsid w:val="D02C5888"/>
    <w:multiLevelType w:val="singleLevel"/>
    <w:tmpl w:val="D02C5888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3">
    <w:nsid w:val="1B4217F6"/>
    <w:multiLevelType w:val="singleLevel"/>
    <w:tmpl w:val="1B4217F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">
    <w:nsid w:val="7D345755"/>
    <w:multiLevelType w:val="singleLevel"/>
    <w:tmpl w:val="7D345755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353C54"/>
    <w:rsid w:val="5BB701E0"/>
    <w:rsid w:val="6A2C1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3">
    <w:name w:val="heading 4"/>
    <w:basedOn w:val="1"/>
    <w:next w:val="1"/>
    <w:semiHidden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emf"/><Relationship Id="rId8" Type="http://schemas.openxmlformats.org/officeDocument/2006/relationships/oleObject" Target="embeddings/oleObject2.bin"/><Relationship Id="rId7" Type="http://schemas.openxmlformats.org/officeDocument/2006/relationships/image" Target="media/image3.emf"/><Relationship Id="rId6" Type="http://schemas.openxmlformats.org/officeDocument/2006/relationships/oleObject" Target="embeddings/oleObject1.bin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2025-11-08T22:18:05Z</dcterms:created>
  <dc:creator>Administrator</dc:creator>
  <cp:lastModifiedBy>丶那只戳熊居然</cp:lastModifiedBy>
  <dcterms:modified xsi:type="dcterms:W3CDTF">2025-11-08T22:19:54Z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eyJoZGlkIjoiNjI0NTIyOTJkMDljN2IxOTg0ODVjYjEwYTBlYTY4YzgiLCJ1c2VySWQiOiIyNTQyOTU3NDEifQ==</vt:lpwstr>
  </property>
  <property fmtid="{D5CDD505-2E9C-101B-9397-08002B2CF9AE}" pid="4" name="ICV">
    <vt:lpwstr>AB5513280D73417B8178EA6521364265_12</vt:lpwstr>
  </property>
</Properties>
</file>