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1029" w14:textId="67AB37CC" w:rsidR="007225D1" w:rsidRDefault="00274117">
      <w:pPr>
        <w:ind w:firstLine="420"/>
        <w:rPr>
          <w:rFonts w:hint="eastAsia"/>
        </w:rPr>
      </w:pPr>
      <w:r>
        <w:rPr>
          <w:rFonts w:hint="eastAsia"/>
        </w:rPr>
        <w:t>土壤相关计算：</w:t>
      </w:r>
    </w:p>
    <w:p w14:paraId="453DC348" w14:textId="4BA7F662" w:rsidR="00274117" w:rsidRDefault="00274117">
      <w:pPr>
        <w:ind w:firstLine="420"/>
        <w:rPr>
          <w:rFonts w:hint="eastAsia"/>
        </w:rPr>
      </w:pPr>
      <w:r w:rsidRPr="00274117">
        <w:rPr>
          <w:noProof/>
        </w:rPr>
        <w:drawing>
          <wp:inline distT="0" distB="0" distL="0" distR="0" wp14:anchorId="05A3E2A6" wp14:editId="7B3AB3FF">
            <wp:extent cx="4502381" cy="4883401"/>
            <wp:effectExtent l="0" t="0" r="0" b="0"/>
            <wp:docPr id="722559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BE8" w14:textId="60283179" w:rsidR="00274117" w:rsidRDefault="00274117">
      <w:pPr>
        <w:ind w:firstLine="420"/>
        <w:rPr>
          <w:rFonts w:hint="eastAsia"/>
        </w:rPr>
      </w:pPr>
      <w:r w:rsidRPr="00274117">
        <w:rPr>
          <w:noProof/>
        </w:rPr>
        <w:drawing>
          <wp:inline distT="0" distB="0" distL="0" distR="0" wp14:anchorId="00FEE546" wp14:editId="4DAE5AA3">
            <wp:extent cx="5226319" cy="2819545"/>
            <wp:effectExtent l="0" t="0" r="0" b="0"/>
            <wp:docPr id="438556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6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019" w14:textId="77777777" w:rsidR="00274117" w:rsidRDefault="00274117">
      <w:pPr>
        <w:ind w:firstLine="420"/>
        <w:rPr>
          <w:rFonts w:hint="eastAsia"/>
        </w:rPr>
      </w:pPr>
    </w:p>
    <w:p w14:paraId="0B3A4396" w14:textId="77777777" w:rsidR="00274117" w:rsidRDefault="00274117">
      <w:pPr>
        <w:ind w:firstLine="420"/>
        <w:rPr>
          <w:rFonts w:hint="eastAsia"/>
        </w:rPr>
      </w:pPr>
    </w:p>
    <w:p w14:paraId="0235E040" w14:textId="541C64B6" w:rsidR="00274117" w:rsidRDefault="00274117">
      <w:pPr>
        <w:ind w:firstLine="420"/>
        <w:rPr>
          <w:rFonts w:hint="eastAsia"/>
        </w:rPr>
      </w:pPr>
      <w:r w:rsidRPr="00274117">
        <w:rPr>
          <w:noProof/>
        </w:rPr>
        <w:lastRenderedPageBreak/>
        <w:drawing>
          <wp:inline distT="0" distB="0" distL="0" distR="0" wp14:anchorId="605070A8" wp14:editId="43262B9D">
            <wp:extent cx="4470400" cy="2693220"/>
            <wp:effectExtent l="0" t="0" r="0" b="0"/>
            <wp:docPr id="60185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5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904" cy="26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BE30" w14:textId="289092B6" w:rsidR="00274117" w:rsidRDefault="00274117">
      <w:pPr>
        <w:ind w:firstLine="420"/>
        <w:rPr>
          <w:rFonts w:hint="eastAsia"/>
        </w:rPr>
      </w:pPr>
      <w:r w:rsidRPr="00274117">
        <w:rPr>
          <w:noProof/>
        </w:rPr>
        <w:drawing>
          <wp:inline distT="0" distB="0" distL="0" distR="0" wp14:anchorId="4D590AC9" wp14:editId="3C99D19E">
            <wp:extent cx="4572485" cy="2730500"/>
            <wp:effectExtent l="0" t="0" r="0" b="0"/>
            <wp:docPr id="777655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5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170" cy="27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7642" w14:textId="08ABB610" w:rsidR="00274117" w:rsidRDefault="00274117">
      <w:pPr>
        <w:ind w:firstLine="420"/>
        <w:rPr>
          <w:rFonts w:hint="eastAsia"/>
        </w:rPr>
      </w:pPr>
      <w:r w:rsidRPr="00274117">
        <w:rPr>
          <w:noProof/>
        </w:rPr>
        <w:drawing>
          <wp:inline distT="0" distB="0" distL="0" distR="0" wp14:anchorId="3E7430FF" wp14:editId="6ED0F419">
            <wp:extent cx="4553695" cy="3117850"/>
            <wp:effectExtent l="0" t="0" r="0" b="0"/>
            <wp:docPr id="1369772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132" cy="31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E8E8" w14:textId="77777777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lastRenderedPageBreak/>
        <w:t>一、</w:t>
      </w:r>
      <w:r>
        <w:t>FVCOM与ROMS海洋模式的显著区别（4分）</w:t>
      </w:r>
      <w:r>
        <w:rPr>
          <w:rFonts w:ascii="Times New Roman" w:hAnsi="Times New Roman" w:cs="Times New Roman"/>
        </w:rPr>
        <w:t>​​</w:t>
      </w:r>
    </w:p>
    <w:p w14:paraId="034D2D3B" w14:textId="2FB71154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FVCOM（有限体积社区海洋模式）与ROMS（区域海洋模式系统）的核心差异体现于三方面：</w:t>
      </w:r>
    </w:p>
    <w:p w14:paraId="42CCE555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网格架构</w:t>
      </w:r>
      <w:r>
        <w:rPr>
          <w:rFonts w:ascii="Times New Roman" w:hAnsi="Times New Roman" w:cs="Times New Roman"/>
        </w:rPr>
        <w:t>​​</w:t>
      </w:r>
      <w:r>
        <w:t>：FVCOM采用</w:t>
      </w:r>
      <w:r>
        <w:rPr>
          <w:rFonts w:ascii="Times New Roman" w:hAnsi="Times New Roman" w:cs="Times New Roman"/>
        </w:rPr>
        <w:t>​​</w:t>
      </w:r>
      <w:r>
        <w:t>非结构化三角形网格</w:t>
      </w:r>
      <w:r>
        <w:rPr>
          <w:rFonts w:ascii="Times New Roman" w:hAnsi="Times New Roman" w:cs="Times New Roman"/>
        </w:rPr>
        <w:t>​​</w:t>
      </w:r>
      <w:r>
        <w:t>，可灵活拟合复杂岸线（如峡湾、岛屿群），实现局部高分辨率计算；而ROMS依赖</w:t>
      </w:r>
      <w:r>
        <w:rPr>
          <w:rFonts w:ascii="Times New Roman" w:hAnsi="Times New Roman" w:cs="Times New Roman"/>
        </w:rPr>
        <w:t>​​</w:t>
      </w:r>
      <w:r>
        <w:t>结构化曲线网格</w:t>
      </w:r>
      <w:r>
        <w:rPr>
          <w:rFonts w:ascii="Times New Roman" w:hAnsi="Times New Roman" w:cs="Times New Roman"/>
        </w:rPr>
        <w:t>​​</w:t>
      </w:r>
      <w:r>
        <w:t>（正交贴体坐标），虽利于大尺度环流模拟，但对不规则地形的适应性较差。</w:t>
      </w:r>
    </w:p>
    <w:p w14:paraId="4986D0DC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数值算法</w:t>
      </w:r>
      <w:r>
        <w:rPr>
          <w:rFonts w:ascii="Times New Roman" w:hAnsi="Times New Roman" w:cs="Times New Roman"/>
        </w:rPr>
        <w:t>​​</w:t>
      </w:r>
      <w:r>
        <w:t>：FVCOM基于</w:t>
      </w:r>
      <w:r>
        <w:rPr>
          <w:rFonts w:ascii="Times New Roman" w:hAnsi="Times New Roman" w:cs="Times New Roman"/>
        </w:rPr>
        <w:t>​​</w:t>
      </w:r>
      <w:r>
        <w:t>有限体积法</w:t>
      </w:r>
      <w:r>
        <w:rPr>
          <w:rFonts w:ascii="Times New Roman" w:hAnsi="Times New Roman" w:cs="Times New Roman"/>
        </w:rPr>
        <w:t>​​</w:t>
      </w:r>
      <w:r>
        <w:t>，严格守恒质量、动量与盐度通量，尤其擅长河口物质输运及浅海生态过程模拟；ROMS则采用</w:t>
      </w:r>
      <w:r>
        <w:rPr>
          <w:rFonts w:ascii="Times New Roman" w:hAnsi="Times New Roman" w:cs="Times New Roman"/>
        </w:rPr>
        <w:t>​​</w:t>
      </w:r>
      <w:r>
        <w:t>有限差分法</w:t>
      </w:r>
      <w:r>
        <w:rPr>
          <w:rFonts w:ascii="Times New Roman" w:hAnsi="Times New Roman" w:cs="Times New Roman"/>
        </w:rPr>
        <w:t>​​</w:t>
      </w:r>
      <w:r>
        <w:t>，结合S坐标处理垂向分层，其湍流闭合方案（如GLS湍流模型）在深海涡旋研究中更具优势。</w:t>
      </w:r>
    </w:p>
    <w:p w14:paraId="540776BD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应用场景</w:t>
      </w:r>
      <w:r>
        <w:rPr>
          <w:rFonts w:ascii="Times New Roman" w:hAnsi="Times New Roman" w:cs="Times New Roman"/>
        </w:rPr>
        <w:t>​​</w:t>
      </w:r>
      <w:r>
        <w:t>：FVCOM内置湿地-植被耦合模块，强调陆海界面交互作用，广泛应用于近岸环境预测；ROMS因能高效嵌入数据同化系统，更常用于中尺度涡旋动力学及气候尺度海气相互作用研究。</w:t>
      </w:r>
    </w:p>
    <w:p w14:paraId="3D63234D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二、两极海冰反向变化的成因机制（6分）</w:t>
      </w:r>
      <w:r>
        <w:rPr>
          <w:rFonts w:ascii="Times New Roman" w:hAnsi="Times New Roman" w:cs="Times New Roman"/>
        </w:rPr>
        <w:t>​​</w:t>
      </w:r>
    </w:p>
    <w:p w14:paraId="11E33530" w14:textId="1D208EF9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北极海冰锐减与南极海冰弱增的“反向趋势”源于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气候系统多圈层耦合的差异化响应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：</w:t>
      </w:r>
    </w:p>
    <w:p w14:paraId="547C2337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1. 北极海冰减少的主控因素</w:t>
      </w:r>
      <w:r>
        <w:rPr>
          <w:rFonts w:ascii="Times New Roman" w:hAnsi="Times New Roman" w:cs="Times New Roman"/>
        </w:rPr>
        <w:t>​​</w:t>
      </w:r>
    </w:p>
    <w:p w14:paraId="395FD856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北极放大效应</w:t>
      </w:r>
      <w:r>
        <w:rPr>
          <w:rFonts w:ascii="Times New Roman" w:hAnsi="Times New Roman" w:cs="Times New Roman"/>
        </w:rPr>
        <w:t>​​</w:t>
      </w:r>
      <w:r>
        <w:t>：全球增温触发冰-反照率正反馈（融冰→地表吸热率上升→加速升温），致北极升温速率达全球平均值的</w:t>
      </w:r>
      <w:r>
        <w:rPr>
          <w:rFonts w:ascii="Times New Roman" w:hAnsi="Times New Roman" w:cs="Times New Roman"/>
        </w:rPr>
        <w:t>​​</w:t>
      </w:r>
      <w:r>
        <w:t>2-3倍</w:t>
      </w:r>
      <w:r>
        <w:rPr>
          <w:rFonts w:ascii="Times New Roman" w:hAnsi="Times New Roman" w:cs="Times New Roman"/>
        </w:rPr>
        <w:t>​​</w:t>
      </w:r>
      <w:r>
        <w:t>（IPCC AR6）；</w:t>
      </w:r>
    </w:p>
    <w:p w14:paraId="2CFB2F8A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海洋热输送增强</w:t>
      </w:r>
      <w:r>
        <w:rPr>
          <w:rFonts w:ascii="Times New Roman" w:hAnsi="Times New Roman" w:cs="Times New Roman"/>
        </w:rPr>
        <w:t>​​</w:t>
      </w:r>
      <w:r>
        <w:t>：北大西洋暖流北移向巴伦支海输入更多热量，削弱海冰底层热平衡；</w:t>
      </w:r>
    </w:p>
    <w:p w14:paraId="3B5B81DF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大气动力强迫</w:t>
      </w:r>
      <w:r>
        <w:rPr>
          <w:rFonts w:ascii="Times New Roman" w:hAnsi="Times New Roman" w:cs="Times New Roman"/>
        </w:rPr>
        <w:t>​​</w:t>
      </w:r>
      <w:r>
        <w:t>：北极涛动（AO）负相位频率上升，诱发中纬度暖平流侵入，加剧海冰动力破碎。</w:t>
      </w:r>
    </w:p>
    <w:p w14:paraId="40921F74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2. 南极海冰阶段性增加的驱动机制</w:t>
      </w:r>
      <w:r>
        <w:rPr>
          <w:rFonts w:ascii="Times New Roman" w:hAnsi="Times New Roman" w:cs="Times New Roman"/>
        </w:rPr>
        <w:t>​​</w:t>
      </w:r>
    </w:p>
    <w:p w14:paraId="40CD7E01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淡水通量激增</w:t>
      </w:r>
      <w:r>
        <w:rPr>
          <w:rFonts w:ascii="Times New Roman" w:hAnsi="Times New Roman" w:cs="Times New Roman"/>
        </w:rPr>
        <w:t>​​</w:t>
      </w:r>
      <w:r>
        <w:t>：冰盖崩解及冰架融化输入大量低盐淡水，强化海洋层结（层结增强抑制海洋热向上传递），促进表层成冰（如2014年罗斯海冰盖扩张）；</w:t>
      </w:r>
    </w:p>
    <w:p w14:paraId="2667D68A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环流系统调控</w:t>
      </w:r>
      <w:r>
        <w:rPr>
          <w:rFonts w:ascii="Times New Roman" w:hAnsi="Times New Roman" w:cs="Times New Roman"/>
        </w:rPr>
        <w:t>​​</w:t>
      </w:r>
      <w:r>
        <w:t>：</w:t>
      </w:r>
    </w:p>
    <w:p w14:paraId="789E2E5E" w14:textId="77777777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南半球环状模（SAM）正相位使西风带强化，推动海冰水平扩散；</w:t>
      </w:r>
    </w:p>
    <w:p w14:paraId="6765BBDD" w14:textId="77777777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南极绕极流（ACC）加速形成热力学屏障，阻隔低纬度热能向极区传输；</w:t>
      </w:r>
    </w:p>
    <w:p w14:paraId="44E506E5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臭氧洞的间接作用</w:t>
      </w:r>
      <w:r>
        <w:rPr>
          <w:rFonts w:ascii="Times New Roman" w:hAnsi="Times New Roman" w:cs="Times New Roman"/>
        </w:rPr>
        <w:t>​​</w:t>
      </w:r>
      <w:r>
        <w:t>：平流层臭氧耗损加强极地涡旋，导致地表风加速（风力促进新冰生成）。</w:t>
      </w:r>
    </w:p>
    <w:p w14:paraId="21465177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3. 复杂性注解</w:t>
      </w:r>
      <w:r>
        <w:rPr>
          <w:rFonts w:ascii="Times New Roman" w:hAnsi="Times New Roman" w:cs="Times New Roman"/>
        </w:rPr>
        <w:t>​​</w:t>
      </w:r>
    </w:p>
    <w:p w14:paraId="78FB9532" w14:textId="05199691" w:rsid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该现象具时空异质性：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南极威尔克斯地受暖水入侵致海冰减少，而罗斯海因淡水主导呈增长趋势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。</w:t>
      </w:r>
      <w:r>
        <w:t>2016年后南极海冰转为显著衰退，反映环流位相转换与海洋热含量累积的滞后影响，凸显多尺度动力-热力过程的非线性耦合。</w:t>
      </w:r>
    </w:p>
    <w:p w14:paraId="66979446" w14:textId="77777777" w:rsidR="00805BF5" w:rsidRDefault="00805BF5" w:rsidP="00805BF5">
      <w:pPr>
        <w:ind w:firstLine="420"/>
        <w:rPr>
          <w:rFonts w:hint="eastAsia"/>
        </w:rPr>
      </w:pPr>
      <w:r>
        <w:rPr>
          <w:rFonts w:ascii="Times New Roman" w:hAnsi="Times New Roman" w:cs="Times New Roman"/>
        </w:rPr>
        <w:t>​​</w:t>
      </w:r>
      <w:r>
        <w:t>科学共识</w:t>
      </w:r>
      <w:r>
        <w:rPr>
          <w:rFonts w:ascii="Times New Roman" w:hAnsi="Times New Roman" w:cs="Times New Roman"/>
        </w:rPr>
        <w:t>​​</w:t>
      </w:r>
      <w:r>
        <w:t>（依据Nature Geoscience综述）：</w:t>
      </w:r>
    </w:p>
    <w:p w14:paraId="12740D30" w14:textId="60203E09" w:rsidR="00805BF5" w:rsidRPr="00805BF5" w:rsidRDefault="00805BF5" w:rsidP="00805BF5">
      <w:pPr>
        <w:ind w:firstLine="420"/>
        <w:rPr>
          <w:rFonts w:hint="eastAsia"/>
        </w:rPr>
      </w:pPr>
      <w:r>
        <w:rPr>
          <w:rFonts w:hint="eastAsia"/>
        </w:rPr>
        <w:t>北极冰损主要归因于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全球变暖的直接热力胁迫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，南极波动则受</w:t>
      </w:r>
      <w:r>
        <w:rPr>
          <w:rFonts w:ascii="Times New Roman" w:hAnsi="Times New Roman" w:cs="Times New Roman"/>
        </w:rPr>
        <w:t>​​</w:t>
      </w:r>
      <w:r>
        <w:rPr>
          <w:rFonts w:ascii="等线" w:eastAsia="等线" w:hAnsi="等线" w:cs="等线" w:hint="eastAsia"/>
        </w:rPr>
        <w:t>大气环流重组与冰</w:t>
      </w:r>
      <w:r>
        <w:t>-海洋反馈的阶段性调控</w:t>
      </w:r>
      <w:r>
        <w:rPr>
          <w:rFonts w:ascii="Times New Roman" w:hAnsi="Times New Roman" w:cs="Times New Roman"/>
        </w:rPr>
        <w:t>​​</w:t>
      </w:r>
      <w:r>
        <w:t>，二者共同揭示地球冷源系统对气候变化的敏感性与区域特异性。</w:t>
      </w:r>
    </w:p>
    <w:p w14:paraId="41D0D900" w14:textId="32D33F17" w:rsidR="00805BF5" w:rsidRPr="007075B9" w:rsidRDefault="007075B9">
      <w:pPr>
        <w:ind w:firstLine="420"/>
        <w:rPr>
          <w:b/>
          <w:bCs/>
        </w:rPr>
      </w:pPr>
      <w:r w:rsidRPr="007075B9">
        <w:rPr>
          <w:rFonts w:hint="eastAsia"/>
          <w:b/>
          <w:bCs/>
        </w:rPr>
        <w:lastRenderedPageBreak/>
        <w:t>通过对比干空气和湿空气控制方程组，谈一谈水汽对于大气状态的影响。浅对流和深对流各自在地球系统中发挥了怎样的作用?大气模式中，如果不考虑云的次网格特征，将会给模式系统带来怎样的影响?(10分)</w:t>
      </w:r>
    </w:p>
    <w:p w14:paraId="385711F8" w14:textId="7A9A107D" w:rsidR="007075B9" w:rsidRDefault="007075B9">
      <w:pPr>
        <w:ind w:firstLine="420"/>
      </w:pPr>
      <w:r w:rsidRPr="007075B9">
        <w:drawing>
          <wp:inline distT="0" distB="0" distL="0" distR="0" wp14:anchorId="037779EF" wp14:editId="19C5591C">
            <wp:extent cx="5274310" cy="3559175"/>
            <wp:effectExtent l="0" t="0" r="0" b="0"/>
            <wp:docPr id="112040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0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48B0" w14:textId="40014738" w:rsidR="007075B9" w:rsidRDefault="007075B9">
      <w:pPr>
        <w:ind w:firstLine="420"/>
      </w:pPr>
      <w:r w:rsidRPr="007075B9">
        <w:drawing>
          <wp:inline distT="0" distB="0" distL="0" distR="0" wp14:anchorId="0C16054A" wp14:editId="7AA415CD">
            <wp:extent cx="5274310" cy="3157220"/>
            <wp:effectExtent l="0" t="0" r="0" b="0"/>
            <wp:docPr id="315348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48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8580" w14:textId="77777777" w:rsidR="007075B9" w:rsidRDefault="007075B9">
      <w:pPr>
        <w:ind w:firstLine="420"/>
      </w:pPr>
    </w:p>
    <w:p w14:paraId="52DE97CB" w14:textId="77777777" w:rsidR="007075B9" w:rsidRDefault="007075B9">
      <w:pPr>
        <w:ind w:firstLine="420"/>
      </w:pPr>
    </w:p>
    <w:p w14:paraId="779AB22B" w14:textId="77777777" w:rsidR="007075B9" w:rsidRDefault="007075B9">
      <w:pPr>
        <w:ind w:firstLine="420"/>
      </w:pPr>
    </w:p>
    <w:p w14:paraId="3C6A0770" w14:textId="77777777" w:rsidR="007075B9" w:rsidRDefault="007075B9">
      <w:pPr>
        <w:ind w:firstLine="420"/>
      </w:pPr>
    </w:p>
    <w:p w14:paraId="47BDA3D9" w14:textId="77777777" w:rsidR="007075B9" w:rsidRDefault="007075B9">
      <w:pPr>
        <w:ind w:firstLine="420"/>
      </w:pPr>
    </w:p>
    <w:p w14:paraId="28EB97FE" w14:textId="0670D399" w:rsidR="007075B9" w:rsidRDefault="007075B9">
      <w:pPr>
        <w:ind w:firstLine="420"/>
      </w:pPr>
      <w:r w:rsidRPr="007075B9">
        <w:lastRenderedPageBreak/>
        <w:drawing>
          <wp:inline distT="0" distB="0" distL="0" distR="0" wp14:anchorId="317241FD" wp14:editId="4CC27533">
            <wp:extent cx="5274310" cy="3562350"/>
            <wp:effectExtent l="0" t="0" r="0" b="0"/>
            <wp:docPr id="1292817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17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28FF" w14:textId="77777777" w:rsidR="004810BC" w:rsidRPr="004810BC" w:rsidRDefault="004810BC" w:rsidP="004810BC">
      <w:pPr>
        <w:ind w:firstLine="420"/>
        <w:rPr>
          <w:b/>
          <w:bCs/>
        </w:rPr>
      </w:pPr>
      <w:r w:rsidRPr="004810BC">
        <w:rPr>
          <w:b/>
          <w:bCs/>
        </w:rPr>
        <w:t>a) 从大气能量平衡角度解释为什么全球降水量变化要比PET或者水汽随温度的变化小很多</w:t>
      </w:r>
      <w:r w:rsidRPr="004810BC">
        <w:rPr>
          <w:rFonts w:ascii="Times New Roman" w:hAnsi="Times New Roman" w:cs="Times New Roman"/>
          <w:b/>
          <w:bCs/>
        </w:rPr>
        <w:t>​​</w:t>
      </w:r>
    </w:p>
    <w:p w14:paraId="700EA968" w14:textId="77777777" w:rsidR="004810BC" w:rsidRPr="004810BC" w:rsidRDefault="004810BC" w:rsidP="004810BC">
      <w:p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答案：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br/>
        <w:t>全球降水量变化比PET或水汽变化小很多（约2-3%/K vs. 约7%/K），主要是因为降水过程受全球能量平衡的严格约束，而水汽含量和PET主要由温度控制的局地热力学过程决定。具体来说，能量平衡限制了降水的整体幅度，使得其变化比例较小。</w:t>
      </w:r>
    </w:p>
    <w:p w14:paraId="7D85F4C3" w14:textId="77777777" w:rsidR="004810BC" w:rsidRPr="004810BC" w:rsidRDefault="004810BC" w:rsidP="004810BC">
      <w:p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解题思路和详细解释：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</w:p>
    <w:p w14:paraId="170BD1F5" w14:textId="77777777" w:rsidR="004810BC" w:rsidRPr="004810BC" w:rsidRDefault="004810BC" w:rsidP="004810BC">
      <w:pPr>
        <w:numPr>
          <w:ilvl w:val="0"/>
          <w:numId w:val="4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背景知识复习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t>：</w:t>
      </w:r>
    </w:p>
    <w:p w14:paraId="3B8253E2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t>水汽含量和PET的增幅约7%/K遵循克拉珀龙方程（Clausius-Clapeyron relation），这是由大气饱和水汽压随温度指数增长（约每升高1K，饱和水汽压增加7%）决定的。PET（潜在蒸发量）代表在充足水分条件下可能的蒸发率，与水汽含量高度相关。</w:t>
      </w:r>
    </w:p>
    <w:p w14:paraId="11D8E191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t>全球降水量则与大气水循环的净能量输入相关，涉及蒸发、凝结和降水释放潜热的过程。</w:t>
      </w:r>
    </w:p>
    <w:p w14:paraId="485230B2" w14:textId="77777777" w:rsidR="004810BC" w:rsidRPr="004810BC" w:rsidRDefault="004810BC" w:rsidP="004810BC">
      <w:pPr>
        <w:numPr>
          <w:ilvl w:val="0"/>
          <w:numId w:val="4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能量平衡的核心原理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t>：</w:t>
      </w:r>
    </w:p>
    <w:p w14:paraId="1422FF46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t>从大气能量平衡角度，全球降水量 </w:t>
      </w:r>
      <w:r w:rsidRPr="004810BC">
        <w:rPr>
          <w:i/>
          <w:iCs/>
        </w:rPr>
        <w:t>P</w:t>
      </w:r>
      <w:r w:rsidRPr="004810BC">
        <w:t> 受地球系统净辐射能量输入的约束。公式表达为：</w:t>
      </w:r>
      <w:r w:rsidRPr="004810BC">
        <w:rPr>
          <w:i/>
          <w:iCs/>
        </w:rPr>
        <w:t>Lv</w:t>
      </w: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Cambria Math" w:hAnsi="Cambria Math" w:cs="Cambria Math"/>
        </w:rPr>
        <w:t>⋅</w:t>
      </w:r>
      <w:r w:rsidRPr="004810BC">
        <w:rPr>
          <w:i/>
          <w:iCs/>
        </w:rPr>
        <w:t>P</w:t>
      </w:r>
      <w:r w:rsidRPr="004810BC">
        <w:t>≈地表净辐射输入其中：</w:t>
      </w:r>
    </w:p>
    <w:p w14:paraId="1DA7D568" w14:textId="77777777" w:rsidR="004810BC" w:rsidRPr="004810BC" w:rsidRDefault="004810BC" w:rsidP="004810BC">
      <w:pPr>
        <w:numPr>
          <w:ilvl w:val="2"/>
          <w:numId w:val="4"/>
        </w:numPr>
        <w:ind w:firstLine="420"/>
      </w:pPr>
      <w:r w:rsidRPr="004810BC">
        <w:rPr>
          <w:i/>
          <w:iCs/>
        </w:rPr>
        <w:t>Lv</w:t>
      </w:r>
      <w:r w:rsidRPr="004810BC">
        <w:rPr>
          <w:rFonts w:ascii="Times New Roman" w:hAnsi="Times New Roman" w:cs="Times New Roman"/>
        </w:rPr>
        <w:t>​</w:t>
      </w:r>
      <w:r w:rsidRPr="004810BC">
        <w:t> 是水的蒸发潜热（约 2.5×106 J/kg），</w:t>
      </w:r>
    </w:p>
    <w:p w14:paraId="4AB2BA5E" w14:textId="77777777" w:rsidR="004810BC" w:rsidRPr="004810BC" w:rsidRDefault="004810BC" w:rsidP="004810BC">
      <w:pPr>
        <w:numPr>
          <w:ilvl w:val="2"/>
          <w:numId w:val="4"/>
        </w:numPr>
        <w:ind w:firstLine="420"/>
      </w:pPr>
      <w:r w:rsidRPr="004810BC">
        <w:rPr>
          <w:i/>
          <w:iCs/>
        </w:rPr>
        <w:t>P</w:t>
      </w:r>
      <w:r w:rsidRPr="004810BC">
        <w:t> 是全球平均降水率（质量单位，约 1000 kg/m²/year）。</w:t>
      </w:r>
      <w:r w:rsidRPr="004810BC">
        <w:br/>
        <w:t>转换为能量通量：全球平均潜热通量 </w:t>
      </w:r>
      <w:r w:rsidRPr="004810BC">
        <w:rPr>
          <w:i/>
          <w:iCs/>
        </w:rPr>
        <w:t>H</w:t>
      </w:r>
      <w:r w:rsidRPr="004810BC">
        <w:t>latent</w:t>
      </w:r>
      <w:r w:rsidRPr="004810BC">
        <w:rPr>
          <w:rFonts w:ascii="Times New Roman" w:hAnsi="Times New Roman" w:cs="Times New Roman"/>
        </w:rPr>
        <w:t>​</w:t>
      </w:r>
      <w:r w:rsidRPr="004810BC">
        <w:t> 约 80 W/m²（对应蒸发和降水释放的净能量）。</w:t>
      </w:r>
    </w:p>
    <w:p w14:paraId="45A47BD8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lastRenderedPageBreak/>
        <w:t>净辐射输入（地表接收的净太阳辐射）主要由太阳常数决定，全球平均约 240 W/m²（顶部大气辐射平衡为0）。在气候变化中，净辐射输入变化较慢（例如，温室气体增加可能导致辐射强迫变化，但地表能量分布需长时间调整）。</w:t>
      </w:r>
    </w:p>
    <w:p w14:paraId="522FE330" w14:textId="77777777" w:rsidR="004810BC" w:rsidRPr="004810BC" w:rsidRDefault="004810BC" w:rsidP="004810BC">
      <w:pPr>
        <w:numPr>
          <w:ilvl w:val="0"/>
          <w:numId w:val="4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为什么降水变化小？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br/>
        <w:t>当全球温度升高（如 1K）：</w:t>
      </w:r>
    </w:p>
    <w:p w14:paraId="122B7A7D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t>水汽和 PET 快速增加（7%/K），因为这是局地热力学过程，直接受温度驱动，不受整体能量限制。</w:t>
      </w:r>
    </w:p>
    <w:p w14:paraId="2906BCEB" w14:textId="77777777" w:rsidR="004810BC" w:rsidRPr="004810BC" w:rsidRDefault="004810BC" w:rsidP="004810BC">
      <w:pPr>
        <w:numPr>
          <w:ilvl w:val="1"/>
          <w:numId w:val="4"/>
        </w:numPr>
        <w:ind w:firstLine="420"/>
      </w:pPr>
      <w:r w:rsidRPr="004810BC">
        <w:t>但降水变化幅度较小（2-3%/K），原因有三：</w:t>
      </w:r>
    </w:p>
    <w:p w14:paraId="028A3CFF" w14:textId="77777777" w:rsidR="004810BC" w:rsidRPr="004810BC" w:rsidRDefault="004810BC" w:rsidP="004810BC">
      <w:pPr>
        <w:numPr>
          <w:ilvl w:val="2"/>
          <w:numId w:val="5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能量限制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t>：降水的本质是水汽凝结释放潜热的过程。增加降水需增加蒸发，而蒸发需要地表能量输入（例如净辐射）。净辐射输入在短时间尺度变化小（人类活动如温室气体排放主要改变温度分布，而非净辐射总量），因此降水率变化有限。</w:t>
      </w:r>
    </w:p>
    <w:p w14:paraId="0C52A9E7" w14:textId="77777777" w:rsidR="004810BC" w:rsidRPr="004810BC" w:rsidRDefault="004810BC" w:rsidP="004810BC">
      <w:pPr>
        <w:numPr>
          <w:ilvl w:val="2"/>
          <w:numId w:val="5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反馈机制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t>：在能量平衡中，温度升高会使大气中水汽增加，但更多的水汽作为温室气体会增强辐射强迫，导致温度进一步上升。然而，降水的潜热释放会部分抵消这一加热（负反馈），使降水增长比例低于水汽增长比例。</w:t>
      </w:r>
    </w:p>
    <w:p w14:paraId="5A4CBD4A" w14:textId="77777777" w:rsidR="004810BC" w:rsidRPr="004810BC" w:rsidRDefault="004810BC" w:rsidP="004810BC">
      <w:pPr>
        <w:numPr>
          <w:ilvl w:val="2"/>
          <w:numId w:val="5"/>
        </w:numPr>
        <w:ind w:firstLine="420"/>
      </w:pPr>
      <w:r w:rsidRPr="004810BC">
        <w:rPr>
          <w:rFonts w:ascii="Times New Roman" w:hAnsi="Times New Roman" w:cs="Times New Roman"/>
        </w:rPr>
        <w:t>​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b/>
          <w:bCs/>
        </w:rPr>
        <w:t>降水的尺度依赖</w:t>
      </w:r>
      <w:r w:rsidRPr="004810BC">
        <w:rPr>
          <w:rFonts w:ascii="Times New Roman" w:hAnsi="Times New Roman" w:cs="Times New Roman"/>
          <w:b/>
          <w:bCs/>
        </w:rPr>
        <w:t>​</w:t>
      </w:r>
      <w:r w:rsidRPr="004810BC">
        <w:rPr>
          <w:rFonts w:ascii="Times New Roman" w:hAnsi="Times New Roman" w:cs="Times New Roman"/>
        </w:rPr>
        <w:t>​</w:t>
      </w:r>
      <w:r w:rsidRPr="004810BC">
        <w:t>：水汽和PET是局部变量，响应快；降水是全局尺度过程，其变化受大气环流和能量再分配约束。能量输入主要用于维持当前降水模式，变化率被“缓冲”。</w:t>
      </w:r>
    </w:p>
    <w:p w14:paraId="4D069D75" w14:textId="77777777" w:rsidR="004810BC" w:rsidRPr="004810BC" w:rsidRDefault="004810BC" w:rsidP="004810BC">
      <w:pPr>
        <w:ind w:firstLine="420"/>
      </w:pPr>
      <w:r w:rsidRPr="004810BC">
        <w:t>因此，在全球变暖下，水汽/PET 的快速增长（7%/K）反映热力学响应，而降水变化（2-3%/K）反映能量平衡约束，导致后者比例较小。</w:t>
      </w:r>
    </w:p>
    <w:p w14:paraId="1C89083C" w14:textId="77777777" w:rsidR="007075B9" w:rsidRDefault="007075B9" w:rsidP="004810BC">
      <w:pPr>
        <w:ind w:firstLine="420"/>
        <w:jc w:val="left"/>
      </w:pPr>
    </w:p>
    <w:p w14:paraId="2168B1C8" w14:textId="01BE346E" w:rsidR="004810BC" w:rsidRDefault="004810BC" w:rsidP="004810BC">
      <w:pPr>
        <w:ind w:firstLine="420"/>
        <w:jc w:val="left"/>
      </w:pPr>
      <w:r w:rsidRPr="004810BC">
        <w:drawing>
          <wp:inline distT="0" distB="0" distL="0" distR="0" wp14:anchorId="78EE1EE6" wp14:editId="4659EC0B">
            <wp:extent cx="5274310" cy="3665855"/>
            <wp:effectExtent l="0" t="0" r="0" b="0"/>
            <wp:docPr id="154011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10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FE71" w14:textId="6226CCFB" w:rsidR="004810BC" w:rsidRDefault="004810BC" w:rsidP="004810BC">
      <w:pPr>
        <w:ind w:firstLine="420"/>
        <w:jc w:val="left"/>
      </w:pPr>
      <w:r w:rsidRPr="004810BC">
        <w:lastRenderedPageBreak/>
        <w:drawing>
          <wp:inline distT="0" distB="0" distL="0" distR="0" wp14:anchorId="0592A875" wp14:editId="5671C3CA">
            <wp:extent cx="5274310" cy="5274310"/>
            <wp:effectExtent l="0" t="0" r="0" b="0"/>
            <wp:docPr id="183577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4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DC25" w14:textId="77777777" w:rsidR="004810BC" w:rsidRDefault="004810BC" w:rsidP="004810BC">
      <w:pPr>
        <w:ind w:firstLine="420"/>
        <w:jc w:val="left"/>
      </w:pPr>
    </w:p>
    <w:p w14:paraId="04F6F7B4" w14:textId="77777777" w:rsidR="004810BC" w:rsidRDefault="004810BC" w:rsidP="004810BC">
      <w:pPr>
        <w:ind w:firstLine="420"/>
        <w:jc w:val="left"/>
      </w:pPr>
    </w:p>
    <w:p w14:paraId="5F42EE3D" w14:textId="77777777" w:rsidR="004810BC" w:rsidRDefault="004810BC" w:rsidP="004810BC">
      <w:pPr>
        <w:ind w:firstLine="420"/>
        <w:jc w:val="left"/>
      </w:pPr>
    </w:p>
    <w:p w14:paraId="7F088650" w14:textId="77777777" w:rsidR="004810BC" w:rsidRDefault="004810BC" w:rsidP="004810BC">
      <w:pPr>
        <w:ind w:firstLine="420"/>
        <w:jc w:val="left"/>
      </w:pPr>
    </w:p>
    <w:p w14:paraId="2924BACD" w14:textId="77777777" w:rsidR="004810BC" w:rsidRDefault="004810BC" w:rsidP="004810BC">
      <w:pPr>
        <w:ind w:firstLine="420"/>
        <w:jc w:val="left"/>
      </w:pPr>
    </w:p>
    <w:p w14:paraId="1E4BB614" w14:textId="77777777" w:rsidR="004810BC" w:rsidRDefault="004810BC" w:rsidP="004810BC">
      <w:pPr>
        <w:ind w:firstLine="420"/>
        <w:jc w:val="left"/>
      </w:pPr>
    </w:p>
    <w:p w14:paraId="40BF1C2B" w14:textId="77777777" w:rsidR="004810BC" w:rsidRDefault="004810BC" w:rsidP="004810BC">
      <w:pPr>
        <w:ind w:firstLine="420"/>
        <w:jc w:val="left"/>
      </w:pPr>
    </w:p>
    <w:p w14:paraId="1CDF7F5D" w14:textId="77777777" w:rsidR="004810BC" w:rsidRDefault="004810BC" w:rsidP="004810BC">
      <w:pPr>
        <w:ind w:firstLine="420"/>
        <w:jc w:val="left"/>
      </w:pPr>
    </w:p>
    <w:p w14:paraId="597DD89C" w14:textId="77777777" w:rsidR="004810BC" w:rsidRDefault="004810BC" w:rsidP="004810BC">
      <w:pPr>
        <w:ind w:firstLine="420"/>
        <w:jc w:val="left"/>
      </w:pPr>
    </w:p>
    <w:p w14:paraId="2BE7205E" w14:textId="77777777" w:rsidR="004810BC" w:rsidRDefault="004810BC" w:rsidP="004810BC">
      <w:pPr>
        <w:ind w:firstLine="420"/>
        <w:jc w:val="left"/>
      </w:pPr>
    </w:p>
    <w:p w14:paraId="6C0F8B4A" w14:textId="77777777" w:rsidR="004810BC" w:rsidRDefault="004810BC" w:rsidP="004810BC">
      <w:pPr>
        <w:ind w:firstLine="420"/>
        <w:jc w:val="left"/>
      </w:pPr>
    </w:p>
    <w:p w14:paraId="0C1C269B" w14:textId="77777777" w:rsidR="004810BC" w:rsidRDefault="004810BC" w:rsidP="004810BC">
      <w:pPr>
        <w:ind w:firstLine="420"/>
        <w:jc w:val="left"/>
      </w:pPr>
    </w:p>
    <w:p w14:paraId="71AA72E3" w14:textId="77777777" w:rsidR="004810BC" w:rsidRDefault="004810BC" w:rsidP="004810BC">
      <w:pPr>
        <w:ind w:firstLine="420"/>
        <w:jc w:val="left"/>
      </w:pPr>
    </w:p>
    <w:p w14:paraId="53EC452C" w14:textId="2F01C334" w:rsidR="004810BC" w:rsidRPr="004810BC" w:rsidRDefault="004810BC" w:rsidP="004810BC">
      <w:pPr>
        <w:ind w:firstLine="420"/>
        <w:jc w:val="left"/>
      </w:pPr>
      <w:r w:rsidRPr="004810BC">
        <w:lastRenderedPageBreak/>
        <w:t>根据题目配图的模拟实验结果（GISS ModelE气候模型中CO</w:t>
      </w:r>
      <w:r w:rsidRPr="004810BC">
        <w:rPr>
          <w:rFonts w:ascii="Cambria Math" w:hAnsi="Cambria Math" w:cs="Cambria Math"/>
        </w:rPr>
        <w:t>₂</w:t>
      </w:r>
      <w:r w:rsidRPr="004810BC">
        <w:t>浓度设为零后的变化），以下是对三个问题的整段式回答。图中显示，CO</w:t>
      </w:r>
      <w:r w:rsidRPr="004810BC">
        <w:rPr>
          <w:rFonts w:ascii="Cambria Math" w:hAnsi="Cambria Math" w:cs="Cambria Math"/>
        </w:rPr>
        <w:t>₂</w:t>
      </w:r>
      <w:r w:rsidRPr="004810BC">
        <w:t>归零导致全球地表温度从15°C降至接近-20°C，总下降约35°C，远超过单纯辐射平衡模型的10°C降温预测。其他变量包括柱水汽大幅下降、海冰覆盖增加、行星反照率上升、云覆盖增加和TOA净通量增加（指示热量流失）。这些数据表明，CO</w:t>
      </w:r>
      <w:r w:rsidRPr="004810BC">
        <w:rPr>
          <w:rFonts w:ascii="Cambria Math" w:hAnsi="Cambria Math" w:cs="Cambria Math"/>
        </w:rPr>
        <w:t>₂</w:t>
      </w:r>
      <w:r w:rsidRPr="004810BC">
        <w:t>移除触发了一系列反馈过程，显著放大了温降效应。讨论反馈过程时，水汽-温室效应反馈是主导：温度下降导致大气水汽含量降低（柱水汽从约90%下降至极低水平），水汽减少会削弱温室效应，进一步加速降温。同时，冰反照率反馈增强效果，海冰覆盖从约10%升至70%，行星反照率随之上升，地表吸收太阳辐射减少，温度更快下降。云覆盖的增加（尤其在低温阶段）也贡献了正反馈，可能通过增强反射率进一步减少热吸收。总体，这些反馈将直接的CO</w:t>
      </w:r>
      <w:r w:rsidRPr="004810BC">
        <w:rPr>
          <w:rFonts w:ascii="Cambria Math" w:hAnsi="Cambria Math" w:cs="Cambria Math"/>
        </w:rPr>
        <w:t>₂</w:t>
      </w:r>
      <w:r w:rsidRPr="004810BC">
        <w:t>温室损失放大3倍以上，证明反馈机制在气候变化中的核心作用。</w:t>
      </w:r>
    </w:p>
    <w:p w14:paraId="2A269C00" w14:textId="77777777" w:rsidR="004810BC" w:rsidRPr="004810BC" w:rsidRDefault="004810BC" w:rsidP="004810BC">
      <w:pPr>
        <w:ind w:firstLine="420"/>
        <w:jc w:val="left"/>
      </w:pPr>
      <w:r w:rsidRPr="004810BC">
        <w:t>比较CO</w:t>
      </w:r>
      <w:r w:rsidRPr="004810BC">
        <w:rPr>
          <w:rFonts w:ascii="Cambria Math" w:hAnsi="Cambria Math" w:cs="Cambria Math"/>
        </w:rPr>
        <w:t>₂</w:t>
      </w:r>
      <w:r w:rsidRPr="004810BC">
        <w:t>和水汽作为温室气体的异同时，二者都通过吸收红外辐射（如长波段15μm附近）产生温室效应，起到增暖作用。然而，CO</w:t>
      </w:r>
      <w:r w:rsidRPr="004810BC">
        <w:rPr>
          <w:rFonts w:ascii="Cambria Math" w:hAnsi="Cambria Math" w:cs="Cambria Math"/>
        </w:rPr>
        <w:t>₂</w:t>
      </w:r>
      <w:r w:rsidRPr="004810BC">
        <w:t>是“非凝结温室气体”，其浓度相对稳定且受人类排放主导（如工业活动），扮演“启动开关”的角色；移除后会触发连锁反馈。水汽则是“凝结温室气体”，浓度高度依赖温度（遵循克拉珀龙定律），作为“放大器”被动响应变化（如升温时水汽增加）。图中证据显示，CO</w:t>
      </w:r>
      <w:r w:rsidRPr="004810BC">
        <w:rPr>
          <w:rFonts w:ascii="Cambria Math" w:hAnsi="Cambria Math" w:cs="Cambria Math"/>
        </w:rPr>
        <w:t>₂</w:t>
      </w:r>
      <w:r w:rsidRPr="004810BC">
        <w:t>归零后，水汽含量快速衰减（从高比例降至最低），但水汽无法独立维持温室效应，一旦CO</w:t>
      </w:r>
      <w:r w:rsidRPr="004810BC">
        <w:rPr>
          <w:rFonts w:ascii="Cambria Math" w:hAnsi="Cambria Math" w:cs="Cambria Math"/>
        </w:rPr>
        <w:t>₂</w:t>
      </w:r>
      <w:r w:rsidRPr="004810BC">
        <w:t>移除，水汽随之崩溃。空间上，CO</w:t>
      </w:r>
      <w:r w:rsidRPr="004810BC">
        <w:rPr>
          <w:rFonts w:ascii="Cambria Math" w:hAnsi="Cambria Math" w:cs="Cambria Math"/>
        </w:rPr>
        <w:t>₂</w:t>
      </w:r>
      <w:r w:rsidRPr="004810BC">
        <w:t>全球均匀分布，而水汽浓度在赤道高于极地。关键差异在于CO</w:t>
      </w:r>
      <w:r w:rsidRPr="004810BC">
        <w:rPr>
          <w:rFonts w:ascii="Cambria Math" w:hAnsi="Cambria Math" w:cs="Cambria Math"/>
        </w:rPr>
        <w:t>₂</w:t>
      </w:r>
      <w:r w:rsidRPr="004810BC">
        <w:t>的扰动性：它能驱动长期气候响应，而水汽仅是次要响应者。</w:t>
      </w:r>
    </w:p>
    <w:p w14:paraId="263B7EDF" w14:textId="77777777" w:rsidR="004810BC" w:rsidRPr="004810BC" w:rsidRDefault="004810BC" w:rsidP="004810BC">
      <w:pPr>
        <w:ind w:firstLine="420"/>
        <w:jc w:val="left"/>
      </w:pPr>
      <w:r w:rsidRPr="004810BC">
        <w:t>反驳部分怀疑论观点（即CO</w:t>
      </w:r>
      <w:r w:rsidRPr="004810BC">
        <w:rPr>
          <w:rFonts w:ascii="Cambria Math" w:hAnsi="Cambria Math" w:cs="Cambria Math"/>
        </w:rPr>
        <w:t>₂</w:t>
      </w:r>
      <w:r w:rsidRPr="004810BC">
        <w:t>含量少、温室效应弱，不是变暖主因）时，该观点忽视了CO</w:t>
      </w:r>
      <w:r w:rsidRPr="004810BC">
        <w:rPr>
          <w:rFonts w:ascii="Cambria Math" w:hAnsi="Cambria Math" w:cs="Cambria Math"/>
        </w:rPr>
        <w:t>₂</w:t>
      </w:r>
      <w:r w:rsidRPr="004810BC">
        <w:t>的调控作用和反馈放大。怀疑论者误以为CO</w:t>
      </w:r>
      <w:r w:rsidRPr="004810BC">
        <w:rPr>
          <w:rFonts w:ascii="Cambria Math" w:hAnsi="Cambria Math" w:cs="Cambria Math"/>
        </w:rPr>
        <w:t>₂</w:t>
      </w:r>
      <w:r w:rsidRPr="004810BC">
        <w:t>占大气仅0.04%，作用微小，且水汽总量更大、直接温室效应更强。但图中实验直接证伪：移除少量CO</w:t>
      </w:r>
      <w:r w:rsidRPr="004810BC">
        <w:rPr>
          <w:rFonts w:ascii="Cambria Math" w:hAnsi="Cambria Math" w:cs="Cambria Math"/>
        </w:rPr>
        <w:t>₂</w:t>
      </w:r>
      <w:r w:rsidRPr="004810BC">
        <w:t>引发35°C温降（相当于全球进入冰河状态），远超出水汽单独变化的范围。CO</w:t>
      </w:r>
      <w:r w:rsidRPr="004810BC">
        <w:rPr>
          <w:rFonts w:ascii="Cambria Math" w:hAnsi="Cambria Math" w:cs="Cambria Math"/>
        </w:rPr>
        <w:t>₂</w:t>
      </w:r>
      <w:r w:rsidRPr="004810BC">
        <w:t>作为“非替代性气体”，其波段吸收高效（位于地球辐射峰值），移除会破坏系统平衡，触发水汽和冰反照率正反馈（如前所述）。若水汽是主因，移除CO</w:t>
      </w:r>
      <w:r w:rsidRPr="004810BC">
        <w:rPr>
          <w:rFonts w:ascii="Cambria Math" w:hAnsi="Cambria Math" w:cs="Cambria Math"/>
        </w:rPr>
        <w:t>₂</w:t>
      </w:r>
      <w:r w:rsidRPr="004810BC">
        <w:t>后水汽应能缓冲降温，但图中水汽骤降证明其依赖CO</w:t>
      </w:r>
      <w:r w:rsidRPr="004810BC">
        <w:rPr>
          <w:rFonts w:ascii="Cambria Math" w:hAnsi="Cambria Math" w:cs="Cambria Math"/>
        </w:rPr>
        <w:t>₂</w:t>
      </w:r>
      <w:r w:rsidRPr="004810BC">
        <w:t>驱动的温度。怀疑论还忽略反馈机制——CO</w:t>
      </w:r>
      <w:r w:rsidRPr="004810BC">
        <w:rPr>
          <w:rFonts w:ascii="Cambria Math" w:hAnsi="Cambria Math" w:cs="Cambria Math"/>
        </w:rPr>
        <w:t>₂</w:t>
      </w:r>
      <w:r w:rsidRPr="004810BC">
        <w:t>的小变化通过连锁反应放大为显著影响（如直接损失10°C放大到35°C）。因此，实验有力确认CO</w:t>
      </w:r>
      <w:r w:rsidRPr="004810BC">
        <w:rPr>
          <w:rFonts w:ascii="Cambria Math" w:hAnsi="Cambria Math" w:cs="Cambria Math"/>
        </w:rPr>
        <w:t>₂</w:t>
      </w:r>
      <w:r w:rsidRPr="004810BC">
        <w:t>是人类活动导致全球变暖的主因，其作用是核心且不可替代。</w:t>
      </w:r>
    </w:p>
    <w:p w14:paraId="2FCF41D9" w14:textId="77777777" w:rsidR="004810BC" w:rsidRDefault="004810BC" w:rsidP="004810BC">
      <w:pPr>
        <w:ind w:firstLine="420"/>
        <w:jc w:val="left"/>
      </w:pPr>
    </w:p>
    <w:p w14:paraId="1518F29A" w14:textId="77777777" w:rsidR="004810BC" w:rsidRDefault="004810BC" w:rsidP="004810BC">
      <w:pPr>
        <w:ind w:firstLine="420"/>
        <w:jc w:val="left"/>
      </w:pPr>
    </w:p>
    <w:p w14:paraId="530849D3" w14:textId="77777777" w:rsidR="004810BC" w:rsidRDefault="004810BC" w:rsidP="004810BC">
      <w:pPr>
        <w:ind w:firstLine="420"/>
        <w:jc w:val="left"/>
      </w:pPr>
    </w:p>
    <w:p w14:paraId="5A9A5B27" w14:textId="77777777" w:rsidR="004810BC" w:rsidRDefault="004810BC" w:rsidP="004810BC">
      <w:pPr>
        <w:ind w:firstLine="420"/>
        <w:jc w:val="left"/>
      </w:pPr>
    </w:p>
    <w:p w14:paraId="3425CEF4" w14:textId="77777777" w:rsidR="004810BC" w:rsidRDefault="004810BC" w:rsidP="004810BC">
      <w:pPr>
        <w:ind w:firstLine="420"/>
        <w:jc w:val="left"/>
      </w:pPr>
    </w:p>
    <w:p w14:paraId="5AAB2D5C" w14:textId="77777777" w:rsidR="004810BC" w:rsidRDefault="004810BC" w:rsidP="004810BC">
      <w:pPr>
        <w:ind w:firstLine="420"/>
        <w:jc w:val="left"/>
      </w:pPr>
    </w:p>
    <w:p w14:paraId="0DB78F71" w14:textId="77777777" w:rsidR="004810BC" w:rsidRDefault="004810BC" w:rsidP="004810BC">
      <w:pPr>
        <w:ind w:firstLine="420"/>
        <w:jc w:val="left"/>
      </w:pPr>
    </w:p>
    <w:p w14:paraId="58F6076F" w14:textId="1D983614" w:rsidR="004810BC" w:rsidRDefault="004810BC" w:rsidP="004810BC">
      <w:pPr>
        <w:ind w:firstLine="420"/>
        <w:jc w:val="left"/>
      </w:pPr>
      <w:r w:rsidRPr="004810BC">
        <w:lastRenderedPageBreak/>
        <w:drawing>
          <wp:inline distT="0" distB="0" distL="0" distR="0" wp14:anchorId="735F681E" wp14:editId="17E463C3">
            <wp:extent cx="4362450" cy="4539447"/>
            <wp:effectExtent l="0" t="0" r="0" b="0"/>
            <wp:docPr id="77612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20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292" cy="45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6D26" w14:textId="69DDE3BD" w:rsidR="004810BC" w:rsidRDefault="004810BC" w:rsidP="004810BC">
      <w:pPr>
        <w:ind w:firstLine="420"/>
        <w:jc w:val="left"/>
      </w:pPr>
      <w:r w:rsidRPr="004810BC">
        <w:drawing>
          <wp:inline distT="0" distB="0" distL="0" distR="0" wp14:anchorId="0076AD65" wp14:editId="0BE9E3F1">
            <wp:extent cx="4375150" cy="4241357"/>
            <wp:effectExtent l="0" t="0" r="0" b="0"/>
            <wp:docPr id="295796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6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413" cy="42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ED0" w14:textId="581DE8F6" w:rsidR="004810BC" w:rsidRPr="004810BC" w:rsidRDefault="004B0AD9" w:rsidP="004810BC">
      <w:pPr>
        <w:ind w:firstLine="420"/>
        <w:jc w:val="left"/>
        <w:rPr>
          <w:rFonts w:hint="eastAsia"/>
        </w:rPr>
      </w:pPr>
      <w:r w:rsidRPr="004B0AD9">
        <w:lastRenderedPageBreak/>
        <w:drawing>
          <wp:inline distT="0" distB="0" distL="0" distR="0" wp14:anchorId="0E7F0727" wp14:editId="0EB594CC">
            <wp:extent cx="5274310" cy="4274820"/>
            <wp:effectExtent l="0" t="0" r="0" b="0"/>
            <wp:docPr id="184968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5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0BC" w:rsidRPr="004810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1885"/>
    <w:multiLevelType w:val="multilevel"/>
    <w:tmpl w:val="D1B23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A3468"/>
    <w:multiLevelType w:val="multilevel"/>
    <w:tmpl w:val="818A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2829F1"/>
    <w:multiLevelType w:val="multilevel"/>
    <w:tmpl w:val="847E7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694767"/>
    <w:multiLevelType w:val="multilevel"/>
    <w:tmpl w:val="E9AC0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5550089">
    <w:abstractNumId w:val="0"/>
  </w:num>
  <w:num w:numId="2" w16cid:durableId="1257178127">
    <w:abstractNumId w:val="1"/>
  </w:num>
  <w:num w:numId="3" w16cid:durableId="1871338341">
    <w:abstractNumId w:val="3"/>
  </w:num>
  <w:num w:numId="4" w16cid:durableId="936720508">
    <w:abstractNumId w:val="2"/>
  </w:num>
  <w:num w:numId="5" w16cid:durableId="1074233186">
    <w:abstractNumId w:val="2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3E2B"/>
    <w:rsid w:val="00274117"/>
    <w:rsid w:val="002E32F6"/>
    <w:rsid w:val="00387CA5"/>
    <w:rsid w:val="004810BC"/>
    <w:rsid w:val="004B0AD9"/>
    <w:rsid w:val="004C66AD"/>
    <w:rsid w:val="006917E2"/>
    <w:rsid w:val="007075B9"/>
    <w:rsid w:val="007225D1"/>
    <w:rsid w:val="00805BF5"/>
    <w:rsid w:val="00807FAF"/>
    <w:rsid w:val="00A34AE1"/>
    <w:rsid w:val="00BC3E2B"/>
    <w:rsid w:val="00C00295"/>
    <w:rsid w:val="00C0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84DD"/>
  <w15:chartTrackingRefBased/>
  <w15:docId w15:val="{845AC07D-EF17-4A37-9D2D-59B8FC507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0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E2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E2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3E2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3E2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3E2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3E2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3E2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3E2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3E2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C3E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C3E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C3E2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C3E2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C3E2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C3E2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C3E2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C3E2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C3E2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C3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3E2B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C3E2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C3E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C3E2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C3E2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C3E2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C3E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C3E2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C3E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6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1652">
          <w:blockQuote w:val="1"/>
          <w:marLeft w:val="0"/>
          <w:marRight w:val="0"/>
          <w:marTop w:val="240"/>
          <w:marBottom w:val="0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</w:divsChild>
    </w:div>
    <w:div w:id="10409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5894">
          <w:blockQuote w:val="1"/>
          <w:marLeft w:val="0"/>
          <w:marRight w:val="0"/>
          <w:marTop w:val="240"/>
          <w:marBottom w:val="0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516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haizhen fu</dc:creator>
  <cp:keywords/>
  <dc:description/>
  <cp:lastModifiedBy>haizhen fu</cp:lastModifiedBy>
  <cp:revision>4</cp:revision>
  <dcterms:created xsi:type="dcterms:W3CDTF">2025-06-05T15:37:00Z</dcterms:created>
  <dcterms:modified xsi:type="dcterms:W3CDTF">2025-06-06T02:50:00Z</dcterms:modified>
</cp:coreProperties>
</file>