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WMPS Round-trip Fixture</w:t>
      </w:r>
    </w:p>
    <w:p>
      <w:pPr>
        <w:pStyle w:val="Heading1"/>
      </w:pPr>
      <w:r>
        <w:t xml:space="preserve">A document with headings, formatting, a table, and an image.</w:t>
      </w:r>
    </w:p>
    <w:p>
      <w:r>
        <w:rPr>
          <w:b/>
          <w:bCs/>
        </w:rPr>
        <w:t xml:space="preserve">Bold text</w:t>
      </w:r>
      <w:r>
        <w:t xml:space="preserve"> and </w:t>
      </w:r>
      <w:r>
        <w:rPr>
          <w:i/>
          <w:iCs/>
        </w:rPr>
        <w:t xml:space="preserve">italic 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42</w:t>
            </w:r>
          </w:p>
        </w:tc>
      </w:tr>
    </w:tbl>
    <w:p>
      <w:r>
        <w:drawing>
          <wp:inline distT="0" distB="0" distL="0" distR="0">
            <wp:extent cx="4572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2026-09-23T06:04:44.036Z</dcterms:created>
  <dcterms:modified xsi:type="dcterms:W3CDTF">2026-09-23T06:04:44.037Z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