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8DD5" w14:textId="368E5F6A" w:rsidR="00152FB6" w:rsidRDefault="00152FB6" w:rsidP="00152FB6">
      <w:pPr>
        <w:pStyle w:val="1"/>
      </w:pPr>
      <w:r>
        <w:rPr>
          <w:rFonts w:hint="eastAsia"/>
        </w:rPr>
        <w:t>波动率的波动率风险溢价：基于上证5</w:t>
      </w:r>
      <w:r>
        <w:t>0ETF</w:t>
      </w:r>
      <w:r>
        <w:rPr>
          <w:rFonts w:hint="eastAsia"/>
        </w:rPr>
        <w:t>期权的实证</w:t>
      </w:r>
    </w:p>
    <w:p w14:paraId="5C55067A" w14:textId="539F0F84" w:rsidR="00D06D59" w:rsidRDefault="00D06D59" w:rsidP="00D06D59">
      <w:pPr>
        <w:pStyle w:val="1"/>
      </w:pPr>
      <w:r>
        <w:rPr>
          <w:rFonts w:hint="eastAsia"/>
        </w:rPr>
        <w:t>摘要</w:t>
      </w:r>
    </w:p>
    <w:p w14:paraId="77B58EDF" w14:textId="77777777" w:rsidR="00152FB6" w:rsidRPr="00152FB6" w:rsidRDefault="00152FB6" w:rsidP="00152FB6"/>
    <w:p w14:paraId="3A4765FB" w14:textId="26A9416E" w:rsidR="00A645F4" w:rsidRDefault="00D06D59" w:rsidP="00152FB6">
      <w:pPr>
        <w:pStyle w:val="1"/>
      </w:pPr>
      <w:r>
        <w:rPr>
          <w:rFonts w:hint="eastAsia"/>
        </w:rPr>
        <w:t>1</w:t>
      </w:r>
      <w:r>
        <w:t>.</w:t>
      </w:r>
      <w:r w:rsidR="00152FB6">
        <w:rPr>
          <w:rFonts w:hint="eastAsia"/>
        </w:rPr>
        <w:t>引言</w:t>
      </w:r>
    </w:p>
    <w:p w14:paraId="3C6B0264" w14:textId="132878E1" w:rsidR="00152FB6" w:rsidRDefault="00152FB6" w:rsidP="007F1C70">
      <w:pPr>
        <w:ind w:firstLine="420"/>
      </w:pPr>
      <w:r>
        <w:rPr>
          <w:rFonts w:hint="eastAsia"/>
        </w:rPr>
        <w:t>在随机波动率框架中，波动率风险属于系统性风险且应当被定价，</w:t>
      </w:r>
      <w:r w:rsidR="007F1C70">
        <w:rPr>
          <w:rFonts w:hint="eastAsia"/>
        </w:rPr>
        <w:t>并且动态delta中性收益法</w:t>
      </w:r>
      <w:commentRangeStart w:id="0"/>
      <w:r w:rsidR="007F1C70">
        <w:rPr>
          <w:rFonts w:hint="eastAsia"/>
        </w:rPr>
        <w:t>（B</w:t>
      </w:r>
      <w:r w:rsidR="007F1C70">
        <w:t>akish</w:t>
      </w:r>
      <w:r w:rsidR="007F1C70">
        <w:rPr>
          <w:rFonts w:hint="eastAsia"/>
        </w:rPr>
        <w:t>，</w:t>
      </w:r>
      <w:r w:rsidR="007F1C70">
        <w:t>2003</w:t>
      </w:r>
      <w:r w:rsidR="007F1C70">
        <w:rPr>
          <w:rFonts w:hint="eastAsia"/>
        </w:rPr>
        <w:t>）</w:t>
      </w:r>
      <w:commentRangeEnd w:id="0"/>
      <w:r w:rsidR="008C46BF">
        <w:rPr>
          <w:rStyle w:val="a7"/>
        </w:rPr>
        <w:commentReference w:id="0"/>
      </w:r>
      <w:r w:rsidR="007F1C70">
        <w:rPr>
          <w:rFonts w:hint="eastAsia"/>
        </w:rPr>
        <w:t>、测度转化法</w:t>
      </w:r>
      <w:commentRangeStart w:id="1"/>
      <w:r w:rsidR="007F1C70">
        <w:rPr>
          <w:rFonts w:hint="eastAsia"/>
        </w:rPr>
        <w:t>（Ca</w:t>
      </w:r>
      <w:r w:rsidR="007F1C70">
        <w:t>rr and Wu</w:t>
      </w:r>
      <w:r w:rsidR="007F1C70">
        <w:rPr>
          <w:rFonts w:hint="eastAsia"/>
        </w:rPr>
        <w:t>，2</w:t>
      </w:r>
      <w:r w:rsidR="007F1C70">
        <w:t>009</w:t>
      </w:r>
      <w:r w:rsidR="007F1C70">
        <w:rPr>
          <w:rFonts w:hint="eastAsia"/>
        </w:rPr>
        <w:t>）</w:t>
      </w:r>
      <w:commentRangeEnd w:id="1"/>
      <w:r w:rsidR="005B69B3">
        <w:rPr>
          <w:rStyle w:val="a7"/>
        </w:rPr>
        <w:commentReference w:id="1"/>
      </w:r>
      <w:r w:rsidR="007F1C70">
        <w:rPr>
          <w:rFonts w:hint="eastAsia"/>
        </w:rPr>
        <w:t>和随机波动率模型法</w:t>
      </w:r>
      <w:commentRangeStart w:id="2"/>
      <w:r w:rsidR="007F1C70">
        <w:rPr>
          <w:rFonts w:hint="eastAsia"/>
        </w:rPr>
        <w:t>（）</w:t>
      </w:r>
      <w:commentRangeEnd w:id="2"/>
      <w:r w:rsidR="00535093">
        <w:rPr>
          <w:rStyle w:val="a7"/>
        </w:rPr>
        <w:commentReference w:id="2"/>
      </w:r>
      <w:r w:rsidR="007F1C70">
        <w:rPr>
          <w:rFonts w:hint="eastAsia"/>
        </w:rPr>
        <w:t>已经证明美国股票市场上存在显著为负的波动率风险溢价。</w:t>
      </w:r>
      <w:r>
        <w:rPr>
          <w:rFonts w:hint="eastAsia"/>
        </w:rPr>
        <w:t>然而</w:t>
      </w:r>
      <w:r w:rsidR="007F1C70">
        <w:rPr>
          <w:rFonts w:hint="eastAsia"/>
        </w:rPr>
        <w:t>框架中</w:t>
      </w:r>
      <w:r>
        <w:rPr>
          <w:rFonts w:hint="eastAsia"/>
        </w:rPr>
        <w:t>波动率的波动率(下文简称“V</w:t>
      </w:r>
      <w:r>
        <w:t>V</w:t>
      </w:r>
      <w:r>
        <w:rPr>
          <w:rFonts w:hint="eastAsia"/>
        </w:rPr>
        <w:t>”</w:t>
      </w:r>
      <w:r>
        <w:t>)</w:t>
      </w:r>
      <w:r>
        <w:rPr>
          <w:rFonts w:hint="eastAsia"/>
        </w:rPr>
        <w:t>，即波动率S</w:t>
      </w:r>
      <w:r>
        <w:t>DE</w:t>
      </w:r>
      <w:r>
        <w:rPr>
          <w:rFonts w:hint="eastAsia"/>
        </w:rPr>
        <w:t>维纳过程的系数，</w:t>
      </w:r>
      <w:r w:rsidR="007F1C70">
        <w:rPr>
          <w:rFonts w:hint="eastAsia"/>
        </w:rPr>
        <w:t>却被</w:t>
      </w:r>
      <w:r w:rsidR="00B90471">
        <w:rPr>
          <w:rFonts w:hint="eastAsia"/>
        </w:rPr>
        <w:t>假</w:t>
      </w:r>
      <w:r w:rsidR="007F1C70">
        <w:rPr>
          <w:rFonts w:hint="eastAsia"/>
        </w:rPr>
        <w:t>定为常数</w:t>
      </w:r>
      <w:commentRangeStart w:id="3"/>
      <w:r w:rsidR="007F1C70">
        <w:rPr>
          <w:rFonts w:hint="eastAsia"/>
        </w:rPr>
        <w:t>（heston</w:t>
      </w:r>
      <w:r w:rsidR="007F1C70">
        <w:t>,1993</w:t>
      </w:r>
      <w:r w:rsidR="007F1C70">
        <w:rPr>
          <w:rFonts w:hint="eastAsia"/>
        </w:rPr>
        <w:t>）</w:t>
      </w:r>
      <w:commentRangeEnd w:id="3"/>
      <w:r w:rsidR="008C46BF">
        <w:rPr>
          <w:rStyle w:val="a7"/>
        </w:rPr>
        <w:commentReference w:id="3"/>
      </w:r>
      <w:r w:rsidR="007F1C70">
        <w:rPr>
          <w:rFonts w:hint="eastAsia"/>
        </w:rPr>
        <w:t>。</w:t>
      </w:r>
      <w:r w:rsidR="00535093">
        <w:rPr>
          <w:rFonts w:hint="eastAsia"/>
        </w:rPr>
        <w:t>波动率决定收益率分布的不确定性，而V</w:t>
      </w:r>
      <w:r w:rsidR="00535093">
        <w:t>V</w:t>
      </w:r>
      <w:r w:rsidR="00535093">
        <w:rPr>
          <w:rFonts w:hint="eastAsia"/>
        </w:rPr>
        <w:t>可以决定波动率分布的不确定性。面对</w:t>
      </w:r>
      <w:r w:rsidR="0082054F">
        <w:rPr>
          <w:rFonts w:hint="eastAsia"/>
        </w:rPr>
        <w:t>以确定概率获得一定收益的股票，和以只有期望值的不确定性概率获得一定收益的股票，如果投资者给予不同风险评价，那么波动率的不确定性就会对投资者的投资风险偏好产生影响，即V</w:t>
      </w:r>
      <w:r w:rsidR="0082054F">
        <w:t>V</w:t>
      </w:r>
      <w:r w:rsidR="0082054F">
        <w:rPr>
          <w:rFonts w:hint="eastAsia"/>
        </w:rPr>
        <w:t>风险有可能属于有效定价因子且同样具有风险溢价（</w:t>
      </w:r>
      <w:commentRangeStart w:id="4"/>
      <w:r w:rsidR="0082054F">
        <w:rPr>
          <w:rFonts w:hint="eastAsia"/>
        </w:rPr>
        <w:t>Ba</w:t>
      </w:r>
      <w:r w:rsidR="0082054F">
        <w:t>ltussen</w:t>
      </w:r>
      <w:r w:rsidR="0082054F">
        <w:rPr>
          <w:rFonts w:hint="eastAsia"/>
        </w:rPr>
        <w:t>，2</w:t>
      </w:r>
      <w:r w:rsidR="0082054F">
        <w:t>018</w:t>
      </w:r>
      <w:commentRangeEnd w:id="4"/>
      <w:r w:rsidR="0082054F">
        <w:rPr>
          <w:rStyle w:val="a7"/>
        </w:rPr>
        <w:commentReference w:id="4"/>
      </w:r>
      <w:r w:rsidR="0082054F">
        <w:rPr>
          <w:rFonts w:hint="eastAsia"/>
        </w:rPr>
        <w:t>）。</w:t>
      </w:r>
    </w:p>
    <w:p w14:paraId="67C02BA5" w14:textId="37390CEF" w:rsidR="00152FB6" w:rsidRDefault="00A15827" w:rsidP="00902A63">
      <w:pPr>
        <w:ind w:firstLine="420"/>
      </w:pPr>
      <w:r>
        <w:rPr>
          <w:rFonts w:hint="eastAsia"/>
        </w:rPr>
        <w:t>当前国外已经有一部分学者研究了V</w:t>
      </w:r>
      <w:r>
        <w:t>V</w:t>
      </w:r>
      <w:r>
        <w:rPr>
          <w:rFonts w:hint="eastAsia"/>
        </w:rPr>
        <w:t>风险。</w:t>
      </w:r>
      <w:r w:rsidR="00902A63">
        <w:rPr>
          <w:rFonts w:hint="eastAsia"/>
        </w:rPr>
        <w:t>在V</w:t>
      </w:r>
      <w:r w:rsidR="00902A63">
        <w:t>V</w:t>
      </w:r>
      <w:r w:rsidR="00902A63">
        <w:rPr>
          <w:rFonts w:hint="eastAsia"/>
        </w:rPr>
        <w:t>风险的预测能力方面，不仅V</w:t>
      </w:r>
      <w:r w:rsidR="00902A63">
        <w:t>VIX</w:t>
      </w:r>
      <w:r w:rsidR="00902A63">
        <w:rPr>
          <w:rFonts w:hint="eastAsia"/>
        </w:rPr>
        <w:t>指数可以有效</w:t>
      </w:r>
      <w:r w:rsidR="003B27BE">
        <w:rPr>
          <w:rFonts w:hint="eastAsia"/>
        </w:rPr>
        <w:t>负向</w:t>
      </w:r>
      <w:r w:rsidR="00902A63">
        <w:rPr>
          <w:rFonts w:hint="eastAsia"/>
        </w:rPr>
        <w:t>预测V</w:t>
      </w:r>
      <w:r w:rsidR="00902A63">
        <w:t>IX</w:t>
      </w:r>
      <w:r w:rsidR="00902A63">
        <w:rPr>
          <w:rFonts w:hint="eastAsia"/>
        </w:rPr>
        <w:t>期权的收益率（</w:t>
      </w:r>
      <w:commentRangeStart w:id="5"/>
      <w:r w:rsidR="00902A63">
        <w:rPr>
          <w:rFonts w:hint="eastAsia"/>
        </w:rPr>
        <w:t>Pa</w:t>
      </w:r>
      <w:r w:rsidR="00902A63">
        <w:t>rk</w:t>
      </w:r>
      <w:r w:rsidR="00902A63">
        <w:rPr>
          <w:rFonts w:hint="eastAsia"/>
        </w:rPr>
        <w:t>，2</w:t>
      </w:r>
      <w:r w:rsidR="00902A63">
        <w:t>015</w:t>
      </w:r>
      <w:commentRangeEnd w:id="5"/>
      <w:r w:rsidR="00B90471">
        <w:rPr>
          <w:rStyle w:val="a7"/>
        </w:rPr>
        <w:commentReference w:id="5"/>
      </w:r>
      <w:r w:rsidR="00902A63">
        <w:rPr>
          <w:rFonts w:hint="eastAsia"/>
        </w:rPr>
        <w:t>）,而且</w:t>
      </w:r>
      <w:r w:rsidR="003B27BE">
        <w:rPr>
          <w:rFonts w:hint="eastAsia"/>
        </w:rPr>
        <w:t>个股的V</w:t>
      </w:r>
      <w:r w:rsidR="003B27BE">
        <w:t>V</w:t>
      </w:r>
      <w:r w:rsidR="003B27BE">
        <w:rPr>
          <w:rFonts w:hint="eastAsia"/>
        </w:rPr>
        <w:t>风险可以显著地正向预测个股期望收益（</w:t>
      </w:r>
      <w:commentRangeStart w:id="6"/>
      <w:r w:rsidR="003B27BE" w:rsidRPr="003B27BE">
        <w:t xml:space="preserve">Hollstein and Prokopczuk </w:t>
      </w:r>
      <w:r w:rsidR="003B27BE">
        <w:rPr>
          <w:rFonts w:hint="eastAsia"/>
        </w:rPr>
        <w:t>,</w:t>
      </w:r>
      <w:r w:rsidR="003B27BE">
        <w:t xml:space="preserve"> </w:t>
      </w:r>
      <w:r w:rsidR="003B27BE" w:rsidRPr="003B27BE">
        <w:t>2017</w:t>
      </w:r>
      <w:commentRangeEnd w:id="6"/>
      <w:r w:rsidR="00B90471">
        <w:rPr>
          <w:rStyle w:val="a7"/>
        </w:rPr>
        <w:commentReference w:id="6"/>
      </w:r>
      <w:r w:rsidR="003B27BE">
        <w:rPr>
          <w:rFonts w:hint="eastAsia"/>
        </w:rPr>
        <w:t>），这均表明美国市场上V</w:t>
      </w:r>
      <w:r w:rsidR="003B27BE">
        <w:t>V</w:t>
      </w:r>
      <w:r w:rsidR="003B27BE">
        <w:rPr>
          <w:rFonts w:hint="eastAsia"/>
        </w:rPr>
        <w:t>风险具有显著的负风险溢价</w:t>
      </w:r>
      <w:r w:rsidR="003B27BE">
        <w:rPr>
          <w:rStyle w:val="af"/>
        </w:rPr>
        <w:footnoteReference w:id="1"/>
      </w:r>
      <w:r w:rsidR="003B27BE">
        <w:rPr>
          <w:rFonts w:hint="eastAsia"/>
        </w:rPr>
        <w:t>，即美国市场投资者</w:t>
      </w:r>
      <w:r w:rsidR="00B90471">
        <w:rPr>
          <w:rFonts w:hint="eastAsia"/>
        </w:rPr>
        <w:t>厌恶V</w:t>
      </w:r>
      <w:r w:rsidR="00B90471">
        <w:t>V</w:t>
      </w:r>
      <w:r w:rsidR="00B90471">
        <w:rPr>
          <w:rFonts w:hint="eastAsia"/>
        </w:rPr>
        <w:t>风险带来的波动率不确定性</w:t>
      </w:r>
      <w:r w:rsidR="003B27BE">
        <w:rPr>
          <w:rFonts w:hint="eastAsia"/>
        </w:rPr>
        <w:t>。另外，V</w:t>
      </w:r>
      <w:r w:rsidR="003B27BE">
        <w:t>VIX</w:t>
      </w:r>
      <w:r w:rsidR="003B27BE">
        <w:rPr>
          <w:rFonts w:hint="eastAsia"/>
        </w:rPr>
        <w:t>的期限结构中同样包含有可以有效预测未来收益的信息（</w:t>
      </w:r>
      <w:commentRangeStart w:id="7"/>
      <w:r w:rsidR="003B27BE" w:rsidRPr="003B27BE">
        <w:t>Branger, H¨ulsbusch, and Kraftschik</w:t>
      </w:r>
      <w:r w:rsidR="003B27BE">
        <w:rPr>
          <w:rFonts w:hint="eastAsia"/>
        </w:rPr>
        <w:t>，</w:t>
      </w:r>
      <w:r w:rsidR="003B27BE" w:rsidRPr="003B27BE">
        <w:t>2017</w:t>
      </w:r>
      <w:commentRangeEnd w:id="7"/>
      <w:r w:rsidR="00B90471">
        <w:rPr>
          <w:rStyle w:val="a7"/>
        </w:rPr>
        <w:commentReference w:id="7"/>
      </w:r>
      <w:r w:rsidR="003B27BE">
        <w:rPr>
          <w:rFonts w:hint="eastAsia"/>
        </w:rPr>
        <w:t>）</w:t>
      </w:r>
      <w:r w:rsidR="00B90471">
        <w:rPr>
          <w:rFonts w:hint="eastAsia"/>
        </w:rPr>
        <w:t>。</w:t>
      </w:r>
      <w:commentRangeStart w:id="8"/>
      <w:r w:rsidR="00DA7852" w:rsidRPr="00DA7852">
        <w:t>N. Branger</w:t>
      </w:r>
      <w:r w:rsidR="00DA7852">
        <w:rPr>
          <w:rFonts w:hint="eastAsia"/>
        </w:rPr>
        <w:t>（2</w:t>
      </w:r>
      <w:r w:rsidR="00DA7852">
        <w:t>016</w:t>
      </w:r>
      <w:r w:rsidR="00DA7852">
        <w:rPr>
          <w:rFonts w:hint="eastAsia"/>
        </w:rPr>
        <w:t>）</w:t>
      </w:r>
      <w:commentRangeEnd w:id="8"/>
      <w:r w:rsidR="00DA7852">
        <w:rPr>
          <w:rStyle w:val="a7"/>
        </w:rPr>
        <w:commentReference w:id="8"/>
      </w:r>
      <w:r w:rsidR="00DA7852">
        <w:rPr>
          <w:rFonts w:hint="eastAsia"/>
        </w:rPr>
        <w:t>则发现，相比于普通的Log</w:t>
      </w:r>
      <w:r w:rsidR="00DA7852">
        <w:t>-VIX</w:t>
      </w:r>
      <w:r w:rsidR="00DA7852">
        <w:rPr>
          <w:rFonts w:hint="eastAsia"/>
        </w:rPr>
        <w:t>模型，含有随机V</w:t>
      </w:r>
      <w:r w:rsidR="00DA7852">
        <w:t>V</w:t>
      </w:r>
      <w:r w:rsidR="00DA7852">
        <w:rPr>
          <w:rFonts w:hint="eastAsia"/>
        </w:rPr>
        <w:t>的期权定价框架可以更好得贴合V</w:t>
      </w:r>
      <w:r w:rsidR="00DA7852">
        <w:t>IX</w:t>
      </w:r>
      <w:r w:rsidR="00DA7852">
        <w:rPr>
          <w:rFonts w:hint="eastAsia"/>
        </w:rPr>
        <w:t>期权价格。在V</w:t>
      </w:r>
      <w:r w:rsidR="00DA7852">
        <w:t>V</w:t>
      </w:r>
      <w:r w:rsidR="00DA7852">
        <w:rPr>
          <w:rFonts w:hint="eastAsia"/>
        </w:rPr>
        <w:t>风险溢价的存在性方面，</w:t>
      </w:r>
      <w:commentRangeStart w:id="9"/>
      <w:r w:rsidR="0052203A" w:rsidRPr="0052203A">
        <w:t>Darien Huang</w:t>
      </w:r>
      <w:r w:rsidR="00DA7852">
        <w:rPr>
          <w:rFonts w:hint="eastAsia"/>
        </w:rPr>
        <w:t>（2</w:t>
      </w:r>
      <w:r w:rsidR="00DA7852">
        <w:t>018</w:t>
      </w:r>
      <w:r w:rsidR="00DA7852">
        <w:rPr>
          <w:rFonts w:hint="eastAsia"/>
        </w:rPr>
        <w:t>）</w:t>
      </w:r>
      <w:commentRangeEnd w:id="9"/>
      <w:r w:rsidR="0052203A">
        <w:rPr>
          <w:rStyle w:val="a7"/>
        </w:rPr>
        <w:commentReference w:id="9"/>
      </w:r>
      <w:r w:rsidR="00DA7852">
        <w:rPr>
          <w:rFonts w:hint="eastAsia"/>
        </w:rPr>
        <w:t>建立了含有独立V</w:t>
      </w:r>
      <w:r w:rsidR="00DA7852">
        <w:t>V</w:t>
      </w:r>
      <w:r w:rsidR="00DA7852">
        <w:rPr>
          <w:rFonts w:hint="eastAsia"/>
        </w:rPr>
        <w:t>风险</w:t>
      </w:r>
      <w:r w:rsidR="00DA7852">
        <w:t>SDE</w:t>
      </w:r>
      <w:r w:rsidR="00DA7852">
        <w:rPr>
          <w:rFonts w:hint="eastAsia"/>
        </w:rPr>
        <w:t>的</w:t>
      </w:r>
      <w:r w:rsidR="008E74D7">
        <w:rPr>
          <w:rFonts w:hint="eastAsia"/>
        </w:rPr>
        <w:t>期权价格动态框架，通过计算S</w:t>
      </w:r>
      <w:r w:rsidR="008E74D7">
        <w:t>PX500</w:t>
      </w:r>
      <w:r w:rsidR="008E74D7">
        <w:rPr>
          <w:rFonts w:hint="eastAsia"/>
        </w:rPr>
        <w:t>和V</w:t>
      </w:r>
      <w:r w:rsidR="008E74D7">
        <w:t>IX</w:t>
      </w:r>
      <w:r w:rsidR="008E74D7">
        <w:rPr>
          <w:rFonts w:hint="eastAsia"/>
        </w:rPr>
        <w:t>的</w:t>
      </w:r>
      <w:r w:rsidR="008E74D7">
        <w:t>D</w:t>
      </w:r>
      <w:r w:rsidR="008E74D7">
        <w:rPr>
          <w:rFonts w:hint="eastAsia"/>
        </w:rPr>
        <w:t>elta中性收益证实美国市场上存在有显著的负V</w:t>
      </w:r>
      <w:r w:rsidR="008E74D7">
        <w:t>V</w:t>
      </w:r>
      <w:r w:rsidR="008E74D7">
        <w:rPr>
          <w:rFonts w:hint="eastAsia"/>
        </w:rPr>
        <w:t>风险溢价；</w:t>
      </w:r>
      <w:r w:rsidR="008E74D7">
        <w:rPr>
          <w:rStyle w:val="cf01"/>
          <w:rFonts w:cs="Arial" w:hint="default"/>
        </w:rPr>
        <w:t>Andreas K</w:t>
      </w:r>
      <w:commentRangeStart w:id="10"/>
      <w:r w:rsidR="008E74D7">
        <w:rPr>
          <w:rFonts w:hint="eastAsia"/>
        </w:rPr>
        <w:t>（2</w:t>
      </w:r>
      <w:r w:rsidR="008E74D7">
        <w:t>017</w:t>
      </w:r>
      <w:r w:rsidR="008E74D7">
        <w:rPr>
          <w:rFonts w:hint="eastAsia"/>
        </w:rPr>
        <w:t>）</w:t>
      </w:r>
      <w:commentRangeEnd w:id="10"/>
      <w:r w:rsidR="008E74D7">
        <w:rPr>
          <w:rStyle w:val="a7"/>
        </w:rPr>
        <w:commentReference w:id="10"/>
      </w:r>
      <w:r w:rsidR="008E74D7">
        <w:rPr>
          <w:rFonts w:hint="eastAsia"/>
        </w:rPr>
        <w:t>则基于测度转化法计算V</w:t>
      </w:r>
      <w:r w:rsidR="008E74D7">
        <w:t>IX</w:t>
      </w:r>
      <w:r w:rsidR="008E74D7">
        <w:rPr>
          <w:rFonts w:hint="eastAsia"/>
        </w:rPr>
        <w:t>已实现波动率与V</w:t>
      </w:r>
      <w:r w:rsidR="008E74D7">
        <w:t>IX</w:t>
      </w:r>
      <w:r w:rsidR="008E74D7">
        <w:rPr>
          <w:rFonts w:hint="eastAsia"/>
        </w:rPr>
        <w:t>期权隐含波动率之差，同样发现V</w:t>
      </w:r>
      <w:r w:rsidR="008E74D7">
        <w:t>V</w:t>
      </w:r>
      <w:r w:rsidR="008E74D7">
        <w:rPr>
          <w:rFonts w:hint="eastAsia"/>
        </w:rPr>
        <w:t>风险溢价显著为负</w:t>
      </w:r>
      <w:r w:rsidR="008C46BF">
        <w:rPr>
          <w:rFonts w:hint="eastAsia"/>
        </w:rPr>
        <w:t>；</w:t>
      </w:r>
      <w:r w:rsidR="008C46BF" w:rsidRPr="008C46BF">
        <w:t>Hollstein</w:t>
      </w:r>
      <w:r w:rsidR="008C46BF">
        <w:rPr>
          <w:rFonts w:hint="eastAsia"/>
        </w:rPr>
        <w:t>（2</w:t>
      </w:r>
      <w:r w:rsidR="008C46BF">
        <w:t>017</w:t>
      </w:r>
      <w:r w:rsidR="008C46BF">
        <w:rPr>
          <w:rFonts w:hint="eastAsia"/>
        </w:rPr>
        <w:t>）则研究</w:t>
      </w:r>
      <w:r w:rsidR="007933B5">
        <w:rPr>
          <w:rFonts w:hint="eastAsia"/>
        </w:rPr>
        <w:t>了</w:t>
      </w:r>
      <w:r w:rsidR="008C46BF">
        <w:rPr>
          <w:rFonts w:hint="eastAsia"/>
        </w:rPr>
        <w:t>市场总V</w:t>
      </w:r>
      <w:r w:rsidR="008C46BF">
        <w:t>V</w:t>
      </w:r>
      <w:r w:rsidR="008C46BF">
        <w:rPr>
          <w:rFonts w:hint="eastAsia"/>
        </w:rPr>
        <w:t>风险</w:t>
      </w:r>
      <w:r w:rsidR="007933B5">
        <w:rPr>
          <w:rFonts w:hint="eastAsia"/>
        </w:rPr>
        <w:t>，得出同样结果。整体来看，这些国外学者得出的结论较为一致，美国市场上存在有显著为负的V</w:t>
      </w:r>
      <w:r w:rsidR="007933B5">
        <w:t>V</w:t>
      </w:r>
      <w:r w:rsidR="007933B5">
        <w:rPr>
          <w:rFonts w:hint="eastAsia"/>
        </w:rPr>
        <w:t>风险溢价，并且V</w:t>
      </w:r>
      <w:r w:rsidR="007933B5">
        <w:t>V</w:t>
      </w:r>
      <w:r w:rsidR="007933B5">
        <w:rPr>
          <w:rFonts w:hint="eastAsia"/>
        </w:rPr>
        <w:t>风险具有预测能力。</w:t>
      </w:r>
    </w:p>
    <w:p w14:paraId="7A548582" w14:textId="32E3AA63" w:rsidR="00152FB6" w:rsidRDefault="00B57B06" w:rsidP="00152FB6">
      <w:r>
        <w:tab/>
      </w:r>
      <w:r>
        <w:rPr>
          <w:rFonts w:hint="eastAsia"/>
        </w:rPr>
        <w:t>中国市场上是否存在有系统性的V</w:t>
      </w:r>
      <w:r>
        <w:t>V</w:t>
      </w:r>
      <w:r>
        <w:rPr>
          <w:rFonts w:hint="eastAsia"/>
        </w:rPr>
        <w:t>风险以及溢价，当前尚未有人研究。</w:t>
      </w:r>
      <w:r w:rsidR="0052203A">
        <w:rPr>
          <w:rFonts w:hint="eastAsia"/>
        </w:rPr>
        <w:t>相比于欧美金融市场，中国金融市场存在有发展时间短和定价效率低等问题，而中国衍生品市场发展更加欠缺。直到</w:t>
      </w:r>
      <w:r w:rsidR="0052203A">
        <w:t>2015</w:t>
      </w:r>
      <w:r w:rsidR="0052203A">
        <w:rPr>
          <w:rFonts w:hint="eastAsia"/>
        </w:rPr>
        <w:t>年2月9日，中国才正式交易第一只指数期权——上证5</w:t>
      </w:r>
      <w:r w:rsidR="0052203A">
        <w:t>0ETF</w:t>
      </w:r>
      <w:r w:rsidR="0052203A">
        <w:rPr>
          <w:rFonts w:hint="eastAsia"/>
        </w:rPr>
        <w:t>期权，这也标志着中国股指期权市场的建立。在此之后，借助期权提供的风险中性测度交易数据，中国金融市场风险研究</w:t>
      </w:r>
      <w:r w:rsidR="005B69B3">
        <w:rPr>
          <w:rFonts w:hint="eastAsia"/>
        </w:rPr>
        <w:t>范围</w:t>
      </w:r>
      <w:r w:rsidR="0052203A">
        <w:rPr>
          <w:rFonts w:hint="eastAsia"/>
        </w:rPr>
        <w:t>也开始从传统的股票收益风险扩展至波动率风险等其他风险。</w:t>
      </w:r>
      <w:r w:rsidR="007933B5">
        <w:rPr>
          <w:rFonts w:hint="eastAsia"/>
        </w:rPr>
        <w:lastRenderedPageBreak/>
        <w:t>陈蓉（2</w:t>
      </w:r>
      <w:r w:rsidR="007933B5">
        <w:t>019</w:t>
      </w:r>
      <w:r w:rsidR="007933B5">
        <w:rPr>
          <w:rFonts w:hint="eastAsia"/>
        </w:rPr>
        <w:t>）使用从2</w:t>
      </w:r>
      <w:r w:rsidR="007933B5">
        <w:t>015</w:t>
      </w:r>
      <w:r w:rsidR="007933B5">
        <w:rPr>
          <w:rFonts w:hint="eastAsia"/>
        </w:rPr>
        <w:t>年2月9日至2</w:t>
      </w:r>
      <w:r w:rsidR="007933B5">
        <w:t>016</w:t>
      </w:r>
      <w:r w:rsidR="007933B5">
        <w:rPr>
          <w:rFonts w:hint="eastAsia"/>
        </w:rPr>
        <w:t>年7月8日的上证5</w:t>
      </w:r>
      <w:r w:rsidR="007933B5">
        <w:t>0ETF</w:t>
      </w:r>
      <w:r w:rsidR="007933B5">
        <w:rPr>
          <w:rFonts w:hint="eastAsia"/>
        </w:rPr>
        <w:t>期权数据，研究了中国市场上的波动率风险溢价情况，发现了矛盾现象：中国波动率风险溢价为负，但波动率风险整体而言并非系统性风险，而她认为这可能与期权市场发展不够成熟有关。本文所使用数据则已经扩展至2</w:t>
      </w:r>
      <w:r w:rsidR="007933B5">
        <w:t>023</w:t>
      </w:r>
      <w:r w:rsidR="007933B5">
        <w:rPr>
          <w:rFonts w:hint="eastAsia"/>
        </w:rPr>
        <w:t>年3月2</w:t>
      </w:r>
      <w:r w:rsidR="007933B5">
        <w:t>7</w:t>
      </w:r>
      <w:r w:rsidR="007933B5">
        <w:rPr>
          <w:rFonts w:hint="eastAsia"/>
        </w:rPr>
        <w:t>日，期间上证5</w:t>
      </w:r>
      <w:r w:rsidR="007933B5">
        <w:t>0ETF</w:t>
      </w:r>
      <w:r w:rsidR="007933B5">
        <w:rPr>
          <w:rFonts w:hint="eastAsia"/>
        </w:rPr>
        <w:t>期权已经获得了较大发展，成交量和成交金额均大幅度上升。</w:t>
      </w:r>
      <w:r w:rsidR="00691894">
        <w:rPr>
          <w:rFonts w:hint="eastAsia"/>
        </w:rPr>
        <w:t>本文研究发现，中国的波动率风险与市场收益率显著负相关，这表明波动率风险已经成为显著的系统性风险，且波动率风险溢价为负。在此基础上，本文进一步研究了中国金融市场的V</w:t>
      </w:r>
      <w:r w:rsidR="00691894">
        <w:t>V</w:t>
      </w:r>
      <w:r w:rsidR="00691894">
        <w:rPr>
          <w:rFonts w:hint="eastAsia"/>
        </w:rPr>
        <w:t>风险</w:t>
      </w:r>
      <w:r w:rsidR="00EA5B51">
        <w:rPr>
          <w:rFonts w:hint="eastAsia"/>
        </w:rPr>
        <w:t>及其溢价</w:t>
      </w:r>
      <w:r w:rsidR="00691894">
        <w:rPr>
          <w:rFonts w:hint="eastAsia"/>
        </w:rPr>
        <w:t>。</w:t>
      </w:r>
    </w:p>
    <w:p w14:paraId="6A4B8740" w14:textId="6E9087B3" w:rsidR="007F1C70" w:rsidRPr="00EA5B51" w:rsidRDefault="007F1C70" w:rsidP="00152FB6"/>
    <w:p w14:paraId="39B2DBFC" w14:textId="1DAE1310" w:rsidR="007F1C70" w:rsidRDefault="007F1C70" w:rsidP="00152FB6"/>
    <w:p w14:paraId="3A1E0F59" w14:textId="77777777" w:rsidR="007F1C70" w:rsidRDefault="007F1C70" w:rsidP="00152FB6"/>
    <w:p w14:paraId="764EE2FB" w14:textId="77777777" w:rsidR="00152FB6" w:rsidRDefault="00152FB6" w:rsidP="00152FB6"/>
    <w:p w14:paraId="1DE25931" w14:textId="62F099FA" w:rsidR="00D06D59" w:rsidRDefault="00D06D59" w:rsidP="00D06D59">
      <w:pPr>
        <w:pStyle w:val="1"/>
      </w:pPr>
      <w:r>
        <w:t>2.</w:t>
      </w:r>
      <w:r>
        <w:rPr>
          <w:rFonts w:hint="eastAsia"/>
        </w:rPr>
        <w:t>理论模型</w:t>
      </w:r>
    </w:p>
    <w:p w14:paraId="6E92A80F" w14:textId="4CB0C17F" w:rsidR="00152FB6" w:rsidRDefault="00EA5B51" w:rsidP="00152FB6">
      <w:r w:rsidRPr="0052203A">
        <w:t>Darien Huang</w:t>
      </w:r>
      <w:r>
        <w:rPr>
          <w:rFonts w:hint="eastAsia"/>
        </w:rPr>
        <w:t>（2</w:t>
      </w:r>
      <w:r>
        <w:t>018</w:t>
      </w:r>
      <w:r>
        <w:rPr>
          <w:rFonts w:hint="eastAsia"/>
        </w:rPr>
        <w:t>）认为</w:t>
      </w:r>
      <w:r>
        <w:t>VV</w:t>
      </w:r>
      <w:r>
        <w:rPr>
          <w:rFonts w:hint="eastAsia"/>
        </w:rPr>
        <w:t>风险与波动率风险是相互分离的风险源，它们应该含有各自的维纳过程积分项。他在随机波动率</w:t>
      </w:r>
    </w:p>
    <w:p w14:paraId="15E155E9" w14:textId="0F10D55B" w:rsidR="00D06D59" w:rsidRDefault="00D06D59" w:rsidP="00D06D59">
      <w:pPr>
        <w:pStyle w:val="2"/>
        <w:numPr>
          <w:ilvl w:val="0"/>
          <w:numId w:val="2"/>
        </w:numPr>
      </w:pPr>
      <w:r>
        <w:rPr>
          <w:rFonts w:hint="eastAsia"/>
        </w:rPr>
        <w:t>期权与股价的动态</w:t>
      </w:r>
    </w:p>
    <w:p w14:paraId="1D85A81C" w14:textId="44FB8034" w:rsidR="00D06D59" w:rsidRDefault="00EA5B51" w:rsidP="00D06D59">
      <w:r>
        <w:rPr>
          <w:rFonts w:hint="eastAsia"/>
        </w:rPr>
        <w:t>为了获取期权del</w:t>
      </w:r>
      <w:r>
        <w:t>ta</w:t>
      </w:r>
      <w:r>
        <w:rPr>
          <w:rFonts w:hint="eastAsia"/>
        </w:rPr>
        <w:t>中性期望收益与风险（波动率风险和V</w:t>
      </w:r>
      <w:r>
        <w:t>V</w:t>
      </w:r>
      <w:r>
        <w:rPr>
          <w:rFonts w:hint="eastAsia"/>
        </w:rPr>
        <w:t>风险）的关系</w:t>
      </w:r>
    </w:p>
    <w:p w14:paraId="6FAA7B2D" w14:textId="7A446FA5" w:rsidR="00EA5B51" w:rsidRDefault="00EA5B51" w:rsidP="00D06D59"/>
    <w:p w14:paraId="2E7C085A" w14:textId="67591E77" w:rsidR="00EA5B51" w:rsidRDefault="00EA5B51" w:rsidP="00D06D59"/>
    <w:p w14:paraId="60F296CB" w14:textId="558FC23C" w:rsidR="00EA5B51" w:rsidRDefault="00EA5B51" w:rsidP="00D06D59"/>
    <w:p w14:paraId="2736F800" w14:textId="77777777" w:rsidR="00A14932" w:rsidRDefault="00A14932" w:rsidP="00D06D59"/>
    <w:p w14:paraId="2B4CCE1A" w14:textId="77777777" w:rsidR="00A645F4" w:rsidRDefault="00A645F4" w:rsidP="00A645F4">
      <w:r w:rsidRPr="005862F8">
        <w:rPr>
          <w:noProof/>
        </w:rPr>
        <w:drawing>
          <wp:inline distT="0" distB="0" distL="0" distR="0" wp14:anchorId="454E44C4" wp14:editId="66B0E985">
            <wp:extent cx="5646961" cy="2309812"/>
            <wp:effectExtent l="0" t="0" r="0" b="0"/>
            <wp:docPr id="77562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8" t="6553" r="5326" b="18367"/>
                    <a:stretch/>
                  </pic:blipFill>
                  <pic:spPr bwMode="auto">
                    <a:xfrm>
                      <a:off x="0" y="0"/>
                      <a:ext cx="5684156" cy="232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B7717" w14:textId="77777777" w:rsidR="00A645F4" w:rsidRPr="00671F26" w:rsidRDefault="00A645F4" w:rsidP="00A645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∂η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dt</m:t>
        </m:r>
      </m:oMath>
    </w:p>
    <w:p w14:paraId="4D64774F" w14:textId="77777777" w:rsidR="00A645F4" w:rsidRPr="00671F26" w:rsidRDefault="00A645F4" w:rsidP="00A645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∂S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∂η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2241F641" w14:textId="77777777" w:rsidR="00A645F4" w:rsidRPr="00671F26" w:rsidRDefault="00A645F4" w:rsidP="00A645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1F26">
        <w:rPr>
          <w:rFonts w:ascii="Times New Roman" w:hAnsi="Times New Roman" w:cs="Times New Roman"/>
          <w:sz w:val="24"/>
          <w:szCs w:val="24"/>
        </w:rPr>
        <w:t xml:space="preserve">(5)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∂S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∂η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sup>
            </m:sSubSup>
          </m:e>
        </m:d>
      </m:oMath>
    </w:p>
    <w:p w14:paraId="5790EC4F" w14:textId="77777777" w:rsidR="00A645F4" w:rsidRPr="00671F26" w:rsidRDefault="00A645F4" w:rsidP="00A645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1F26">
        <w:rPr>
          <w:rFonts w:ascii="Times New Roman" w:hAnsi="Times New Roman" w:cs="Times New Roman"/>
          <w:sz w:val="24"/>
          <w:szCs w:val="24"/>
        </w:rPr>
        <w:lastRenderedPageBreak/>
        <w:t>(6)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t,t+τ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t,t+τ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t+τ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t+τ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du</m:t>
        </m:r>
      </m:oMath>
    </w:p>
    <w:p w14:paraId="6DC68496" w14:textId="77777777" w:rsidR="00A645F4" w:rsidRPr="00671F26" w:rsidRDefault="00A645F4" w:rsidP="00A645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t,t+τ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t,t+τ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t+τ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t+τ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∂S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du</m:t>
        </m:r>
      </m:oMath>
      <w:r w:rsidRPr="00671F26"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       </m:t>
        </m:r>
      </m:oMath>
    </w:p>
    <w:p w14:paraId="73D9724A" w14:textId="77777777" w:rsidR="00A645F4" w:rsidRPr="00671F26" w:rsidRDefault="00A645F4" w:rsidP="00A645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t+τ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p>
              </m:sSubSup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du+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t+τ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sup>
              </m:sSubSup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∂η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du+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t+τ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∂V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ra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t+τ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∂η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ra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p>
          </m:sSubSup>
        </m:oMath>
      </m:oMathPara>
    </w:p>
    <w:p w14:paraId="78026E33" w14:textId="77777777" w:rsidR="00A645F4" w:rsidRPr="00671F26" w:rsidRDefault="00A645F4" w:rsidP="00A645F4">
      <w:pPr>
        <w:tabs>
          <w:tab w:val="left" w:pos="67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1F26">
        <w:rPr>
          <w:rFonts w:ascii="Times New Roman" w:hAnsi="Times New Roman" w:cs="Times New Roman"/>
          <w:sz w:val="24"/>
          <w:szCs w:val="24"/>
        </w:rPr>
        <w:t xml:space="preserve">(8)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t,t+τ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t+τ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p>
                </m:sSubSup>
              </m:e>
            </m:nary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∂V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du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t+τ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sup>
                </m:sSubSup>
              </m:e>
            </m:nary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∂η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du</m:t>
            </m:r>
          </m:e>
        </m:d>
      </m:oMath>
    </w:p>
    <w:p w14:paraId="104A9B55" w14:textId="77777777" w:rsidR="00A645F4" w:rsidRPr="00671F26" w:rsidRDefault="00A645F4" w:rsidP="00A645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1F26">
        <w:rPr>
          <w:rFonts w:ascii="Times New Roman" w:hAnsi="Times New Roman" w:cs="Times New Roman"/>
          <w:sz w:val="24"/>
          <w:szCs w:val="24"/>
        </w:rPr>
        <w:t xml:space="preserve">(9)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671F26">
        <w:rPr>
          <w:rFonts w:ascii="Times New Roman" w:hAnsi="Times New Roman" w:cs="Times New Roman"/>
          <w:sz w:val="24"/>
          <w:szCs w:val="24"/>
        </w:rPr>
        <w:t xml:space="preserve">, 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671F26">
        <w:rPr>
          <w:rFonts w:ascii="Times New Roman" w:hAnsi="Times New Roman" w:cs="Times New Roman"/>
          <w:sz w:val="24"/>
          <w:szCs w:val="24"/>
        </w:rPr>
        <w:t>,</w:t>
      </w:r>
    </w:p>
    <w:p w14:paraId="1935C8A6" w14:textId="77777777" w:rsidR="00A645F4" w:rsidRDefault="00A645F4" w:rsidP="00A645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t,t+τ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</w:p>
    <w:p w14:paraId="3F5F47B2" w14:textId="77777777" w:rsidR="00A645F4" w:rsidRPr="00671F26" w:rsidRDefault="00A645F4" w:rsidP="00A645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1F26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71F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!</m:t>
                </m:r>
              </m:den>
            </m:f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&gt;0</m:t>
        </m:r>
      </m:oMath>
      <w:r w:rsidRPr="00671F26">
        <w:rPr>
          <w:rFonts w:ascii="Times New Roman" w:hAnsi="Times New Roman" w:cs="Times New Roman"/>
          <w:sz w:val="24"/>
          <w:szCs w:val="24"/>
        </w:rPr>
        <w:t xml:space="preserve">,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!</m:t>
                </m:r>
              </m:den>
            </m:f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&gt;0</m:t>
        </m:r>
      </m:oMath>
    </w:p>
    <w:p w14:paraId="3BE1B2B6" w14:textId="77777777" w:rsidR="00A14932" w:rsidRPr="00A645F4" w:rsidRDefault="00A14932" w:rsidP="00D06D59"/>
    <w:p w14:paraId="61175801" w14:textId="77777777" w:rsidR="00A14932" w:rsidRDefault="00A14932" w:rsidP="00D06D59"/>
    <w:p w14:paraId="7D6445B0" w14:textId="77777777" w:rsidR="00A14932" w:rsidRDefault="00A14932" w:rsidP="00D06D59"/>
    <w:p w14:paraId="4431BBEF" w14:textId="77777777" w:rsidR="00A14932" w:rsidRDefault="00A14932" w:rsidP="00D06D59"/>
    <w:p w14:paraId="7C9AFB62" w14:textId="77777777" w:rsidR="00A14932" w:rsidRDefault="00A14932" w:rsidP="00D06D59"/>
    <w:p w14:paraId="150A43D5" w14:textId="77777777" w:rsidR="00A14932" w:rsidRDefault="00A14932" w:rsidP="00D06D59"/>
    <w:p w14:paraId="2FAA40BD" w14:textId="77777777" w:rsidR="00A14932" w:rsidRPr="00A14932" w:rsidRDefault="00A14932" w:rsidP="00D06D59"/>
    <w:p w14:paraId="071B657F" w14:textId="77777777" w:rsidR="00EA5B51" w:rsidRPr="00D06D59" w:rsidRDefault="00EA5B51" w:rsidP="00D06D59"/>
    <w:p w14:paraId="03F41D9D" w14:textId="6086AA7E" w:rsidR="00D06D59" w:rsidRDefault="00D06D59" w:rsidP="00D06D59">
      <w:pPr>
        <w:pStyle w:val="2"/>
        <w:numPr>
          <w:ilvl w:val="0"/>
          <w:numId w:val="2"/>
        </w:numPr>
      </w:pPr>
      <w:r>
        <w:rPr>
          <w:rFonts w:hint="eastAsia"/>
        </w:rPr>
        <w:t>风险溢价预测模型</w:t>
      </w:r>
    </w:p>
    <w:p w14:paraId="250EED2D" w14:textId="48ADAA11" w:rsidR="00D06D59" w:rsidRDefault="00D06D59" w:rsidP="00D06D59"/>
    <w:p w14:paraId="49623C65" w14:textId="58B3CFF2" w:rsidR="00D06D59" w:rsidRDefault="00D06D59" w:rsidP="00D06D59"/>
    <w:p w14:paraId="6EDBD313" w14:textId="7B347EA6" w:rsidR="00884ED8" w:rsidRDefault="00A645F4" w:rsidP="00D06D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,t+τ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/>
                </w:rPr>
                <m:t>t-τ,t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</m:oMath>
      </m:oMathPara>
    </w:p>
    <w:p w14:paraId="09CD7B90" w14:textId="77777777" w:rsidR="00884ED8" w:rsidRDefault="00884ED8" w:rsidP="00D06D59"/>
    <w:p w14:paraId="38D4A5F9" w14:textId="77777777" w:rsidR="00884ED8" w:rsidRDefault="00884ED8" w:rsidP="00D06D59"/>
    <w:p w14:paraId="053D6E47" w14:textId="77777777" w:rsidR="00D06D59" w:rsidRPr="00D06D59" w:rsidRDefault="00D06D59" w:rsidP="00D06D59"/>
    <w:p w14:paraId="0DA35B27" w14:textId="569916EA" w:rsidR="00D06D59" w:rsidRDefault="00D06D59" w:rsidP="00D06D59">
      <w:pPr>
        <w:pStyle w:val="1"/>
      </w:pPr>
      <w:r>
        <w:t>3.</w:t>
      </w:r>
      <w:r>
        <w:rPr>
          <w:rFonts w:hint="eastAsia"/>
        </w:rPr>
        <w:t>样本与数据</w:t>
      </w:r>
    </w:p>
    <w:p w14:paraId="0E001AD2" w14:textId="4A10FE34" w:rsidR="00D06D59" w:rsidRDefault="00D06D59" w:rsidP="00152FB6"/>
    <w:p w14:paraId="08F4F0A7" w14:textId="13D5C373" w:rsidR="00D06D59" w:rsidRDefault="00D06D59" w:rsidP="00D06D59">
      <w:pPr>
        <w:pStyle w:val="2"/>
        <w:numPr>
          <w:ilvl w:val="0"/>
          <w:numId w:val="5"/>
        </w:numPr>
      </w:pPr>
      <w:r>
        <w:rPr>
          <w:rFonts w:hint="eastAsia"/>
        </w:rPr>
        <w:t>波动率的波动率</w:t>
      </w:r>
    </w:p>
    <w:p w14:paraId="7FAC960F" w14:textId="77A5F790" w:rsidR="00D06D59" w:rsidRDefault="00D06D59" w:rsidP="00152FB6"/>
    <w:p w14:paraId="351759DB" w14:textId="0581D3B5" w:rsidR="00D06D59" w:rsidRDefault="00881BE5" w:rsidP="00152FB6">
      <w:r>
        <w:rPr>
          <w:rFonts w:hint="eastAsia"/>
        </w:rPr>
        <w:lastRenderedPageBreak/>
        <w:t>建立隐含波动率曲面</w:t>
      </w:r>
    </w:p>
    <w:p w14:paraId="7C6C65E5" w14:textId="77777777" w:rsidR="00881BE5" w:rsidRDefault="00881BE5" w:rsidP="00152FB6"/>
    <w:p w14:paraId="15BA82B8" w14:textId="77777777" w:rsidR="001610C4" w:rsidRDefault="001610C4" w:rsidP="00152FB6"/>
    <w:p w14:paraId="346B85BC" w14:textId="77777777" w:rsidR="001610C4" w:rsidRDefault="001610C4" w:rsidP="00152FB6"/>
    <w:p w14:paraId="58CDA607" w14:textId="77777777" w:rsidR="00884ED8" w:rsidRDefault="00884ED8" w:rsidP="00152FB6"/>
    <w:p w14:paraId="65F56969" w14:textId="77777777" w:rsidR="00884ED8" w:rsidRDefault="00884ED8" w:rsidP="00152FB6"/>
    <w:p w14:paraId="54236F44" w14:textId="77777777" w:rsidR="001610C4" w:rsidRDefault="001610C4" w:rsidP="00152FB6"/>
    <w:p w14:paraId="68F7E133" w14:textId="360B1EC0" w:rsidR="001610C4" w:rsidRDefault="001610C4" w:rsidP="00152FB6">
      <w:r>
        <w:rPr>
          <w:noProof/>
        </w:rPr>
        <w:drawing>
          <wp:inline distT="0" distB="0" distL="0" distR="0" wp14:anchorId="63A77660" wp14:editId="4A8CD5D5">
            <wp:extent cx="4452497" cy="34988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6083" cy="350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3CF4" w14:textId="23CAD154" w:rsidR="001610C4" w:rsidRDefault="001610C4" w:rsidP="001610C4">
      <w:pPr>
        <w:jc w:val="center"/>
      </w:pPr>
      <w:r>
        <w:rPr>
          <w:rFonts w:hint="eastAsia"/>
        </w:rPr>
        <w:t>隐含波动率曲面</w:t>
      </w:r>
    </w:p>
    <w:p w14:paraId="57E02992" w14:textId="77777777" w:rsidR="001610C4" w:rsidRDefault="001610C4" w:rsidP="00152FB6"/>
    <w:p w14:paraId="33A4814A" w14:textId="77777777" w:rsidR="001610C4" w:rsidRDefault="001610C4" w:rsidP="00152FB6"/>
    <w:p w14:paraId="0E20EB16" w14:textId="77777777" w:rsidR="00884ED8" w:rsidRDefault="00884ED8" w:rsidP="00152FB6"/>
    <w:p w14:paraId="0CFA126C" w14:textId="77777777" w:rsidR="00884ED8" w:rsidRDefault="00884ED8" w:rsidP="00152FB6"/>
    <w:p w14:paraId="7A1F6771" w14:textId="77777777" w:rsidR="00884ED8" w:rsidRDefault="00884ED8" w:rsidP="00152FB6"/>
    <w:p w14:paraId="114B7CFE" w14:textId="77777777" w:rsidR="001610C4" w:rsidRDefault="001610C4" w:rsidP="00152FB6"/>
    <w:p w14:paraId="10611816" w14:textId="511B029B" w:rsidR="00881BE5" w:rsidRDefault="00881BE5" w:rsidP="00152FB6">
      <w:r>
        <w:rPr>
          <w:rFonts w:hint="eastAsia"/>
        </w:rPr>
        <w:t>计算隐含波动率的波动率</w:t>
      </w:r>
    </w:p>
    <w:p w14:paraId="724C9183" w14:textId="77777777" w:rsidR="00881BE5" w:rsidRDefault="00881BE5" w:rsidP="00152FB6"/>
    <w:p w14:paraId="40E8C126" w14:textId="77777777" w:rsidR="00881BE5" w:rsidRDefault="00881BE5" w:rsidP="00152FB6"/>
    <w:p w14:paraId="52FAAC26" w14:textId="77777777" w:rsidR="00884ED8" w:rsidRDefault="00884ED8" w:rsidP="00152FB6"/>
    <w:p w14:paraId="407E9204" w14:textId="77777777" w:rsidR="00884ED8" w:rsidRDefault="00884ED8" w:rsidP="00152FB6"/>
    <w:p w14:paraId="7BA42BEC" w14:textId="6DBA5931" w:rsidR="00881BE5" w:rsidRDefault="00884ED8" w:rsidP="00152FB6">
      <w:r>
        <w:rPr>
          <w:noProof/>
        </w:rPr>
        <w:lastRenderedPageBreak/>
        <w:drawing>
          <wp:inline distT="0" distB="0" distL="0" distR="0" wp14:anchorId="20FCB147" wp14:editId="2D9A3FC9">
            <wp:extent cx="5274310" cy="3761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644D" w14:textId="25FCD77E" w:rsidR="00D06D59" w:rsidRDefault="00884ED8" w:rsidP="00152FB6">
      <w:r>
        <w:rPr>
          <w:rFonts w:hint="eastAsia"/>
        </w:rPr>
        <w:t>隐含波动率的波动率曲面图</w:t>
      </w:r>
    </w:p>
    <w:p w14:paraId="2A22E159" w14:textId="29247B96" w:rsidR="00D06D59" w:rsidRDefault="00D06D59" w:rsidP="00D06D59">
      <w:pPr>
        <w:pStyle w:val="2"/>
        <w:numPr>
          <w:ilvl w:val="0"/>
          <w:numId w:val="5"/>
        </w:numPr>
      </w:pPr>
      <w:r>
        <w:rPr>
          <w:rFonts w:hint="eastAsia"/>
        </w:rPr>
        <w:t>Del</w:t>
      </w:r>
      <w:r>
        <w:t>ta</w:t>
      </w:r>
      <w:r>
        <w:rPr>
          <w:rFonts w:hint="eastAsia"/>
        </w:rPr>
        <w:t>中性收益</w:t>
      </w:r>
    </w:p>
    <w:p w14:paraId="433BA497" w14:textId="04F68F0E" w:rsidR="00D06D59" w:rsidRDefault="00D06D59" w:rsidP="00152FB6"/>
    <w:p w14:paraId="01DABE97" w14:textId="3FCE6AAA" w:rsidR="00D06D59" w:rsidRDefault="00D06D59" w:rsidP="00152FB6"/>
    <w:p w14:paraId="6CDEE45C" w14:textId="77777777" w:rsidR="00D06D59" w:rsidRDefault="00D06D59" w:rsidP="00152FB6"/>
    <w:p w14:paraId="587FEA4A" w14:textId="77777777" w:rsidR="00D06D59" w:rsidRDefault="00D06D59" w:rsidP="00152FB6"/>
    <w:p w14:paraId="16B2AB42" w14:textId="1526EEFA" w:rsidR="00D06D59" w:rsidRDefault="00D06D59" w:rsidP="00D06D59">
      <w:pPr>
        <w:pStyle w:val="1"/>
      </w:pPr>
      <w:r>
        <w:t>4.</w:t>
      </w:r>
      <w:r>
        <w:rPr>
          <w:rFonts w:hint="eastAsia"/>
        </w:rPr>
        <w:t>实证分析</w:t>
      </w:r>
      <w:r>
        <w:t xml:space="preserve"> </w:t>
      </w:r>
    </w:p>
    <w:p w14:paraId="6B4A9A99" w14:textId="3DEB7DC8" w:rsidR="00D06D59" w:rsidRDefault="00D06D59" w:rsidP="00152FB6"/>
    <w:p w14:paraId="0F0591E9" w14:textId="77777777" w:rsidR="00C3061E" w:rsidRDefault="00C3061E" w:rsidP="00152FB6"/>
    <w:p w14:paraId="21CDC67D" w14:textId="77777777" w:rsidR="00C3061E" w:rsidRDefault="00C3061E" w:rsidP="00152FB6"/>
    <w:p w14:paraId="0E452BEA" w14:textId="782BEF31" w:rsidR="00D06D59" w:rsidRDefault="00D06D59" w:rsidP="009F4B6A">
      <w:pPr>
        <w:pStyle w:val="2"/>
        <w:numPr>
          <w:ilvl w:val="0"/>
          <w:numId w:val="6"/>
        </w:numPr>
      </w:pPr>
      <w:r>
        <w:rPr>
          <w:rFonts w:hint="eastAsia"/>
        </w:rPr>
        <w:t>波动率的波动率风险的系统性与正负性</w:t>
      </w:r>
    </w:p>
    <w:p w14:paraId="6CA7FD54" w14:textId="77777777" w:rsidR="00D06D59" w:rsidRDefault="00D06D59" w:rsidP="00152FB6"/>
    <w:tbl>
      <w:tblPr>
        <w:tblW w:w="2880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1076"/>
        <w:gridCol w:w="1076"/>
      </w:tblGrid>
      <w:tr w:rsidR="00DE2726" w:rsidRPr="00DE2726" w14:paraId="36E9E9C4" w14:textId="77777777" w:rsidTr="00DE2726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71CA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risk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28B4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corr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53E76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</w:tr>
      <w:tr w:rsidR="00DE2726" w:rsidRPr="00DE2726" w14:paraId="06B6628E" w14:textId="77777777" w:rsidTr="00DE2726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E72F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Q_VV30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CDE3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-0.21226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5792D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-6.60958</w:t>
            </w:r>
          </w:p>
        </w:tc>
      </w:tr>
      <w:tr w:rsidR="00DE2726" w:rsidRPr="00DE2726" w14:paraId="10AD31EE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EFA5B3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Q_VV60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B47BC7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-0.20994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FD3A29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-6.53066</w:t>
            </w:r>
          </w:p>
        </w:tc>
      </w:tr>
      <w:tr w:rsidR="00DE2726" w:rsidRPr="00DE2726" w14:paraId="6D2F4CA5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6134AD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Q_VV90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2EBA0C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-0.20559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43919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-6.38565</w:t>
            </w:r>
          </w:p>
        </w:tc>
      </w:tr>
      <w:tr w:rsidR="00DE2726" w:rsidRPr="00DE2726" w14:paraId="1D64FCFD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9C4A9B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Q_VV180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E6EF1A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-0.17261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6FADA1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-5.32392</w:t>
            </w:r>
          </w:p>
        </w:tc>
      </w:tr>
      <w:tr w:rsidR="00DE2726" w:rsidRPr="00DE2726" w14:paraId="0DCBB3A5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4A475B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Q_VV360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A058E8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-0.08822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7F96DE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-2.68922</w:t>
            </w:r>
          </w:p>
        </w:tc>
      </w:tr>
      <w:tr w:rsidR="003E3EB5" w:rsidRPr="003E3EB5" w14:paraId="55C950C4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B7711E" w14:textId="77777777" w:rsidR="00DE2726" w:rsidRPr="003E3EB5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E3EB5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P_VV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7B843C" w14:textId="77777777" w:rsidR="00DE2726" w:rsidRPr="003E3EB5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E3EB5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0.083808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8CC0B1" w14:textId="77777777" w:rsidR="00DE2726" w:rsidRPr="003E3EB5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E3EB5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2.552386</w:t>
            </w:r>
          </w:p>
        </w:tc>
      </w:tr>
      <w:tr w:rsidR="00DE2726" w:rsidRPr="00DE2726" w14:paraId="59B806A4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2C62D2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RV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D7D02D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-0.30298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5A4FE6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-9.64316</w:t>
            </w:r>
          </w:p>
        </w:tc>
      </w:tr>
    </w:tbl>
    <w:p w14:paraId="68DED01C" w14:textId="77777777" w:rsidR="00DE2726" w:rsidRDefault="00DE2726" w:rsidP="00152FB6"/>
    <w:p w14:paraId="019B8D55" w14:textId="77777777" w:rsidR="00DE2726" w:rsidRDefault="00DE2726" w:rsidP="00152FB6"/>
    <w:p w14:paraId="016EED6E" w14:textId="60CCDFCB" w:rsidR="00D06D59" w:rsidRDefault="009F4B6A" w:rsidP="009F4B6A">
      <w:pPr>
        <w:pStyle w:val="2"/>
        <w:numPr>
          <w:ilvl w:val="0"/>
          <w:numId w:val="6"/>
        </w:numPr>
      </w:pPr>
      <w:r>
        <w:rPr>
          <w:rFonts w:hint="eastAsia"/>
        </w:rPr>
        <w:t>Del</w:t>
      </w:r>
      <w:r>
        <w:t>ta</w:t>
      </w:r>
      <w:r>
        <w:rPr>
          <w:rFonts w:hint="eastAsia"/>
        </w:rPr>
        <w:t>中性收益预测</w:t>
      </w:r>
    </w:p>
    <w:p w14:paraId="585DD5A0" w14:textId="0B6A1D82" w:rsidR="009F4B6A" w:rsidRDefault="009F4B6A" w:rsidP="00152FB6"/>
    <w:p w14:paraId="08AA8B81" w14:textId="77777777" w:rsidR="009B4783" w:rsidRDefault="009B4783" w:rsidP="00152FB6"/>
    <w:p w14:paraId="21537336" w14:textId="77777777" w:rsidR="009B4783" w:rsidRDefault="009B4783" w:rsidP="00152FB6"/>
    <w:p w14:paraId="1F5F8406" w14:textId="77777777" w:rsidR="009B4783" w:rsidRDefault="009B4783" w:rsidP="00152FB6"/>
    <w:p w14:paraId="44C9DE69" w14:textId="77777777" w:rsidR="00F019F8" w:rsidRDefault="00A645F4" w:rsidP="00F019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,t+τ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/>
                </w:rPr>
                <m:t>t-τ,t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</m:oMath>
      </m:oMathPara>
    </w:p>
    <w:p w14:paraId="7E4F6C45" w14:textId="12861164" w:rsidR="00F019F8" w:rsidRDefault="00F019F8" w:rsidP="00152FB6"/>
    <w:p w14:paraId="3C55F648" w14:textId="52C68644" w:rsidR="002D6BBA" w:rsidRPr="001959F7" w:rsidRDefault="002D6BBA" w:rsidP="00152FB6">
      <w:pPr>
        <w:rPr>
          <w:color w:val="FF0000"/>
        </w:rPr>
      </w:pPr>
      <w:r w:rsidRPr="001959F7">
        <w:rPr>
          <w:rFonts w:hint="eastAsia"/>
          <w:color w:val="FF0000"/>
        </w:rPr>
        <w:t>I</w:t>
      </w:r>
      <w:r w:rsidRPr="001959F7">
        <w:rPr>
          <w:color w:val="FF0000"/>
        </w:rPr>
        <w:t xml:space="preserve">V = </w:t>
      </w:r>
      <w:r w:rsidR="001959F7">
        <w:rPr>
          <w:color w:val="FF0000"/>
        </w:rPr>
        <w:t>A1+</w:t>
      </w:r>
      <w:r w:rsidRPr="001959F7">
        <w:rPr>
          <w:color w:val="FF0000"/>
        </w:rPr>
        <w:t xml:space="preserve"> </w:t>
      </w:r>
      <w:commentRangeStart w:id="11"/>
      <w:r w:rsidR="001959F7">
        <w:rPr>
          <w:color w:val="FF0000"/>
        </w:rPr>
        <w:t>A2</w:t>
      </w:r>
      <w:commentRangeEnd w:id="11"/>
      <w:r w:rsidR="001959F7">
        <w:rPr>
          <w:rStyle w:val="a7"/>
        </w:rPr>
        <w:commentReference w:id="11"/>
      </w:r>
      <w:r w:rsidR="001959F7">
        <w:rPr>
          <w:color w:val="FF0000"/>
        </w:rPr>
        <w:t>*</w:t>
      </w:r>
      <w:r w:rsidRPr="001959F7">
        <w:rPr>
          <w:color w:val="FF0000"/>
        </w:rPr>
        <w:t xml:space="preserve">QVV </w:t>
      </w:r>
      <w:r w:rsidR="001959F7">
        <w:rPr>
          <w:color w:val="FF0000"/>
        </w:rPr>
        <w:t>+</w:t>
      </w:r>
      <w:r w:rsidR="001959F7" w:rsidRPr="001959F7">
        <w:rPr>
          <w:rFonts w:hint="eastAsia"/>
          <w:color w:val="FF0000"/>
        </w:rPr>
        <w:t xml:space="preserve"> I</w:t>
      </w:r>
      <w:r w:rsidR="001959F7" w:rsidRPr="001959F7">
        <w:rPr>
          <w:color w:val="FF0000"/>
        </w:rPr>
        <w:t>V</w:t>
      </w:r>
      <w:r w:rsidR="001959F7">
        <w:rPr>
          <w:color w:val="FF0000"/>
        </w:rPr>
        <w:t>(t-1)</w:t>
      </w:r>
      <w:r w:rsidRPr="001959F7">
        <w:rPr>
          <w:color w:val="FF0000"/>
        </w:rPr>
        <w:t>+ U</w:t>
      </w:r>
    </w:p>
    <w:p w14:paraId="4957B50F" w14:textId="4F85EC01" w:rsidR="00F019F8" w:rsidRDefault="00F019F8" w:rsidP="00152FB6"/>
    <w:p w14:paraId="5FBBC81D" w14:textId="638BB383" w:rsidR="001959F7" w:rsidRDefault="001959F7" w:rsidP="00152FB6">
      <w:r w:rsidRPr="001959F7">
        <w:rPr>
          <w:color w:val="FF0000"/>
        </w:rPr>
        <w:t>QVV</w:t>
      </w:r>
      <w:r>
        <w:rPr>
          <w:color w:val="FF0000"/>
        </w:rPr>
        <w:t xml:space="preserve"> =</w:t>
      </w:r>
      <w:r w:rsidRPr="001959F7">
        <w:rPr>
          <w:color w:val="FF0000"/>
        </w:rPr>
        <w:t xml:space="preserve"> </w:t>
      </w:r>
      <w:commentRangeStart w:id="12"/>
      <w:r>
        <w:rPr>
          <w:color w:val="FF0000"/>
        </w:rPr>
        <w:t>B1</w:t>
      </w:r>
      <w:commentRangeEnd w:id="12"/>
      <w:r>
        <w:rPr>
          <w:rStyle w:val="a7"/>
        </w:rPr>
        <w:commentReference w:id="12"/>
      </w:r>
      <w:r>
        <w:rPr>
          <w:color w:val="FF0000"/>
        </w:rPr>
        <w:t>+</w:t>
      </w:r>
      <w:r w:rsidRPr="001959F7">
        <w:rPr>
          <w:color w:val="FF0000"/>
        </w:rPr>
        <w:t xml:space="preserve"> </w:t>
      </w:r>
      <w:r>
        <w:rPr>
          <w:color w:val="FF0000"/>
        </w:rPr>
        <w:t>B2*</w:t>
      </w:r>
      <w:r w:rsidRPr="001959F7">
        <w:rPr>
          <w:rFonts w:hint="eastAsia"/>
          <w:color w:val="FF0000"/>
        </w:rPr>
        <w:t xml:space="preserve"> I</w:t>
      </w:r>
      <w:r w:rsidRPr="001959F7">
        <w:rPr>
          <w:color w:val="FF0000"/>
        </w:rPr>
        <w:t>V +</w:t>
      </w:r>
      <w:r>
        <w:rPr>
          <w:color w:val="FF0000"/>
        </w:rPr>
        <w:t>+QVV(t-1)+</w:t>
      </w:r>
      <w:r w:rsidRPr="001959F7">
        <w:rPr>
          <w:color w:val="FF0000"/>
        </w:rPr>
        <w:t xml:space="preserve"> U</w:t>
      </w:r>
    </w:p>
    <w:p w14:paraId="06B57A52" w14:textId="06A4A549" w:rsidR="001959F7" w:rsidRPr="001959F7" w:rsidRDefault="001959F7" w:rsidP="00152FB6"/>
    <w:p w14:paraId="1AEB01E8" w14:textId="5AA38B0E" w:rsidR="009B4783" w:rsidRDefault="009B4783" w:rsidP="009B4783">
      <w:pPr>
        <w:jc w:val="center"/>
      </w:pPr>
      <w:r>
        <w:t>VV</w:t>
      </w:r>
      <w:r>
        <w:rPr>
          <w:rFonts w:hint="eastAsia"/>
        </w:rPr>
        <w:t>风险溢价回归结果</w:t>
      </w:r>
      <w:permStart w:id="505694049" w:edGrp="everyone"/>
      <w:permEnd w:id="505694049"/>
    </w:p>
    <w:tbl>
      <w:tblPr>
        <w:tblStyle w:val="af1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</w:tblGrid>
      <w:tr w:rsidR="009B4783" w:rsidRPr="009B4783" w14:paraId="394B4BEA" w14:textId="77777777" w:rsidTr="009B4783">
        <w:trPr>
          <w:trHeight w:val="454"/>
          <w:jc w:val="center"/>
        </w:trPr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1C2E9EA" w14:textId="77777777" w:rsidR="009B4783" w:rsidRPr="009B4783" w:rsidRDefault="009B4783" w:rsidP="009B4783">
            <w:pPr>
              <w:jc w:val="center"/>
            </w:pPr>
            <w:commentRangeStart w:id="13"/>
            <w:r w:rsidRPr="009B4783">
              <w:rPr>
                <w:rFonts w:hint="eastAsia"/>
              </w:rPr>
              <w:t>Maturity</w:t>
            </w:r>
            <w:commentRangeEnd w:id="13"/>
            <w:r w:rsidR="00C931DA">
              <w:rPr>
                <w:rStyle w:val="a7"/>
              </w:rPr>
              <w:commentReference w:id="13"/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D94A4FA" w14:textId="77777777" w:rsidR="009B4783" w:rsidRPr="009B4783" w:rsidRDefault="009B4783" w:rsidP="009B4783">
            <w:pPr>
              <w:jc w:val="center"/>
            </w:pPr>
            <w:r w:rsidRPr="009B4783">
              <w:rPr>
                <w:rFonts w:hint="eastAsia"/>
              </w:rPr>
              <w:t>IV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A89E50A" w14:textId="77777777" w:rsidR="009B4783" w:rsidRPr="009B4783" w:rsidRDefault="009B4783" w:rsidP="009B4783">
            <w:pPr>
              <w:jc w:val="center"/>
            </w:pPr>
            <w:commentRangeStart w:id="14"/>
            <w:r w:rsidRPr="009B4783">
              <w:rPr>
                <w:rFonts w:hint="eastAsia"/>
              </w:rPr>
              <w:t>QVV</w:t>
            </w:r>
            <w:commentRangeEnd w:id="14"/>
            <w:r w:rsidR="002D6BBA">
              <w:rPr>
                <w:rStyle w:val="a7"/>
              </w:rPr>
              <w:commentReference w:id="14"/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724586B" w14:textId="77777777" w:rsidR="009B4783" w:rsidRPr="009B4783" w:rsidRDefault="009B4783" w:rsidP="009B4783">
            <w:pPr>
              <w:jc w:val="center"/>
            </w:pPr>
            <w:r w:rsidRPr="009B4783">
              <w:rPr>
                <w:rFonts w:hint="eastAsia"/>
              </w:rPr>
              <w:t>gains(-1)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860EC04" w14:textId="77777777" w:rsidR="009B4783" w:rsidRPr="009B4783" w:rsidRDefault="009B4783" w:rsidP="009B4783">
            <w:pPr>
              <w:jc w:val="center"/>
            </w:pPr>
            <w:r w:rsidRPr="009B4783">
              <w:rPr>
                <w:rFonts w:hint="eastAsia"/>
              </w:rPr>
              <w:t>R</w:t>
            </w:r>
          </w:p>
        </w:tc>
      </w:tr>
      <w:tr w:rsidR="00011E5E" w:rsidRPr="009B4783" w14:paraId="21EB947B" w14:textId="77777777" w:rsidTr="00A645F4">
        <w:trPr>
          <w:trHeight w:val="454"/>
          <w:jc w:val="center"/>
        </w:trPr>
        <w:tc>
          <w:tcPr>
            <w:tcW w:w="164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8AC3098" w14:textId="77777777" w:rsidR="00011E5E" w:rsidRPr="009B4783" w:rsidRDefault="00011E5E" w:rsidP="00011E5E">
            <w:pPr>
              <w:jc w:val="center"/>
            </w:pPr>
            <w:r w:rsidRPr="009B4783">
              <w:rPr>
                <w:rFonts w:hint="eastAsia"/>
              </w:rPr>
              <w:t>QVV</w:t>
            </w:r>
            <w:commentRangeStart w:id="15"/>
            <w:r w:rsidRPr="009B4783">
              <w:rPr>
                <w:rFonts w:hint="eastAsia"/>
              </w:rPr>
              <w:t>30</w:t>
            </w:r>
            <w:commentRangeEnd w:id="15"/>
            <w:r w:rsidR="001959F7">
              <w:rPr>
                <w:rStyle w:val="a7"/>
              </w:rPr>
              <w:commentReference w:id="15"/>
            </w:r>
          </w:p>
        </w:tc>
        <w:tc>
          <w:tcPr>
            <w:tcW w:w="1644" w:type="dxa"/>
            <w:tcBorders>
              <w:top w:val="single" w:sz="4" w:space="0" w:color="auto"/>
            </w:tcBorders>
            <w:noWrap/>
            <w:hideMark/>
          </w:tcPr>
          <w:p w14:paraId="20D0EFDE" w14:textId="4A7558F0" w:rsidR="00011E5E" w:rsidRPr="009B4783" w:rsidRDefault="00011E5E" w:rsidP="00011E5E">
            <w:r w:rsidRPr="007210B6">
              <w:t>-0.26(-3.15)***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noWrap/>
            <w:hideMark/>
          </w:tcPr>
          <w:p w14:paraId="0A8ED76A" w14:textId="1BCC897B" w:rsidR="00011E5E" w:rsidRPr="009B4783" w:rsidRDefault="00011E5E" w:rsidP="00011E5E">
            <w:pPr>
              <w:jc w:val="center"/>
            </w:pPr>
            <w:r w:rsidRPr="000A3A07">
              <w:t>-0.63(-1.81)*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noWrap/>
            <w:hideMark/>
          </w:tcPr>
          <w:p w14:paraId="24EAC717" w14:textId="21643379" w:rsidR="00011E5E" w:rsidRPr="009B4783" w:rsidRDefault="00011E5E" w:rsidP="00011E5E">
            <w:pPr>
              <w:jc w:val="center"/>
            </w:pPr>
            <w:r w:rsidRPr="000A3A07">
              <w:t>4.47(1.98)**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noWrap/>
            <w:hideMark/>
          </w:tcPr>
          <w:p w14:paraId="5DE47F11" w14:textId="7DC49E35" w:rsidR="00011E5E" w:rsidRPr="009B4783" w:rsidRDefault="00011E5E" w:rsidP="00011E5E">
            <w:pPr>
              <w:jc w:val="center"/>
            </w:pPr>
            <w:r w:rsidRPr="004731B3">
              <w:t>0.01</w:t>
            </w:r>
          </w:p>
        </w:tc>
      </w:tr>
      <w:tr w:rsidR="00011E5E" w:rsidRPr="009B4783" w14:paraId="49A18145" w14:textId="77777777" w:rsidTr="00A645F4">
        <w:trPr>
          <w:trHeight w:val="454"/>
          <w:jc w:val="center"/>
        </w:trPr>
        <w:tc>
          <w:tcPr>
            <w:tcW w:w="1644" w:type="dxa"/>
            <w:noWrap/>
            <w:vAlign w:val="center"/>
            <w:hideMark/>
          </w:tcPr>
          <w:p w14:paraId="65ABFC56" w14:textId="77777777" w:rsidR="00011E5E" w:rsidRPr="009B4783" w:rsidRDefault="00011E5E" w:rsidP="00011E5E">
            <w:pPr>
              <w:jc w:val="center"/>
            </w:pPr>
            <w:r w:rsidRPr="009B4783">
              <w:rPr>
                <w:rFonts w:hint="eastAsia"/>
              </w:rPr>
              <w:t>QVV60</w:t>
            </w:r>
          </w:p>
        </w:tc>
        <w:tc>
          <w:tcPr>
            <w:tcW w:w="1644" w:type="dxa"/>
            <w:noWrap/>
            <w:hideMark/>
          </w:tcPr>
          <w:p w14:paraId="11FC5E4A" w14:textId="12E1BACB" w:rsidR="00011E5E" w:rsidRPr="009B4783" w:rsidRDefault="00011E5E" w:rsidP="00011E5E">
            <w:r w:rsidRPr="007210B6">
              <w:t>-0.29(-3.24)***</w:t>
            </w:r>
          </w:p>
        </w:tc>
        <w:tc>
          <w:tcPr>
            <w:tcW w:w="1644" w:type="dxa"/>
            <w:noWrap/>
            <w:hideMark/>
          </w:tcPr>
          <w:p w14:paraId="19B9F7B4" w14:textId="48DCED81" w:rsidR="00011E5E" w:rsidRPr="009B4783" w:rsidRDefault="00011E5E" w:rsidP="00011E5E">
            <w:pPr>
              <w:jc w:val="center"/>
            </w:pPr>
            <w:r w:rsidRPr="000A3A07">
              <w:t>-0.69(-1.73)*</w:t>
            </w:r>
          </w:p>
        </w:tc>
        <w:tc>
          <w:tcPr>
            <w:tcW w:w="1644" w:type="dxa"/>
            <w:noWrap/>
            <w:hideMark/>
          </w:tcPr>
          <w:p w14:paraId="0E607E6C" w14:textId="5DF68EC3" w:rsidR="00011E5E" w:rsidRPr="009B4783" w:rsidRDefault="00011E5E" w:rsidP="00011E5E">
            <w:pPr>
              <w:jc w:val="center"/>
            </w:pPr>
            <w:r w:rsidRPr="000A3A07">
              <w:t>4.32(1.91)*</w:t>
            </w:r>
          </w:p>
        </w:tc>
        <w:tc>
          <w:tcPr>
            <w:tcW w:w="1644" w:type="dxa"/>
            <w:noWrap/>
            <w:hideMark/>
          </w:tcPr>
          <w:p w14:paraId="26DEBA65" w14:textId="56E4FC7E" w:rsidR="00011E5E" w:rsidRPr="009B4783" w:rsidRDefault="00011E5E" w:rsidP="00011E5E">
            <w:pPr>
              <w:jc w:val="center"/>
            </w:pPr>
            <w:r w:rsidRPr="004731B3">
              <w:t>0.009</w:t>
            </w:r>
          </w:p>
        </w:tc>
      </w:tr>
      <w:tr w:rsidR="00011E5E" w:rsidRPr="009B4783" w14:paraId="73B79843" w14:textId="77777777" w:rsidTr="00A645F4">
        <w:trPr>
          <w:trHeight w:val="454"/>
          <w:jc w:val="center"/>
        </w:trPr>
        <w:tc>
          <w:tcPr>
            <w:tcW w:w="1644" w:type="dxa"/>
            <w:noWrap/>
            <w:vAlign w:val="center"/>
            <w:hideMark/>
          </w:tcPr>
          <w:p w14:paraId="53E8FFF8" w14:textId="77777777" w:rsidR="00011E5E" w:rsidRPr="009B4783" w:rsidRDefault="00011E5E" w:rsidP="00011E5E">
            <w:pPr>
              <w:jc w:val="center"/>
            </w:pPr>
            <w:r w:rsidRPr="009B4783">
              <w:rPr>
                <w:rFonts w:hint="eastAsia"/>
              </w:rPr>
              <w:t>QVV90</w:t>
            </w:r>
          </w:p>
        </w:tc>
        <w:tc>
          <w:tcPr>
            <w:tcW w:w="1644" w:type="dxa"/>
            <w:noWrap/>
            <w:hideMark/>
          </w:tcPr>
          <w:p w14:paraId="2CB0A702" w14:textId="217BF725" w:rsidR="00011E5E" w:rsidRPr="009B4783" w:rsidRDefault="00011E5E" w:rsidP="00011E5E">
            <w:pPr>
              <w:jc w:val="center"/>
            </w:pPr>
            <w:r w:rsidRPr="007210B6">
              <w:t>-0.31(-3.3)***</w:t>
            </w:r>
          </w:p>
        </w:tc>
        <w:tc>
          <w:tcPr>
            <w:tcW w:w="1644" w:type="dxa"/>
            <w:noWrap/>
            <w:hideMark/>
          </w:tcPr>
          <w:p w14:paraId="1003D05F" w14:textId="7A6F6B62" w:rsidR="00011E5E" w:rsidRPr="009B4783" w:rsidRDefault="00011E5E" w:rsidP="00011E5E">
            <w:pPr>
              <w:jc w:val="center"/>
            </w:pPr>
            <w:r w:rsidRPr="000A3A07">
              <w:t>-0.74(-1.65)*</w:t>
            </w:r>
          </w:p>
        </w:tc>
        <w:tc>
          <w:tcPr>
            <w:tcW w:w="1644" w:type="dxa"/>
            <w:noWrap/>
            <w:hideMark/>
          </w:tcPr>
          <w:p w14:paraId="7D5D7B6A" w14:textId="49A29B84" w:rsidR="00011E5E" w:rsidRPr="009B4783" w:rsidRDefault="00011E5E" w:rsidP="00011E5E">
            <w:pPr>
              <w:jc w:val="center"/>
            </w:pPr>
            <w:r w:rsidRPr="000A3A07">
              <w:t>4.16(1.85)*</w:t>
            </w:r>
          </w:p>
        </w:tc>
        <w:tc>
          <w:tcPr>
            <w:tcW w:w="1644" w:type="dxa"/>
            <w:noWrap/>
            <w:hideMark/>
          </w:tcPr>
          <w:p w14:paraId="0654867A" w14:textId="7857174A" w:rsidR="00011E5E" w:rsidRPr="009B4783" w:rsidRDefault="00011E5E" w:rsidP="00011E5E">
            <w:pPr>
              <w:jc w:val="center"/>
            </w:pPr>
            <w:r w:rsidRPr="004731B3">
              <w:t>0.009</w:t>
            </w:r>
          </w:p>
        </w:tc>
      </w:tr>
      <w:tr w:rsidR="00011E5E" w:rsidRPr="009B4783" w14:paraId="78BCB905" w14:textId="77777777" w:rsidTr="00A645F4">
        <w:trPr>
          <w:trHeight w:val="454"/>
          <w:jc w:val="center"/>
        </w:trPr>
        <w:tc>
          <w:tcPr>
            <w:tcW w:w="1644" w:type="dxa"/>
            <w:noWrap/>
            <w:vAlign w:val="center"/>
            <w:hideMark/>
          </w:tcPr>
          <w:p w14:paraId="6559270B" w14:textId="77777777" w:rsidR="00011E5E" w:rsidRPr="009B4783" w:rsidRDefault="00011E5E" w:rsidP="00011E5E">
            <w:pPr>
              <w:jc w:val="center"/>
            </w:pPr>
            <w:r w:rsidRPr="009B4783">
              <w:rPr>
                <w:rFonts w:hint="eastAsia"/>
              </w:rPr>
              <w:t>QVV180</w:t>
            </w:r>
          </w:p>
        </w:tc>
        <w:tc>
          <w:tcPr>
            <w:tcW w:w="1644" w:type="dxa"/>
            <w:noWrap/>
            <w:hideMark/>
          </w:tcPr>
          <w:p w14:paraId="283BAFA2" w14:textId="438E462D" w:rsidR="00011E5E" w:rsidRPr="009B4783" w:rsidRDefault="00011E5E" w:rsidP="00011E5E">
            <w:pPr>
              <w:jc w:val="center"/>
            </w:pPr>
            <w:r w:rsidRPr="007210B6">
              <w:t>-0.35(-3.2)***</w:t>
            </w:r>
          </w:p>
        </w:tc>
        <w:tc>
          <w:tcPr>
            <w:tcW w:w="1644" w:type="dxa"/>
            <w:noWrap/>
            <w:hideMark/>
          </w:tcPr>
          <w:p w14:paraId="14CD9D24" w14:textId="4F3496DC" w:rsidR="00011E5E" w:rsidRPr="009B4783" w:rsidRDefault="00011E5E" w:rsidP="00011E5E">
            <w:pPr>
              <w:jc w:val="center"/>
            </w:pPr>
            <w:r w:rsidRPr="000A3A07">
              <w:t>-0.84(-1.51)</w:t>
            </w:r>
          </w:p>
        </w:tc>
        <w:tc>
          <w:tcPr>
            <w:tcW w:w="1644" w:type="dxa"/>
            <w:noWrap/>
            <w:hideMark/>
          </w:tcPr>
          <w:p w14:paraId="2F1225E7" w14:textId="33E588A3" w:rsidR="00011E5E" w:rsidRPr="009B4783" w:rsidRDefault="00011E5E" w:rsidP="00011E5E">
            <w:pPr>
              <w:jc w:val="center"/>
            </w:pPr>
            <w:r w:rsidRPr="000A3A07">
              <w:t>3.69(1.64)</w:t>
            </w:r>
          </w:p>
        </w:tc>
        <w:tc>
          <w:tcPr>
            <w:tcW w:w="1644" w:type="dxa"/>
            <w:noWrap/>
            <w:hideMark/>
          </w:tcPr>
          <w:p w14:paraId="6644CEC1" w14:textId="75B95D34" w:rsidR="00011E5E" w:rsidRPr="009B4783" w:rsidRDefault="00011E5E" w:rsidP="00011E5E">
            <w:pPr>
              <w:jc w:val="center"/>
            </w:pPr>
            <w:r w:rsidRPr="004731B3">
              <w:t>0.007</w:t>
            </w:r>
          </w:p>
        </w:tc>
      </w:tr>
      <w:tr w:rsidR="00011E5E" w:rsidRPr="009B4783" w14:paraId="46B9BDF2" w14:textId="77777777" w:rsidTr="00A645F4">
        <w:trPr>
          <w:trHeight w:val="454"/>
          <w:jc w:val="center"/>
        </w:trPr>
        <w:tc>
          <w:tcPr>
            <w:tcW w:w="1644" w:type="dxa"/>
            <w:noWrap/>
            <w:vAlign w:val="center"/>
            <w:hideMark/>
          </w:tcPr>
          <w:p w14:paraId="7B12FF21" w14:textId="77777777" w:rsidR="00011E5E" w:rsidRPr="009B4783" w:rsidRDefault="00011E5E" w:rsidP="00011E5E">
            <w:pPr>
              <w:jc w:val="center"/>
            </w:pPr>
            <w:r w:rsidRPr="009B4783">
              <w:rPr>
                <w:rFonts w:hint="eastAsia"/>
              </w:rPr>
              <w:t>QVV360</w:t>
            </w:r>
          </w:p>
        </w:tc>
        <w:tc>
          <w:tcPr>
            <w:tcW w:w="1644" w:type="dxa"/>
            <w:noWrap/>
            <w:hideMark/>
          </w:tcPr>
          <w:p w14:paraId="22D2A12E" w14:textId="25BE0CC9" w:rsidR="00011E5E" w:rsidRPr="009B4783" w:rsidRDefault="00011E5E" w:rsidP="00011E5E">
            <w:pPr>
              <w:jc w:val="center"/>
            </w:pPr>
            <w:r w:rsidRPr="007210B6">
              <w:t>-0.25(-1.84)*</w:t>
            </w:r>
          </w:p>
        </w:tc>
        <w:tc>
          <w:tcPr>
            <w:tcW w:w="1644" w:type="dxa"/>
            <w:noWrap/>
            <w:hideMark/>
          </w:tcPr>
          <w:p w14:paraId="057E35DC" w14:textId="285130F9" w:rsidR="00011E5E" w:rsidRPr="009B4783" w:rsidRDefault="00011E5E" w:rsidP="00011E5E">
            <w:pPr>
              <w:jc w:val="center"/>
            </w:pPr>
            <w:r w:rsidRPr="000A3A07">
              <w:t>-0.61(-1.5)</w:t>
            </w:r>
          </w:p>
        </w:tc>
        <w:tc>
          <w:tcPr>
            <w:tcW w:w="1644" w:type="dxa"/>
            <w:noWrap/>
            <w:hideMark/>
          </w:tcPr>
          <w:p w14:paraId="55E4EBB9" w14:textId="54048694" w:rsidR="00011E5E" w:rsidRPr="009B4783" w:rsidRDefault="00011E5E" w:rsidP="00011E5E">
            <w:pPr>
              <w:jc w:val="center"/>
            </w:pPr>
            <w:r w:rsidRPr="000A3A07">
              <w:t>3.23(1.42)</w:t>
            </w:r>
          </w:p>
        </w:tc>
        <w:tc>
          <w:tcPr>
            <w:tcW w:w="1644" w:type="dxa"/>
            <w:noWrap/>
            <w:hideMark/>
          </w:tcPr>
          <w:p w14:paraId="4A33F7E4" w14:textId="32F60E43" w:rsidR="00011E5E" w:rsidRPr="009B4783" w:rsidRDefault="00011E5E" w:rsidP="00011E5E">
            <w:pPr>
              <w:jc w:val="center"/>
            </w:pPr>
            <w:r w:rsidRPr="004731B3">
              <w:t>0.004</w:t>
            </w:r>
          </w:p>
        </w:tc>
      </w:tr>
    </w:tbl>
    <w:p w14:paraId="6A0D943B" w14:textId="77777777" w:rsidR="009B4783" w:rsidRDefault="009B4783" w:rsidP="00152FB6"/>
    <w:p w14:paraId="63BB329D" w14:textId="77777777" w:rsidR="009B4783" w:rsidRDefault="009B4783" w:rsidP="00152FB6"/>
    <w:p w14:paraId="3063A433" w14:textId="77777777" w:rsidR="009B4783" w:rsidRDefault="009B4783" w:rsidP="00152FB6"/>
    <w:p w14:paraId="00FAC63E" w14:textId="77777777" w:rsidR="009F4B6A" w:rsidRDefault="009F4B6A" w:rsidP="00152FB6"/>
    <w:p w14:paraId="61FFFC48" w14:textId="3510BA2B" w:rsidR="007302D4" w:rsidRDefault="007302D4" w:rsidP="007302D4">
      <w:pPr>
        <w:pStyle w:val="2"/>
        <w:numPr>
          <w:ilvl w:val="0"/>
          <w:numId w:val="6"/>
        </w:numPr>
      </w:pPr>
      <w:r>
        <w:rPr>
          <w:rFonts w:hint="eastAsia"/>
        </w:rPr>
        <w:t>剔除波动率风险的Delta中性收益</w:t>
      </w:r>
    </w:p>
    <w:p w14:paraId="0B7B215D" w14:textId="77777777" w:rsidR="007302D4" w:rsidRPr="00E0534F" w:rsidRDefault="007302D4" w:rsidP="00152FB6"/>
    <w:p w14:paraId="7267775A" w14:textId="77777777" w:rsidR="007302D4" w:rsidRDefault="007302D4" w:rsidP="00152FB6"/>
    <w:p w14:paraId="77E2D443" w14:textId="77777777" w:rsidR="00DE2726" w:rsidRDefault="00DE2726" w:rsidP="00152FB6"/>
    <w:p w14:paraId="650E9BF4" w14:textId="7B7A2014" w:rsidR="00D06D59" w:rsidRDefault="00D06D59" w:rsidP="00D06D59">
      <w:pPr>
        <w:pStyle w:val="1"/>
      </w:pPr>
      <w:r>
        <w:lastRenderedPageBreak/>
        <w:t>5.</w:t>
      </w:r>
      <w:r>
        <w:rPr>
          <w:rFonts w:hint="eastAsia"/>
        </w:rPr>
        <w:t>稳健性检验</w:t>
      </w:r>
      <w:r>
        <w:t xml:space="preserve"> </w:t>
      </w:r>
    </w:p>
    <w:p w14:paraId="08234B74" w14:textId="4D124E2C" w:rsidR="00D06D59" w:rsidRDefault="00D06D59" w:rsidP="00152FB6"/>
    <w:p w14:paraId="524DCE31" w14:textId="68892D00" w:rsidR="00D06D59" w:rsidRDefault="009F4B6A" w:rsidP="00FC2AF0">
      <w:pPr>
        <w:pStyle w:val="2"/>
        <w:numPr>
          <w:ilvl w:val="0"/>
          <w:numId w:val="9"/>
        </w:numPr>
      </w:pPr>
      <w:r>
        <w:rPr>
          <w:rFonts w:hint="eastAsia"/>
        </w:rPr>
        <w:t>不同的在值程度</w:t>
      </w:r>
    </w:p>
    <w:p w14:paraId="343B6140" w14:textId="69563B3F" w:rsidR="00D06D59" w:rsidRDefault="00D06D59" w:rsidP="00152FB6"/>
    <w:p w14:paraId="2C51804A" w14:textId="2D905EFC" w:rsidR="00F019F8" w:rsidRDefault="00A645F4" w:rsidP="00F019F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  <m:sup>
              <m:r>
                <w:rPr>
                  <w:rFonts w:ascii="Cambria Math" w:hAnsi="Cambria Math" w:hint="eastAsia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,t+τ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/>
                </w:rPr>
                <m:t>t-τ,t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14:paraId="48E410FB" w14:textId="77777777" w:rsidR="009B4783" w:rsidRDefault="009B4783" w:rsidP="00152FB6"/>
    <w:p w14:paraId="5BF4A306" w14:textId="77777777" w:rsidR="009C472D" w:rsidRDefault="009C472D" w:rsidP="00152FB6"/>
    <w:p w14:paraId="6A5E19CA" w14:textId="2C41B9FC" w:rsidR="009C472D" w:rsidRDefault="007302D4" w:rsidP="007302D4">
      <w:pPr>
        <w:jc w:val="center"/>
      </w:pPr>
      <w:r>
        <w:rPr>
          <w:rFonts w:hint="eastAsia"/>
        </w:rPr>
        <w:t>基于不同在值程度的V</w:t>
      </w:r>
      <w:r>
        <w:t>V</w:t>
      </w:r>
      <w:r>
        <w:rPr>
          <w:rFonts w:hint="eastAsia"/>
        </w:rPr>
        <w:t>风险溢价回归结果</w:t>
      </w:r>
    </w:p>
    <w:tbl>
      <w:tblPr>
        <w:tblW w:w="966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376"/>
        <w:gridCol w:w="1644"/>
        <w:gridCol w:w="1644"/>
        <w:gridCol w:w="1644"/>
        <w:gridCol w:w="1377"/>
      </w:tblGrid>
      <w:tr w:rsidR="007302D4" w:rsidRPr="007302D4" w14:paraId="13F9B9E3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6E77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Moneyness(K/F-1)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4B6AD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Maturity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F6D2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IV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A664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0479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gains(-1)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6E00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</w:p>
        </w:tc>
      </w:tr>
      <w:tr w:rsidR="002D4936" w:rsidRPr="007302D4" w14:paraId="0E88944B" w14:textId="77777777" w:rsidTr="00F019F8">
        <w:trPr>
          <w:trHeight w:val="340"/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21A53" w14:textId="77777777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C(-0.03, 0.03]</w:t>
            </w:r>
          </w:p>
          <w:p w14:paraId="4D166F25" w14:textId="77777777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C(-0.03, 0.03]</w:t>
            </w:r>
          </w:p>
          <w:p w14:paraId="35FC4A6B" w14:textId="77777777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C(-0.03, 0.03]</w:t>
            </w:r>
          </w:p>
          <w:p w14:paraId="6E5D02AB" w14:textId="2ABFC2EA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C(-0.03, 0.03]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5139" w14:textId="03DC878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B394" w14:textId="64DB52E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1.24(3.71)***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9ED44" w14:textId="0159F21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1.28(2.09)**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0708" w14:textId="474A70F3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24.1(10.02)***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A8762" w14:textId="4AC0AE1B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0.073</w:t>
            </w:r>
          </w:p>
        </w:tc>
      </w:tr>
      <w:tr w:rsidR="002D4936" w:rsidRPr="007302D4" w14:paraId="5A9A49B8" w14:textId="77777777" w:rsidTr="00A645F4">
        <w:trPr>
          <w:trHeight w:val="340"/>
          <w:jc w:val="center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DC4FC" w14:textId="748D3573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B2D1" w14:textId="0249C6E7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AC966" w14:textId="7DEB7D2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1.32(3.83)***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D4737" w14:textId="63DCBFD1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1.32(2.03)**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D7E2" w14:textId="707BA6DB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24.18(10.06)***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B6D8" w14:textId="3B6739CC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0.073</w:t>
            </w:r>
          </w:p>
        </w:tc>
      </w:tr>
      <w:tr w:rsidR="002D4936" w:rsidRPr="007302D4" w14:paraId="7F5F4F60" w14:textId="77777777" w:rsidTr="00A645F4">
        <w:trPr>
          <w:trHeight w:val="340"/>
          <w:jc w:val="center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AFC18" w14:textId="1398E1A4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2644" w14:textId="2527BC10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70127" w14:textId="782B014B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1.4(3.97)***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1826" w14:textId="65F95CA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1.34(1.95)*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F419F" w14:textId="4B692DD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24.27(10.1)***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461A" w14:textId="7EDCAED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0.072</w:t>
            </w:r>
          </w:p>
        </w:tc>
      </w:tr>
      <w:tr w:rsidR="002D4936" w:rsidRPr="007302D4" w14:paraId="327B0650" w14:textId="77777777" w:rsidTr="00F019F8">
        <w:trPr>
          <w:trHeight w:val="340"/>
          <w:jc w:val="center"/>
        </w:trPr>
        <w:tc>
          <w:tcPr>
            <w:tcW w:w="198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5005A" w14:textId="619B2E99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B3484" w14:textId="75D0706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A9228" w14:textId="11B4F06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1.6(4.23)***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5D914" w14:textId="58FD1A50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1.21(1.58)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5B839" w14:textId="432F7FBD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24.6(10.26)***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92205" w14:textId="26436EC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</w:t>
            </w:r>
          </w:p>
        </w:tc>
      </w:tr>
      <w:tr w:rsidR="002D4936" w:rsidRPr="007302D4" w14:paraId="2D76340B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E0581" w14:textId="57F0E90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C(0.03, 0.1]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5E28F" w14:textId="3C2D9AA8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405F" w14:textId="6CD29B2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0.68(3.62)***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4DBC" w14:textId="465FA5E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0.76(2.23)**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FB3E" w14:textId="710F780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31.51(13.9)***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3A1D" w14:textId="30DC79EA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0.122</w:t>
            </w:r>
          </w:p>
        </w:tc>
      </w:tr>
      <w:tr w:rsidR="002D4936" w:rsidRPr="007302D4" w14:paraId="3864280C" w14:textId="77777777" w:rsidTr="00A645F4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744BE" w14:textId="7FA4F1D0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C(0.03, 0.1]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4F015" w14:textId="57143CCB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4546" w14:textId="79B5B43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0.72(3.73)***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D5AA1" w14:textId="4801AB4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0.78(2.15)**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AC848" w14:textId="78A7BD3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31.59(13.95)***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213F2" w14:textId="1D44823D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0.122</w:t>
            </w:r>
          </w:p>
        </w:tc>
      </w:tr>
      <w:tr w:rsidR="002D4936" w:rsidRPr="007302D4" w14:paraId="0A8364AE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2342" w14:textId="3E2F7B7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C(0.03, 0.1]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27F15" w14:textId="2582B589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215E1" w14:textId="68C62E0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0.76(3.85)***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3CFF" w14:textId="6152B60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0.79(2.05)**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6B775" w14:textId="2B9C29A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31.69(14.0)***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905E0" w14:textId="27EC603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0.121</w:t>
            </w:r>
          </w:p>
        </w:tc>
      </w:tr>
      <w:tr w:rsidR="002D4936" w:rsidRPr="007302D4" w14:paraId="7E304848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A15E4" w14:textId="7C5578AA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C(0.03, 0.1]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6ABE4" w14:textId="6DE646C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CF836" w14:textId="4E4BA48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0.86(4.05)***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AF3CD" w14:textId="0303469C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0.71(1.65)*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7E48C" w14:textId="54AD9A3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32.07(14.2)***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7D055" w14:textId="4DADC3B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0.119</w:t>
            </w:r>
          </w:p>
        </w:tc>
      </w:tr>
      <w:tr w:rsidR="002D4936" w:rsidRPr="007302D4" w14:paraId="56AFA602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F894" w14:textId="2D151119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P(-0.03, 0.03]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A1A82" w14:textId="0466B3E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7D7C6" w14:textId="36E1C88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-1.43(-4.26)***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DAC28" w14:textId="43573B78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-1.47(-2.4)**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6395" w14:textId="514F06C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21.53(9.06)***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31815" w14:textId="7504B98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0.069</w:t>
            </w:r>
          </w:p>
        </w:tc>
      </w:tr>
      <w:tr w:rsidR="002D4936" w:rsidRPr="007302D4" w14:paraId="5605EF2F" w14:textId="77777777" w:rsidTr="00A645F4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8666" w14:textId="2979A01C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P(-0.03, 0.03]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D191" w14:textId="322CB1B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491B4" w14:textId="54FC6518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-1.49(-4.32)***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65AC3" w14:textId="508F8AE9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-1.56(-2.4)**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4E9C4" w14:textId="404F89E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21.61(9.09)***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F904" w14:textId="1AA33AC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0.068</w:t>
            </w:r>
          </w:p>
        </w:tc>
      </w:tr>
      <w:tr w:rsidR="002D4936" w:rsidRPr="007302D4" w14:paraId="5D3D857B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5CB05" w14:textId="73C9892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P(-0.03, 0.03]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5CB4" w14:textId="1728A93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32FB8" w14:textId="3BEE7DB1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-1.55(-4.39)***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A86E0" w14:textId="3088C58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-1.63(-2.38)**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21D5" w14:textId="677017C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21.69(9.13)***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FB5C9" w14:textId="1FB6308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0.067</w:t>
            </w:r>
          </w:p>
        </w:tc>
      </w:tr>
      <w:tr w:rsidR="002D4936" w:rsidRPr="007302D4" w14:paraId="45DA7768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6B8FF" w14:textId="3B839B3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P(-0.03, 0.03]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3C508" w14:textId="011EEDB3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ABF29" w14:textId="6124F813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-1.69(-4.46)***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48074" w14:textId="61ECA89A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-1.69(-2.2)**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0C5F3" w14:textId="430985FB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22.0(9.25)***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6ACA8" w14:textId="5CDFF50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0.065</w:t>
            </w:r>
          </w:p>
        </w:tc>
      </w:tr>
      <w:tr w:rsidR="002D4936" w:rsidRPr="007302D4" w14:paraId="4D616177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3AA78" w14:textId="3F7D7277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P(-0.1, -0.03]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FA7B2" w14:textId="060BADE8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112EF" w14:textId="78F8A88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-0.86(-5.22)***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0284D" w14:textId="2B8791B7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-0.91(-3.05)***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6E4C5" w14:textId="630CFFF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19.67(8.11)***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32865" w14:textId="67899DF8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0.075</w:t>
            </w:r>
          </w:p>
        </w:tc>
      </w:tr>
      <w:tr w:rsidR="002D4936" w:rsidRPr="007302D4" w14:paraId="1E2DF2F0" w14:textId="77777777" w:rsidTr="00A645F4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E39B" w14:textId="72FED93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P(-0.1, -0.03]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C6ED4" w14:textId="1E956EB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4735D" w14:textId="7F51213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-0.89(-5.3)***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A810B" w14:textId="0A085F63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-0.95(-3.01)***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536B2" w14:textId="7BC52A3A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19.8(8.16)***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0313E" w14:textId="3BEC6EC0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0.074</w:t>
            </w:r>
          </w:p>
        </w:tc>
      </w:tr>
      <w:tr w:rsidR="002D4936" w:rsidRPr="007302D4" w14:paraId="3CF9DC6C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DABBD" w14:textId="504A8F5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P(-0.1, -0.03]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26798" w14:textId="0753A3D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2EAC" w14:textId="329A751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-0.93(-5.39)***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4715F" w14:textId="0FD7143C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-0.99(-2.97)***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3124" w14:textId="51C9FA1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19.93(8.21)***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FED93" w14:textId="5D1AF870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0.072</w:t>
            </w:r>
          </w:p>
        </w:tc>
      </w:tr>
      <w:tr w:rsidR="002D4936" w:rsidRPr="007302D4" w14:paraId="594BFF18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9E1AA" w14:textId="665DDCE7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P(-0.1, -0.03]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32D12" w14:textId="58F8BB13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4DE1C" w14:textId="48A270AD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-1.02(-5.45)***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9B874" w14:textId="3D179867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-1.05(-2.79)***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623A4" w14:textId="73A0BF3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20.35(8.37)***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21AD3" w14:textId="3D7E5061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0.068</w:t>
            </w:r>
          </w:p>
        </w:tc>
      </w:tr>
    </w:tbl>
    <w:p w14:paraId="3155EEEA" w14:textId="77777777" w:rsidR="007302D4" w:rsidRDefault="007302D4" w:rsidP="00152FB6"/>
    <w:p w14:paraId="56B31FAF" w14:textId="77777777" w:rsidR="007302D4" w:rsidRDefault="007302D4" w:rsidP="00152FB6"/>
    <w:p w14:paraId="02CE3B4C" w14:textId="77777777" w:rsidR="009B4783" w:rsidRDefault="009B4783" w:rsidP="00152FB6"/>
    <w:p w14:paraId="2C2BC3EB" w14:textId="50AF9D53" w:rsidR="00FC2AF0" w:rsidRDefault="00FC2AF0" w:rsidP="00FC2AF0">
      <w:pPr>
        <w:pStyle w:val="2"/>
        <w:numPr>
          <w:ilvl w:val="0"/>
          <w:numId w:val="9"/>
        </w:numPr>
      </w:pPr>
      <w:r>
        <w:rPr>
          <w:rFonts w:hint="eastAsia"/>
        </w:rPr>
        <w:t>不同的波动率度量方式</w:t>
      </w:r>
    </w:p>
    <w:p w14:paraId="1575F30C" w14:textId="68F9C7CF" w:rsidR="00FC2AF0" w:rsidRDefault="00FC2AF0" w:rsidP="00152FB6"/>
    <w:p w14:paraId="21DC7A7E" w14:textId="77777777" w:rsidR="009B4783" w:rsidRDefault="009B4783" w:rsidP="009B4783"/>
    <w:p w14:paraId="7B20C9E0" w14:textId="77777777" w:rsidR="009B4783" w:rsidRDefault="009B4783" w:rsidP="009B4783"/>
    <w:p w14:paraId="3C40A2E4" w14:textId="77777777" w:rsidR="009B4783" w:rsidRDefault="009B4783" w:rsidP="009B4783"/>
    <w:p w14:paraId="58C4C7F5" w14:textId="77777777" w:rsidR="009B4783" w:rsidRDefault="009B4783" w:rsidP="009B4783"/>
    <w:p w14:paraId="4C5E0398" w14:textId="77777777" w:rsidR="009B4783" w:rsidRDefault="009B4783" w:rsidP="009B4783"/>
    <w:p w14:paraId="5C8C0202" w14:textId="77777777" w:rsidR="009B4783" w:rsidRDefault="009B4783" w:rsidP="009B4783"/>
    <w:p w14:paraId="686AC70B" w14:textId="77777777" w:rsidR="009B4783" w:rsidRDefault="009B4783" w:rsidP="009B4783"/>
    <w:p w14:paraId="6367D5BF" w14:textId="77777777" w:rsidR="009B4783" w:rsidRDefault="009B4783" w:rsidP="009B4783"/>
    <w:p w14:paraId="0E6FD99E" w14:textId="2FB10CC5" w:rsidR="00F019F8" w:rsidRDefault="00A645F4" w:rsidP="00F019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,t+τ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/>
                </w:rPr>
                <m:t>t-τ,t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</m:oMath>
      </m:oMathPara>
    </w:p>
    <w:p w14:paraId="44870AD7" w14:textId="77777777" w:rsidR="009B4783" w:rsidRDefault="009B4783" w:rsidP="009B4783"/>
    <w:p w14:paraId="228D506E" w14:textId="77777777" w:rsidR="009B4783" w:rsidRDefault="009B4783" w:rsidP="009B4783"/>
    <w:p w14:paraId="73D44262" w14:textId="77777777" w:rsidR="009B4783" w:rsidRDefault="009B4783" w:rsidP="009B4783"/>
    <w:p w14:paraId="749BD552" w14:textId="77777777" w:rsidR="009B4783" w:rsidRDefault="009B4783" w:rsidP="009B4783"/>
    <w:p w14:paraId="399186EC" w14:textId="77777777" w:rsidR="009B4783" w:rsidRDefault="009B4783" w:rsidP="009B4783"/>
    <w:p w14:paraId="3DE4CDE6" w14:textId="77777777" w:rsidR="009B4783" w:rsidRDefault="009B4783" w:rsidP="009B4783"/>
    <w:p w14:paraId="2253FEEE" w14:textId="7366C974" w:rsidR="009B4783" w:rsidRDefault="009B4783" w:rsidP="009B4783">
      <w:pPr>
        <w:jc w:val="center"/>
      </w:pPr>
      <w:r>
        <w:rPr>
          <w:rFonts w:hint="eastAsia"/>
        </w:rPr>
        <w:t>基于R</w:t>
      </w:r>
      <w:r>
        <w:t>V</w:t>
      </w:r>
      <w:r>
        <w:rPr>
          <w:rFonts w:hint="eastAsia"/>
        </w:rPr>
        <w:t>的</w:t>
      </w:r>
      <w:r>
        <w:t>VV</w:t>
      </w:r>
      <w:r>
        <w:rPr>
          <w:rFonts w:hint="eastAsia"/>
        </w:rPr>
        <w:t>风险溢价回归结果</w:t>
      </w:r>
    </w:p>
    <w:tbl>
      <w:tblPr>
        <w:tblStyle w:val="af1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</w:tblGrid>
      <w:tr w:rsidR="00DE2726" w:rsidRPr="009B4783" w14:paraId="43C5CE4E" w14:textId="77777777" w:rsidTr="00DE2726">
        <w:trPr>
          <w:trHeight w:val="454"/>
          <w:jc w:val="center"/>
        </w:trPr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AB0F" w14:textId="4562BB90" w:rsidR="00DE2726" w:rsidRPr="009B4783" w:rsidRDefault="00DE2726" w:rsidP="00DE272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Maturity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1393" w14:textId="791D1493" w:rsidR="00DE2726" w:rsidRPr="009B4783" w:rsidRDefault="00DE2726" w:rsidP="00DE272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RV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BFED" w14:textId="24A5D4E3" w:rsidR="00DE2726" w:rsidRPr="009B4783" w:rsidRDefault="00DE2726" w:rsidP="00DE272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B28E" w14:textId="4BF947FA" w:rsidR="00DE2726" w:rsidRPr="009B4783" w:rsidRDefault="00DE2726" w:rsidP="00DE272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gains(-1)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A1B1" w14:textId="2062122F" w:rsidR="00DE2726" w:rsidRPr="009B4783" w:rsidRDefault="00DE2726" w:rsidP="00DE272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</w:t>
            </w:r>
          </w:p>
        </w:tc>
      </w:tr>
      <w:tr w:rsidR="00011E5E" w:rsidRPr="009B4783" w14:paraId="6F7A422D" w14:textId="77777777" w:rsidTr="00A645F4">
        <w:trPr>
          <w:trHeight w:val="454"/>
          <w:jc w:val="center"/>
        </w:trPr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595C" w14:textId="26A5E307" w:rsidR="00011E5E" w:rsidRPr="009B4783" w:rsidRDefault="00011E5E" w:rsidP="00011E5E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QVV30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7D8DBCB" w14:textId="54FA6159" w:rsidR="00011E5E" w:rsidRPr="009B4783" w:rsidRDefault="00011E5E" w:rsidP="00011E5E">
            <w:pPr>
              <w:jc w:val="center"/>
            </w:pPr>
            <w:r w:rsidRPr="00CC042C">
              <w:t>-0.34(-3.52)***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574A528" w14:textId="474EC9A4" w:rsidR="00011E5E" w:rsidRPr="009B4783" w:rsidRDefault="00011E5E" w:rsidP="00011E5E">
            <w:pPr>
              <w:jc w:val="center"/>
            </w:pPr>
            <w:r w:rsidRPr="00CC042C">
              <w:t>-0.74(-2.2)**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6F0C208" w14:textId="22EDD283" w:rsidR="00011E5E" w:rsidRPr="009B4783" w:rsidRDefault="00011E5E" w:rsidP="00011E5E">
            <w:pPr>
              <w:jc w:val="center"/>
            </w:pPr>
            <w:r w:rsidRPr="00CC042C">
              <w:t>6.64(2.78)***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D505FDB" w14:textId="749439CA" w:rsidR="00011E5E" w:rsidRPr="009B4783" w:rsidRDefault="00011E5E" w:rsidP="00011E5E">
            <w:pPr>
              <w:jc w:val="center"/>
            </w:pPr>
            <w:r w:rsidRPr="00CC042C">
              <w:t>0.011</w:t>
            </w:r>
          </w:p>
        </w:tc>
      </w:tr>
      <w:tr w:rsidR="00011E5E" w:rsidRPr="009B4783" w14:paraId="321A47B9" w14:textId="77777777" w:rsidTr="00A645F4">
        <w:trPr>
          <w:trHeight w:val="454"/>
          <w:jc w:val="center"/>
        </w:trPr>
        <w:tc>
          <w:tcPr>
            <w:tcW w:w="1644" w:type="dxa"/>
            <w:shd w:val="clear" w:color="auto" w:fill="auto"/>
            <w:noWrap/>
            <w:vAlign w:val="center"/>
            <w:hideMark/>
          </w:tcPr>
          <w:p w14:paraId="4049AE96" w14:textId="0CE5C8BE" w:rsidR="00011E5E" w:rsidRPr="009B4783" w:rsidRDefault="00011E5E" w:rsidP="00011E5E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QVV60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65BB7C3E" w14:textId="60F43C3E" w:rsidR="00011E5E" w:rsidRPr="009B4783" w:rsidRDefault="00011E5E" w:rsidP="00011E5E">
            <w:pPr>
              <w:jc w:val="center"/>
            </w:pPr>
            <w:r w:rsidRPr="00CC042C">
              <w:t>-0.35(-3.64)***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649A48DD" w14:textId="7016EB3F" w:rsidR="00011E5E" w:rsidRPr="009B4783" w:rsidRDefault="00011E5E" w:rsidP="00011E5E">
            <w:pPr>
              <w:jc w:val="center"/>
            </w:pPr>
            <w:r w:rsidRPr="00CC042C">
              <w:t>-0.8(-2.06)**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0DEA272C" w14:textId="08839F3A" w:rsidR="00011E5E" w:rsidRPr="009B4783" w:rsidRDefault="00011E5E" w:rsidP="00011E5E">
            <w:pPr>
              <w:jc w:val="center"/>
            </w:pPr>
            <w:r w:rsidRPr="00CC042C">
              <w:t>6.71(2.82)***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6AED7123" w14:textId="1DD2BC81" w:rsidR="00011E5E" w:rsidRPr="009B4783" w:rsidRDefault="00011E5E" w:rsidP="00011E5E">
            <w:pPr>
              <w:jc w:val="center"/>
            </w:pPr>
            <w:r w:rsidRPr="00CC042C">
              <w:t>0.011</w:t>
            </w:r>
          </w:p>
        </w:tc>
      </w:tr>
      <w:tr w:rsidR="00011E5E" w:rsidRPr="009B4783" w14:paraId="7F069C73" w14:textId="77777777" w:rsidTr="00A645F4">
        <w:trPr>
          <w:trHeight w:val="454"/>
          <w:jc w:val="center"/>
        </w:trPr>
        <w:tc>
          <w:tcPr>
            <w:tcW w:w="1644" w:type="dxa"/>
            <w:shd w:val="clear" w:color="auto" w:fill="auto"/>
            <w:noWrap/>
            <w:vAlign w:val="center"/>
            <w:hideMark/>
          </w:tcPr>
          <w:p w14:paraId="353E4F5C" w14:textId="260DBF8A" w:rsidR="00011E5E" w:rsidRPr="009B4783" w:rsidRDefault="00011E5E" w:rsidP="00011E5E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QVV90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32775D61" w14:textId="7D44DBB6" w:rsidR="00011E5E" w:rsidRPr="009B4783" w:rsidRDefault="00011E5E" w:rsidP="00011E5E">
            <w:pPr>
              <w:jc w:val="center"/>
            </w:pPr>
            <w:r w:rsidRPr="00CC042C">
              <w:t>-0.35(-3.76)***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28462DBA" w14:textId="05B00110" w:rsidR="00011E5E" w:rsidRPr="009B4783" w:rsidRDefault="00011E5E" w:rsidP="00011E5E">
            <w:pPr>
              <w:jc w:val="center"/>
            </w:pPr>
            <w:r w:rsidRPr="00CC042C">
              <w:t>-0.84(-1.91)*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27550A18" w14:textId="5673CCD1" w:rsidR="00011E5E" w:rsidRPr="009B4783" w:rsidRDefault="00011E5E" w:rsidP="00011E5E">
            <w:pPr>
              <w:jc w:val="center"/>
            </w:pPr>
            <w:r w:rsidRPr="00CC042C">
              <w:t>6.77(2.84)***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0471062D" w14:textId="1EA2B366" w:rsidR="00011E5E" w:rsidRPr="009B4783" w:rsidRDefault="00011E5E" w:rsidP="00011E5E">
            <w:pPr>
              <w:jc w:val="center"/>
            </w:pPr>
            <w:r w:rsidRPr="00CC042C">
              <w:t>0.011</w:t>
            </w:r>
          </w:p>
        </w:tc>
      </w:tr>
      <w:tr w:rsidR="00011E5E" w:rsidRPr="009B4783" w14:paraId="05EE246C" w14:textId="77777777" w:rsidTr="00A645F4">
        <w:trPr>
          <w:trHeight w:val="454"/>
          <w:jc w:val="center"/>
        </w:trPr>
        <w:tc>
          <w:tcPr>
            <w:tcW w:w="1644" w:type="dxa"/>
            <w:shd w:val="clear" w:color="auto" w:fill="auto"/>
            <w:noWrap/>
            <w:vAlign w:val="center"/>
            <w:hideMark/>
          </w:tcPr>
          <w:p w14:paraId="3BACD925" w14:textId="68116A46" w:rsidR="00011E5E" w:rsidRPr="009B4783" w:rsidRDefault="00011E5E" w:rsidP="00011E5E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QVV180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71133389" w14:textId="56B2D1E5" w:rsidR="00011E5E" w:rsidRPr="009B4783" w:rsidRDefault="00011E5E" w:rsidP="00011E5E">
            <w:pPr>
              <w:jc w:val="center"/>
            </w:pPr>
            <w:r w:rsidRPr="00CC042C">
              <w:t>-0.37(-3.99)***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08ACF979" w14:textId="00B3232E" w:rsidR="00011E5E" w:rsidRPr="009B4783" w:rsidRDefault="00011E5E" w:rsidP="00011E5E">
            <w:pPr>
              <w:jc w:val="center"/>
            </w:pPr>
            <w:r w:rsidRPr="00CC042C">
              <w:t>-0.86(-1.56)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6EEB3D3E" w14:textId="412EF96B" w:rsidR="00011E5E" w:rsidRPr="009B4783" w:rsidRDefault="00011E5E" w:rsidP="00011E5E">
            <w:pPr>
              <w:jc w:val="center"/>
            </w:pPr>
            <w:r w:rsidRPr="00CC042C">
              <w:t>6.87(2.89)***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51996CC2" w14:textId="5EB54C23" w:rsidR="00011E5E" w:rsidRPr="009B4783" w:rsidRDefault="00011E5E" w:rsidP="00011E5E">
            <w:pPr>
              <w:jc w:val="center"/>
            </w:pPr>
            <w:r w:rsidRPr="00CC042C">
              <w:t>0.01</w:t>
            </w:r>
          </w:p>
        </w:tc>
      </w:tr>
      <w:tr w:rsidR="00011E5E" w:rsidRPr="009B4783" w14:paraId="3EB4C020" w14:textId="77777777" w:rsidTr="00A645F4">
        <w:trPr>
          <w:trHeight w:val="454"/>
          <w:jc w:val="center"/>
        </w:trPr>
        <w:tc>
          <w:tcPr>
            <w:tcW w:w="1644" w:type="dxa"/>
            <w:shd w:val="clear" w:color="auto" w:fill="auto"/>
            <w:noWrap/>
            <w:vAlign w:val="center"/>
            <w:hideMark/>
          </w:tcPr>
          <w:p w14:paraId="1BF803D3" w14:textId="3774E9AD" w:rsidR="00011E5E" w:rsidRPr="009B4783" w:rsidRDefault="00011E5E" w:rsidP="00011E5E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QVV360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14B77F29" w14:textId="09F8BA6B" w:rsidR="00011E5E" w:rsidRPr="009B4783" w:rsidRDefault="00011E5E" w:rsidP="00011E5E">
            <w:pPr>
              <w:jc w:val="center"/>
            </w:pPr>
            <w:r w:rsidRPr="00CC042C">
              <w:t>-0.37(-3.91)***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5E9602A3" w14:textId="71E696D5" w:rsidR="00011E5E" w:rsidRPr="009B4783" w:rsidRDefault="00011E5E" w:rsidP="00011E5E">
            <w:pPr>
              <w:jc w:val="center"/>
            </w:pPr>
            <w:r w:rsidRPr="00CC042C">
              <w:t>-0.56(-1.39)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3BF010A4" w14:textId="37E7247C" w:rsidR="00011E5E" w:rsidRPr="009B4783" w:rsidRDefault="00011E5E" w:rsidP="00011E5E">
            <w:pPr>
              <w:jc w:val="center"/>
            </w:pPr>
            <w:r w:rsidRPr="00CC042C">
              <w:t>6.71(2.81)***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03BB2CDD" w14:textId="02C41542" w:rsidR="00011E5E" w:rsidRPr="009B4783" w:rsidRDefault="00011E5E" w:rsidP="00011E5E">
            <w:pPr>
              <w:jc w:val="center"/>
            </w:pPr>
            <w:r w:rsidRPr="00CC042C">
              <w:t>0.01</w:t>
            </w:r>
          </w:p>
        </w:tc>
      </w:tr>
    </w:tbl>
    <w:p w14:paraId="51732FBB" w14:textId="4D790D22" w:rsidR="00FC2AF0" w:rsidRDefault="00FC2AF0" w:rsidP="00152FB6"/>
    <w:p w14:paraId="37F9B2AF" w14:textId="77777777" w:rsidR="00FC2AF0" w:rsidRDefault="00FC2AF0" w:rsidP="00152FB6"/>
    <w:p w14:paraId="399B48B5" w14:textId="416B2748" w:rsidR="00FC2AF0" w:rsidRDefault="00FC2AF0" w:rsidP="00FC2AF0">
      <w:pPr>
        <w:pStyle w:val="2"/>
        <w:numPr>
          <w:ilvl w:val="0"/>
          <w:numId w:val="9"/>
        </w:numPr>
      </w:pPr>
      <w:r>
        <w:rPr>
          <w:rFonts w:hint="eastAsia"/>
        </w:rPr>
        <w:t>不同的样本划分区间</w:t>
      </w:r>
    </w:p>
    <w:p w14:paraId="7D344716" w14:textId="7B378756" w:rsidR="00FC2AF0" w:rsidRDefault="00FC2AF0" w:rsidP="00152FB6"/>
    <w:p w14:paraId="1C4FDCEA" w14:textId="35046EE0" w:rsidR="00FC2AF0" w:rsidRDefault="00FC2AF0" w:rsidP="00FC2AF0">
      <w:pPr>
        <w:pStyle w:val="2"/>
        <w:numPr>
          <w:ilvl w:val="0"/>
          <w:numId w:val="9"/>
        </w:numPr>
      </w:pPr>
      <w:r>
        <w:rPr>
          <w:rFonts w:hint="eastAsia"/>
        </w:rPr>
        <w:t>考虑跳跃风险</w:t>
      </w:r>
    </w:p>
    <w:p w14:paraId="685503D6" w14:textId="335451FB" w:rsidR="00FC2AF0" w:rsidRPr="00371ED7" w:rsidRDefault="00371ED7" w:rsidP="00152FB6">
      <w:pPr>
        <w:rPr>
          <w:color w:val="FF0000"/>
        </w:rPr>
      </w:pPr>
      <w:r w:rsidRPr="00371ED7">
        <w:rPr>
          <w:rFonts w:hint="eastAsia"/>
          <w:color w:val="FF0000"/>
        </w:rPr>
        <w:t>三阶</w:t>
      </w:r>
      <w:r>
        <w:rPr>
          <w:rFonts w:hint="eastAsia"/>
          <w:color w:val="FF0000"/>
        </w:rPr>
        <w:t>：S</w:t>
      </w:r>
      <w:r>
        <w:rPr>
          <w:color w:val="FF0000"/>
        </w:rPr>
        <w:t>KEW</w:t>
      </w:r>
      <w:r>
        <w:rPr>
          <w:rFonts w:hint="eastAsia"/>
          <w:color w:val="FF0000"/>
        </w:rPr>
        <w:t>和</w:t>
      </w:r>
      <w:r>
        <w:rPr>
          <w:color w:val="FF0000"/>
        </w:rPr>
        <w:t>VV</w:t>
      </w:r>
      <w:r>
        <w:rPr>
          <w:rFonts w:hint="eastAsia"/>
          <w:color w:val="FF0000"/>
        </w:rPr>
        <w:t>（）；残差非零，且分布接近正态</w:t>
      </w:r>
    </w:p>
    <w:p w14:paraId="007315AA" w14:textId="47FACF7F" w:rsidR="00F019F8" w:rsidRDefault="00A645F4" w:rsidP="00F019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,t+τ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/>
                </w:rPr>
                <m:t>t-τ,t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JUMP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</m:oMath>
      </m:oMathPara>
    </w:p>
    <w:p w14:paraId="5D7F6D37" w14:textId="77777777" w:rsidR="00F019F8" w:rsidRDefault="00F019F8" w:rsidP="00152FB6"/>
    <w:p w14:paraId="1EF1D6EA" w14:textId="77777777" w:rsidR="00371ED7" w:rsidRDefault="00371ED7" w:rsidP="00152FB6"/>
    <w:p w14:paraId="145647BC" w14:textId="7A4B8FF5" w:rsidR="002D4936" w:rsidRDefault="002D4936" w:rsidP="002D4936">
      <w:pPr>
        <w:jc w:val="center"/>
      </w:pPr>
      <w:r>
        <w:rPr>
          <w:rFonts w:hint="eastAsia"/>
        </w:rPr>
        <w:t>考虑跳跃风险的V</w:t>
      </w:r>
      <w:r>
        <w:t>V</w:t>
      </w:r>
      <w:r>
        <w:rPr>
          <w:rFonts w:hint="eastAsia"/>
        </w:rPr>
        <w:t>风险溢价回归结果</w:t>
      </w:r>
    </w:p>
    <w:tbl>
      <w:tblPr>
        <w:tblW w:w="9527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1005"/>
        <w:gridCol w:w="1701"/>
        <w:gridCol w:w="1701"/>
        <w:gridCol w:w="1701"/>
        <w:gridCol w:w="1408"/>
        <w:gridCol w:w="728"/>
      </w:tblGrid>
      <w:tr w:rsidR="002D4936" w:rsidRPr="0000537B" w14:paraId="3C21DB09" w14:textId="77777777" w:rsidTr="002D4936">
        <w:trPr>
          <w:trHeight w:val="276"/>
        </w:trPr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7FE3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Moneyness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A292B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Maturity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1A35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IV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36F3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DDFF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JUMP</w:t>
            </w:r>
          </w:p>
        </w:tc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51AF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gains(-1)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7C72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</w:p>
        </w:tc>
      </w:tr>
      <w:tr w:rsidR="00A14932" w:rsidRPr="0000537B" w14:paraId="005DE626" w14:textId="77777777" w:rsidTr="00A645F4">
        <w:trPr>
          <w:trHeight w:val="276"/>
        </w:trPr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B5E4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JDOP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F2ED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QVV30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34C2" w14:textId="3B3F7B8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-0.26(-2.87)***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B4F7" w14:textId="2B8EDF9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-0.64(-1.81)*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544E" w14:textId="751AB6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0.07(0.13)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EF61" w14:textId="79186B2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4.47(1.98)**</w:t>
            </w:r>
          </w:p>
        </w:tc>
        <w:tc>
          <w:tcPr>
            <w:tcW w:w="7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3B2C" w14:textId="506D936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23981ACF" w14:textId="77777777" w:rsidTr="00A645F4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D52E725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JDOP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607A37C7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QVV60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BBAC481" w14:textId="3E2748B9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-0.28(-2.94)***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7116254" w14:textId="00C08E0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-0.69(-1.73)*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0F605B5" w14:textId="16C35F2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0.06(0.11)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0945DEC1" w14:textId="1447D5E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4.32(1.92)*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587F381A" w14:textId="09B0896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7B0C9BB8" w14:textId="77777777" w:rsidTr="00A645F4">
        <w:trPr>
          <w:trHeight w:val="276"/>
        </w:trPr>
        <w:tc>
          <w:tcPr>
            <w:tcW w:w="128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D49371E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JDOP</w:t>
            </w:r>
          </w:p>
        </w:tc>
        <w:tc>
          <w:tcPr>
            <w:tcW w:w="10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D42B0E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QVV90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284718F" w14:textId="742F9EC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-0.3(-2.98)***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053AA3" w14:textId="3919F35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-0.74(-1.66)*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9A76831" w14:textId="12A2AFC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0.05(0.09)</w:t>
            </w:r>
          </w:p>
        </w:tc>
        <w:tc>
          <w:tcPr>
            <w:tcW w:w="140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654E5B6" w14:textId="7B28733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4.17(1.85)*</w:t>
            </w:r>
          </w:p>
        </w:tc>
        <w:tc>
          <w:tcPr>
            <w:tcW w:w="72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1FD3CA6" w14:textId="595FD384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0.008</w:t>
            </w:r>
          </w:p>
        </w:tc>
      </w:tr>
      <w:tr w:rsidR="00A14932" w:rsidRPr="0000537B" w14:paraId="5EA35FC7" w14:textId="77777777" w:rsidTr="00A645F4">
        <w:trPr>
          <w:trHeight w:val="276"/>
        </w:trPr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E5DE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JDOP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5197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QVV180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BC77" w14:textId="294ADEC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-0.35(-2.85)***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D3F5" w14:textId="79C9EC3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-0.84(-1.51)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36B9" w14:textId="3898921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0.06(0.1)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0D15" w14:textId="003296DA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3.71(1.64)</w:t>
            </w:r>
          </w:p>
        </w:tc>
        <w:tc>
          <w:tcPr>
            <w:tcW w:w="72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A91B" w14:textId="20A6E8B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0.007</w:t>
            </w:r>
          </w:p>
        </w:tc>
      </w:tr>
      <w:tr w:rsidR="00A14932" w:rsidRPr="0000537B" w14:paraId="1DC3E9D0" w14:textId="77777777" w:rsidTr="00A645F4">
        <w:trPr>
          <w:trHeight w:val="276"/>
        </w:trPr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2F82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JOP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5C61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QVV30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1BA06" w14:textId="3A29DB08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-0.25(-2.91)***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A4848" w14:textId="7CDC917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-0.64(-1.82)*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AC4E" w14:textId="74D0C53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0.2(0.21)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5DE04" w14:textId="4148AB8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4.48(1.98)**</w:t>
            </w:r>
          </w:p>
        </w:tc>
        <w:tc>
          <w:tcPr>
            <w:tcW w:w="7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0357" w14:textId="3420277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0FAD1251" w14:textId="77777777" w:rsidTr="00A645F4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FED95CB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JOP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589886A7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QVV60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72A2E3" w14:textId="2378267A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-0.28(-2.99)***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EDFBFB9" w14:textId="78B5EA6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-0.69(-1.73)*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8CAED5B" w14:textId="3F122C3C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0.17(0.18)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0C008B09" w14:textId="741AE1B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4.33(1.92)*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0BE29CFB" w14:textId="047EBC5A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1E713419" w14:textId="77777777" w:rsidTr="00A645F4">
        <w:trPr>
          <w:trHeight w:val="276"/>
        </w:trPr>
        <w:tc>
          <w:tcPr>
            <w:tcW w:w="128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DA46BB0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JOP</w:t>
            </w:r>
          </w:p>
        </w:tc>
        <w:tc>
          <w:tcPr>
            <w:tcW w:w="10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C43CF8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QVV90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E63BDA7" w14:textId="324F5DC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-0.3(-3.04)***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36F750D" w14:textId="70EA4BA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-0.75(-1.66)*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EA5535" w14:textId="5DD8C2A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0.15(0.16)</w:t>
            </w:r>
          </w:p>
        </w:tc>
        <w:tc>
          <w:tcPr>
            <w:tcW w:w="140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9D391CB" w14:textId="6F6C62DB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4.17(1.85)*</w:t>
            </w:r>
          </w:p>
        </w:tc>
        <w:tc>
          <w:tcPr>
            <w:tcW w:w="72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8CF3C9" w14:textId="66BDC435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0.008</w:t>
            </w:r>
          </w:p>
        </w:tc>
      </w:tr>
      <w:tr w:rsidR="00A14932" w:rsidRPr="0000537B" w14:paraId="07A89F87" w14:textId="77777777" w:rsidTr="00A645F4">
        <w:trPr>
          <w:trHeight w:val="276"/>
        </w:trPr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860E5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JOP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A2BC7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QVV180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2B10" w14:textId="0BCE86BA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-0.34(-2.94)***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E061" w14:textId="35F2A3B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-0.84(-1.51)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9B5E" w14:textId="7249E33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0.12(0.12)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2C7B" w14:textId="6B587A6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3.71(1.64)</w:t>
            </w:r>
          </w:p>
        </w:tc>
        <w:tc>
          <w:tcPr>
            <w:tcW w:w="72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24186" w14:textId="2A7CF5B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0.007</w:t>
            </w:r>
          </w:p>
        </w:tc>
      </w:tr>
      <w:tr w:rsidR="00A14932" w:rsidRPr="0000537B" w14:paraId="27701E1E" w14:textId="77777777" w:rsidTr="00A645F4">
        <w:trPr>
          <w:trHeight w:val="276"/>
        </w:trPr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BC9B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JOC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79D8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QVV30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5745" w14:textId="39AE8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-0.26(-3.06)***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B906" w14:textId="5EA3049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-0.64(-1.84)*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F58B" w14:textId="3C1C075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-0.35(-0.44)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B195" w14:textId="4341BD4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4.48(1.98)**</w:t>
            </w:r>
          </w:p>
        </w:tc>
        <w:tc>
          <w:tcPr>
            <w:tcW w:w="7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28408" w14:textId="2AC0475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6DC6252A" w14:textId="77777777" w:rsidTr="00A645F4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13403E5E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JOC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22A54AFB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QVV60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A3A46D1" w14:textId="32CEE39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-0.28(-3.15)***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8BB8C47" w14:textId="62BCB836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-0.7(-1.75)*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E015D26" w14:textId="2F67A078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-0.32(-0.4)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155F8773" w14:textId="22C770DC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4.33(1.92)*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0CDBF802" w14:textId="6186C54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43FBE84E" w14:textId="77777777" w:rsidTr="00A645F4">
        <w:trPr>
          <w:trHeight w:val="276"/>
        </w:trPr>
        <w:tc>
          <w:tcPr>
            <w:tcW w:w="128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58C9E30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JOC</w:t>
            </w:r>
          </w:p>
        </w:tc>
        <w:tc>
          <w:tcPr>
            <w:tcW w:w="10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E9D80DC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QVV90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656790" w14:textId="5DFE0DC5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-0.3(-3.22)***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C42F1E0" w14:textId="56F62E0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-0.75(-1.67)*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F46142A" w14:textId="7AC5A316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-0.29(-0.36)</w:t>
            </w:r>
          </w:p>
        </w:tc>
        <w:tc>
          <w:tcPr>
            <w:tcW w:w="140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E80576B" w14:textId="444DC39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4.17(1.85)*</w:t>
            </w:r>
          </w:p>
        </w:tc>
        <w:tc>
          <w:tcPr>
            <w:tcW w:w="72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CA65446" w14:textId="7043B87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0.008</w:t>
            </w:r>
          </w:p>
        </w:tc>
      </w:tr>
      <w:tr w:rsidR="00A14932" w:rsidRPr="0000537B" w14:paraId="0EE92A75" w14:textId="77777777" w:rsidTr="00A645F4">
        <w:trPr>
          <w:trHeight w:val="276"/>
        </w:trPr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BE150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JOC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7FE6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QVV180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5920" w14:textId="5E15D46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-0.35(-3.14)***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C76F" w14:textId="2CAFC3B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-0.83(-1.5)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F0FA" w14:textId="2ED512D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-0.17(-0.22)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5FD7" w14:textId="167B642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3.7(1.64)</w:t>
            </w:r>
          </w:p>
        </w:tc>
        <w:tc>
          <w:tcPr>
            <w:tcW w:w="72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9DB6" w14:textId="77B046A8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0.007</w:t>
            </w:r>
          </w:p>
        </w:tc>
      </w:tr>
      <w:tr w:rsidR="00A14932" w:rsidRPr="0000537B" w14:paraId="58AB3276" w14:textId="77777777" w:rsidTr="00A645F4">
        <w:trPr>
          <w:trHeight w:val="276"/>
        </w:trPr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8E17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JDOC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DC0D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QVV30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B471" w14:textId="79D99CF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-0.26(-3.11)***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2519" w14:textId="42A4503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-0.65(-1.84)*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05F4" w14:textId="12C38995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-0.22(-0.5)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71B43" w14:textId="7A05F74B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4.48(1.98)**</w:t>
            </w:r>
          </w:p>
        </w:tc>
        <w:tc>
          <w:tcPr>
            <w:tcW w:w="7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A6F8" w14:textId="0BC79CBC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</w:tr>
      <w:tr w:rsidR="00A14932" w:rsidRPr="0000537B" w14:paraId="3398F0A5" w14:textId="77777777" w:rsidTr="00A645F4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ABBC5D0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JDOC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50A09A72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QVV60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C51F81B" w14:textId="0B3CA58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-0.28(-3.2)***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FA804D8" w14:textId="0F27087B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-0.7(-1.75)*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BCE8E8F" w14:textId="42CABAC4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-0.2(-0.47)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1E3FF7B7" w14:textId="1F4822F5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4.33(1.92)*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170EF350" w14:textId="01AAE76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75B24CCF" w14:textId="77777777" w:rsidTr="00A645F4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D54C6B5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JDOC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0857BC4A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QVV90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8DF0EA5" w14:textId="1A167E49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-0.31(-3.26)***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041866B" w14:textId="0DF7C9D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-0.75(-1.67)*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CCE6C5F" w14:textId="670DDAE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-0.19(-0.42)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56204683" w14:textId="73A7B8C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4.17(1.85)*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2F3DECCD" w14:textId="187F103B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0.008</w:t>
            </w:r>
          </w:p>
        </w:tc>
      </w:tr>
      <w:tr w:rsidR="00A14932" w:rsidRPr="0000537B" w14:paraId="6145614A" w14:textId="77777777" w:rsidTr="00A645F4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439A752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JDOC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42D4D406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QVV180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9D6BED8" w14:textId="229625D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-0.35(-3.17)***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E646E6A" w14:textId="43A4199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-0.83(-1.5)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DEC9B6C" w14:textId="4C21E84C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-0.11(-0.25)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69133993" w14:textId="74F246A6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3.7(1.64)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2194B736" w14:textId="0251543C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0.007</w:t>
            </w:r>
          </w:p>
        </w:tc>
      </w:tr>
    </w:tbl>
    <w:p w14:paraId="10CD2BBD" w14:textId="77777777" w:rsidR="007302D4" w:rsidRDefault="007302D4" w:rsidP="00152FB6"/>
    <w:p w14:paraId="512B64EF" w14:textId="77777777" w:rsidR="007302D4" w:rsidRDefault="007302D4" w:rsidP="00152FB6"/>
    <w:p w14:paraId="1700B9E5" w14:textId="77777777" w:rsidR="007302D4" w:rsidRDefault="007302D4" w:rsidP="00152FB6"/>
    <w:p w14:paraId="177D09D4" w14:textId="77777777" w:rsidR="007302D4" w:rsidRDefault="007302D4" w:rsidP="00152FB6"/>
    <w:p w14:paraId="381CEFEF" w14:textId="63225EBC" w:rsidR="00D06D59" w:rsidRDefault="00D06D59" w:rsidP="00D06D59">
      <w:pPr>
        <w:pStyle w:val="1"/>
      </w:pPr>
      <w:r>
        <w:t>6.</w:t>
      </w:r>
      <w:r>
        <w:rPr>
          <w:rFonts w:hint="eastAsia"/>
        </w:rPr>
        <w:t>交易策略</w:t>
      </w:r>
      <w:r>
        <w:t xml:space="preserve"> </w:t>
      </w:r>
    </w:p>
    <w:p w14:paraId="7B473375" w14:textId="758E1420" w:rsidR="00D06D59" w:rsidRDefault="00D06D59" w:rsidP="00152FB6"/>
    <w:p w14:paraId="7330A472" w14:textId="77777777" w:rsidR="00312DBE" w:rsidRDefault="00312DBE" w:rsidP="00152FB6"/>
    <w:p w14:paraId="2191CE4A" w14:textId="77777777" w:rsidR="00312DBE" w:rsidRDefault="00312DBE" w:rsidP="00152FB6"/>
    <w:p w14:paraId="30063BAB" w14:textId="77777777" w:rsidR="00312DBE" w:rsidRDefault="00312DBE" w:rsidP="00152FB6"/>
    <w:p w14:paraId="69D70E83" w14:textId="46673280" w:rsidR="00D06D59" w:rsidRDefault="00D06D59" w:rsidP="00D06D59">
      <w:pPr>
        <w:pStyle w:val="1"/>
      </w:pPr>
      <w:r>
        <w:t>7.</w:t>
      </w:r>
      <w:r>
        <w:rPr>
          <w:rFonts w:hint="eastAsia"/>
        </w:rPr>
        <w:t>结论</w:t>
      </w:r>
      <w:r>
        <w:t xml:space="preserve"> </w:t>
      </w:r>
    </w:p>
    <w:p w14:paraId="66A6FCF1" w14:textId="2F42AA5B" w:rsidR="00D06D59" w:rsidRDefault="00D06D59" w:rsidP="00152FB6"/>
    <w:p w14:paraId="7DB47010" w14:textId="0E68757D" w:rsidR="00D06D59" w:rsidRDefault="00D06D59" w:rsidP="00D06D59">
      <w:pPr>
        <w:pStyle w:val="1"/>
      </w:pPr>
      <w:r>
        <w:rPr>
          <w:rFonts w:hint="eastAsia"/>
        </w:rPr>
        <w:t>参考文献</w:t>
      </w:r>
    </w:p>
    <w:p w14:paraId="2B8E21C1" w14:textId="77777777" w:rsidR="00D06D59" w:rsidRDefault="00D06D59" w:rsidP="00152FB6"/>
    <w:p w14:paraId="23DC4A2E" w14:textId="77777777" w:rsidR="00D06D59" w:rsidRPr="00152FB6" w:rsidRDefault="00D06D59" w:rsidP="00152FB6"/>
    <w:sectPr w:rsidR="00D06D59" w:rsidRPr="0015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江磊 袁" w:date="2023-03-31T15:04:00Z" w:initials="江袁">
    <w:p w14:paraId="5A918029" w14:textId="77777777" w:rsidR="008C46BF" w:rsidRDefault="008C46BF" w:rsidP="00A645F4">
      <w:pPr>
        <w:pStyle w:val="a8"/>
      </w:pPr>
      <w:r>
        <w:rPr>
          <w:rStyle w:val="a7"/>
        </w:rPr>
        <w:annotationRef/>
      </w:r>
      <w:r>
        <w:t>[1] Gurdip B ,  Nikunj K . Delta-Hedged Gains and the Negative Market Volatility Risk Premium[J]. Review of Financial Studies, 2003(2):527-566.</w:t>
      </w:r>
    </w:p>
  </w:comment>
  <w:comment w:id="1" w:author="江磊 袁" w:date="2023-03-31T15:03:00Z" w:initials="江袁">
    <w:p w14:paraId="22005A22" w14:textId="19A28C0C" w:rsidR="005B69B3" w:rsidRDefault="005B69B3" w:rsidP="00A645F4">
      <w:pPr>
        <w:pStyle w:val="a8"/>
      </w:pPr>
      <w:r>
        <w:rPr>
          <w:rStyle w:val="a7"/>
        </w:rPr>
        <w:annotationRef/>
      </w:r>
      <w:r>
        <w:t>[1] Carr P ,  Wu L . Variance Risk Premiums[J]. Oxford University Press, 2009(3).</w:t>
      </w:r>
    </w:p>
  </w:comment>
  <w:comment w:id="2" w:author="江磊 袁" w:date="2023-03-31T11:56:00Z" w:initials="江袁">
    <w:p w14:paraId="58B88536" w14:textId="444DACB8" w:rsidR="00535093" w:rsidRDefault="00535093" w:rsidP="00A645F4">
      <w:pPr>
        <w:pStyle w:val="a8"/>
      </w:pPr>
      <w:r>
        <w:rPr>
          <w:rStyle w:val="a7"/>
        </w:rPr>
        <w:annotationRef/>
      </w:r>
      <w:r>
        <w:rPr>
          <w:color w:val="FF0000"/>
        </w:rPr>
        <w:t>参考陈蓉2019的参考文献</w:t>
      </w:r>
    </w:p>
  </w:comment>
  <w:comment w:id="3" w:author="江磊 袁" w:date="2023-03-31T15:05:00Z" w:initials="江袁">
    <w:p w14:paraId="0BE36548" w14:textId="77777777" w:rsidR="008C46BF" w:rsidRDefault="008C46BF" w:rsidP="00A645F4">
      <w:pPr>
        <w:pStyle w:val="a8"/>
      </w:pPr>
      <w:r>
        <w:rPr>
          <w:rStyle w:val="a7"/>
        </w:rPr>
        <w:annotationRef/>
      </w:r>
      <w:r>
        <w:t>A Closed-Form Solution for Options with Stochastic Volatility with Applications to Bond and Currency Options</w:t>
      </w:r>
    </w:p>
  </w:comment>
  <w:comment w:id="4" w:author="江磊 袁" w:date="2023-03-31T12:11:00Z" w:initials="江袁">
    <w:p w14:paraId="521DF6EF" w14:textId="2A5665E2" w:rsidR="0082054F" w:rsidRDefault="0082054F" w:rsidP="00A645F4">
      <w:pPr>
        <w:pStyle w:val="a8"/>
      </w:pPr>
      <w:r>
        <w:rPr>
          <w:rStyle w:val="a7"/>
        </w:rPr>
        <w:annotationRef/>
      </w:r>
      <w:r>
        <w:t>Unknown Unknowns: Uncertainty About Risk and Stock Returns</w:t>
      </w:r>
    </w:p>
  </w:comment>
  <w:comment w:id="5" w:author="江磊 袁" w:date="2023-03-31T14:28:00Z" w:initials="江袁">
    <w:p w14:paraId="0E6B28DF" w14:textId="77777777" w:rsidR="00B90471" w:rsidRDefault="00B90471">
      <w:pPr>
        <w:pStyle w:val="a8"/>
      </w:pPr>
      <w:r>
        <w:rPr>
          <w:rStyle w:val="a7"/>
        </w:rPr>
        <w:annotationRef/>
      </w:r>
      <w:r>
        <w:t>Park, Y.-H. “Volatility-of-Volatility and Tail Risk Hedging Returns.” Journal of Financial Markets, 26 (2015), 38–63.</w:t>
      </w:r>
    </w:p>
    <w:p w14:paraId="5625F921" w14:textId="77777777" w:rsidR="00B90471" w:rsidRDefault="00B90471" w:rsidP="00A645F4">
      <w:pPr>
        <w:pStyle w:val="a8"/>
      </w:pPr>
      <w:r>
        <w:t>Song,</w:t>
      </w:r>
    </w:p>
  </w:comment>
  <w:comment w:id="6" w:author="江磊 袁" w:date="2023-03-31T14:28:00Z" w:initials="江袁">
    <w:p w14:paraId="31713DAB" w14:textId="77777777" w:rsidR="00B90471" w:rsidRDefault="00B90471" w:rsidP="00A645F4">
      <w:pPr>
        <w:pStyle w:val="a8"/>
      </w:pPr>
      <w:r>
        <w:rPr>
          <w:rStyle w:val="a7"/>
        </w:rPr>
        <w:annotationRef/>
      </w:r>
      <w:r>
        <w:t>Hollstein, F., and M. Prokopczuk. “How Aggregate Volatility-of-Volatility Affects Stock Returns.” Review of Asset Pricing Studies, forthcoming (2017).</w:t>
      </w:r>
    </w:p>
  </w:comment>
  <w:comment w:id="7" w:author="江磊 袁" w:date="2023-03-31T14:29:00Z" w:initials="江袁">
    <w:p w14:paraId="535904EA" w14:textId="77777777" w:rsidR="00B90471" w:rsidRDefault="00B90471" w:rsidP="00A645F4">
      <w:pPr>
        <w:pStyle w:val="a8"/>
      </w:pPr>
      <w:r>
        <w:rPr>
          <w:rStyle w:val="a7"/>
        </w:rPr>
        <w:annotationRef/>
      </w:r>
      <w:r>
        <w:t>Branger, N.; H. H¨ulsbusch; and A. Kraftschik. “The Volatility-of-Volatility Term Structure.” Working Paper, University of M¨unster (2017).</w:t>
      </w:r>
    </w:p>
  </w:comment>
  <w:comment w:id="8" w:author="江磊 袁" w:date="2023-03-31T14:40:00Z" w:initials="江袁">
    <w:p w14:paraId="2BD4BECD" w14:textId="77777777" w:rsidR="00DA7852" w:rsidRDefault="00DA7852">
      <w:pPr>
        <w:pStyle w:val="a8"/>
      </w:pPr>
      <w:r>
        <w:rPr>
          <w:rStyle w:val="a7"/>
        </w:rPr>
        <w:annotationRef/>
      </w:r>
      <w:r>
        <w:t>The Fine Structure of Variance:</w:t>
      </w:r>
    </w:p>
    <w:p w14:paraId="79AFBC05" w14:textId="77777777" w:rsidR="00DA7852" w:rsidRDefault="00DA7852" w:rsidP="00A645F4">
      <w:pPr>
        <w:pStyle w:val="a8"/>
      </w:pPr>
      <w:r>
        <w:t>Pricing VIX Derivatives in Consistent and Log-VIX Models</w:t>
      </w:r>
    </w:p>
  </w:comment>
  <w:comment w:id="9" w:author="江磊 袁" w:date="2023-03-31T14:56:00Z" w:initials="江袁">
    <w:p w14:paraId="48A678A7" w14:textId="77777777" w:rsidR="0052203A" w:rsidRDefault="0052203A" w:rsidP="00A645F4">
      <w:pPr>
        <w:pStyle w:val="a8"/>
      </w:pPr>
      <w:r>
        <w:rPr>
          <w:rStyle w:val="a7"/>
        </w:rPr>
        <w:annotationRef/>
      </w:r>
      <w:r>
        <w:t>[1] Huang D ,  Schlag C ,  Shaliastovich I , et al. Volatility-of-Volatility Risk[J]. SSRN Electronic Journal, 2018.</w:t>
      </w:r>
    </w:p>
  </w:comment>
  <w:comment w:id="10" w:author="江磊 袁" w:date="2023-03-31T14:50:00Z" w:initials="江袁">
    <w:p w14:paraId="57B990D3" w14:textId="29799376" w:rsidR="008E74D7" w:rsidRDefault="008E74D7" w:rsidP="00A645F4">
      <w:pPr>
        <w:pStyle w:val="a8"/>
      </w:pPr>
      <w:r>
        <w:rPr>
          <w:rStyle w:val="a7"/>
        </w:rPr>
        <w:annotationRef/>
      </w:r>
      <w:r>
        <w:t>[1] Andreas K . Variance-of-Variance Risk Premium[J]. Review of Finance, 2017(4):4.</w:t>
      </w:r>
    </w:p>
  </w:comment>
  <w:comment w:id="11" w:author="江磊 袁" w:date="2023-04-03T12:33:00Z" w:initials="江袁">
    <w:p w14:paraId="71E4A38B" w14:textId="77777777" w:rsidR="001959F7" w:rsidRDefault="001959F7" w:rsidP="00A645F4">
      <w:pPr>
        <w:pStyle w:val="a8"/>
      </w:pPr>
      <w:r>
        <w:rPr>
          <w:rStyle w:val="a7"/>
        </w:rPr>
        <w:annotationRef/>
      </w:r>
      <w:r>
        <w:t>如果A1不显著，</w:t>
      </w:r>
    </w:p>
  </w:comment>
  <w:comment w:id="12" w:author="江磊 袁" w:date="2023-04-03T12:33:00Z" w:initials="江袁">
    <w:p w14:paraId="4331B9EA" w14:textId="77777777" w:rsidR="001959F7" w:rsidRDefault="001959F7" w:rsidP="00A645F4">
      <w:pPr>
        <w:pStyle w:val="a8"/>
      </w:pPr>
      <w:r>
        <w:rPr>
          <w:rStyle w:val="a7"/>
        </w:rPr>
        <w:annotationRef/>
      </w:r>
      <w:r>
        <w:t>一定要显著</w:t>
      </w:r>
    </w:p>
  </w:comment>
  <w:comment w:id="13" w:author="江磊 袁" w:date="2023-04-03T12:45:00Z" w:initials="江袁">
    <w:p w14:paraId="2A14DF57" w14:textId="77777777" w:rsidR="00C931DA" w:rsidRDefault="00C931DA" w:rsidP="00A645F4">
      <w:pPr>
        <w:pStyle w:val="a8"/>
      </w:pPr>
      <w:r>
        <w:rPr>
          <w:rStyle w:val="a7"/>
        </w:rPr>
        <w:annotationRef/>
      </w:r>
      <w:r>
        <w:t>10、15、20、25</w:t>
      </w:r>
    </w:p>
  </w:comment>
  <w:comment w:id="14" w:author="江磊 袁" w:date="2023-04-03T12:28:00Z" w:initials="江袁">
    <w:p w14:paraId="06BD4ED0" w14:textId="50EA1FB6" w:rsidR="002D6BBA" w:rsidRDefault="002D6BBA" w:rsidP="00A645F4">
      <w:pPr>
        <w:pStyle w:val="a8"/>
      </w:pPr>
      <w:r>
        <w:rPr>
          <w:rStyle w:val="a7"/>
        </w:rPr>
        <w:annotationRef/>
      </w:r>
      <w:r>
        <w:t>尽量把显著性变大</w:t>
      </w:r>
    </w:p>
  </w:comment>
  <w:comment w:id="15" w:author="江磊 袁" w:date="2023-04-03T12:37:00Z" w:initials="江袁">
    <w:p w14:paraId="21308591" w14:textId="77777777" w:rsidR="001959F7" w:rsidRDefault="001959F7" w:rsidP="00A645F4">
      <w:pPr>
        <w:pStyle w:val="a8"/>
      </w:pPr>
      <w:r>
        <w:rPr>
          <w:rStyle w:val="a7"/>
        </w:rPr>
        <w:annotationRef/>
      </w:r>
      <w:r>
        <w:t>可以改为20天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918029" w15:done="0"/>
  <w15:commentEx w15:paraId="22005A22" w15:done="0"/>
  <w15:commentEx w15:paraId="58B88536" w15:done="0"/>
  <w15:commentEx w15:paraId="0BE36548" w15:done="0"/>
  <w15:commentEx w15:paraId="521DF6EF" w15:done="0"/>
  <w15:commentEx w15:paraId="5625F921" w15:done="0"/>
  <w15:commentEx w15:paraId="31713DAB" w15:done="0"/>
  <w15:commentEx w15:paraId="535904EA" w15:done="0"/>
  <w15:commentEx w15:paraId="79AFBC05" w15:done="0"/>
  <w15:commentEx w15:paraId="48A678A7" w15:done="0"/>
  <w15:commentEx w15:paraId="57B990D3" w15:done="0"/>
  <w15:commentEx w15:paraId="71E4A38B" w15:done="0"/>
  <w15:commentEx w15:paraId="4331B9EA" w15:done="0"/>
  <w15:commentEx w15:paraId="2A14DF57" w15:done="0"/>
  <w15:commentEx w15:paraId="06BD4ED0" w15:done="0"/>
  <w15:commentEx w15:paraId="213085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17501" w16cex:dateUtc="2023-03-31T07:04:00Z"/>
  <w16cex:commentExtensible w16cex:durableId="27D174DC" w16cex:dateUtc="2023-03-31T07:03:00Z"/>
  <w16cex:commentExtensible w16cex:durableId="27D148E8" w16cex:dateUtc="2023-03-31T03:56:00Z"/>
  <w16cex:commentExtensible w16cex:durableId="27D1752D" w16cex:dateUtc="2023-03-31T07:05:00Z"/>
  <w16cex:commentExtensible w16cex:durableId="27D14C74" w16cex:dateUtc="2023-03-31T04:11:00Z"/>
  <w16cex:commentExtensible w16cex:durableId="27D16C7D" w16cex:dateUtc="2023-03-31T06:28:00Z"/>
  <w16cex:commentExtensible w16cex:durableId="27D16C96" w16cex:dateUtc="2023-03-31T06:28:00Z"/>
  <w16cex:commentExtensible w16cex:durableId="27D16CB7" w16cex:dateUtc="2023-03-31T06:29:00Z"/>
  <w16cex:commentExtensible w16cex:durableId="27D16F48" w16cex:dateUtc="2023-03-31T06:40:00Z"/>
  <w16cex:commentExtensible w16cex:durableId="27D17316" w16cex:dateUtc="2023-03-31T06:56:00Z"/>
  <w16cex:commentExtensible w16cex:durableId="27D171A9" w16cex:dateUtc="2023-03-31T06:50:00Z"/>
  <w16cex:commentExtensible w16cex:durableId="27D54610" w16cex:dateUtc="2023-04-03T04:33:00Z"/>
  <w16cex:commentExtensible w16cex:durableId="27D54621" w16cex:dateUtc="2023-04-03T04:33:00Z"/>
  <w16cex:commentExtensible w16cex:durableId="27D54905" w16cex:dateUtc="2023-04-03T04:45:00Z"/>
  <w16cex:commentExtensible w16cex:durableId="27D544E3" w16cex:dateUtc="2023-04-03T04:28:00Z"/>
  <w16cex:commentExtensible w16cex:durableId="27D54703" w16cex:dateUtc="2023-04-03T0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918029" w16cid:durableId="27D17501"/>
  <w16cid:commentId w16cid:paraId="22005A22" w16cid:durableId="27D174DC"/>
  <w16cid:commentId w16cid:paraId="58B88536" w16cid:durableId="27D148E8"/>
  <w16cid:commentId w16cid:paraId="0BE36548" w16cid:durableId="27D1752D"/>
  <w16cid:commentId w16cid:paraId="521DF6EF" w16cid:durableId="27D14C74"/>
  <w16cid:commentId w16cid:paraId="5625F921" w16cid:durableId="27D16C7D"/>
  <w16cid:commentId w16cid:paraId="31713DAB" w16cid:durableId="27D16C96"/>
  <w16cid:commentId w16cid:paraId="535904EA" w16cid:durableId="27D16CB7"/>
  <w16cid:commentId w16cid:paraId="79AFBC05" w16cid:durableId="27D16F48"/>
  <w16cid:commentId w16cid:paraId="48A678A7" w16cid:durableId="27D17316"/>
  <w16cid:commentId w16cid:paraId="57B990D3" w16cid:durableId="27D171A9"/>
  <w16cid:commentId w16cid:paraId="71E4A38B" w16cid:durableId="27D54610"/>
  <w16cid:commentId w16cid:paraId="4331B9EA" w16cid:durableId="27D54621"/>
  <w16cid:commentId w16cid:paraId="2A14DF57" w16cid:durableId="27D54905"/>
  <w16cid:commentId w16cid:paraId="06BD4ED0" w16cid:durableId="27D544E3"/>
  <w16cid:commentId w16cid:paraId="21308591" w16cid:durableId="27D547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72D94" w14:textId="77777777" w:rsidR="00893FF0" w:rsidRDefault="00893FF0" w:rsidP="00FC143F">
      <w:r>
        <w:separator/>
      </w:r>
    </w:p>
  </w:endnote>
  <w:endnote w:type="continuationSeparator" w:id="0">
    <w:p w14:paraId="695A73A1" w14:textId="77777777" w:rsidR="00893FF0" w:rsidRDefault="00893FF0" w:rsidP="00F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2DB21" w14:textId="77777777" w:rsidR="00893FF0" w:rsidRDefault="00893FF0" w:rsidP="00FC143F">
      <w:r>
        <w:separator/>
      </w:r>
    </w:p>
  </w:footnote>
  <w:footnote w:type="continuationSeparator" w:id="0">
    <w:p w14:paraId="310269CC" w14:textId="77777777" w:rsidR="00893FF0" w:rsidRDefault="00893FF0" w:rsidP="00FC143F">
      <w:r>
        <w:continuationSeparator/>
      </w:r>
    </w:p>
  </w:footnote>
  <w:footnote w:id="1">
    <w:p w14:paraId="2276F1A5" w14:textId="7349F0F1" w:rsidR="003B27BE" w:rsidRDefault="003B27BE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本文使用与B</w:t>
      </w:r>
      <w:r>
        <w:t>akish</w:t>
      </w:r>
      <w:r>
        <w:rPr>
          <w:rFonts w:hint="eastAsia"/>
        </w:rPr>
        <w:t>（</w:t>
      </w:r>
      <w:r>
        <w:t>2003</w:t>
      </w:r>
      <w:r>
        <w:rPr>
          <w:rFonts w:hint="eastAsia"/>
        </w:rPr>
        <w:t>）类似的风险溢价度量方式，将风险溢价定义为现实测度P与风险中性测度Q之间的差异。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AA0"/>
    <w:multiLevelType w:val="hybridMultilevel"/>
    <w:tmpl w:val="985EEF2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4B385E"/>
    <w:multiLevelType w:val="hybridMultilevel"/>
    <w:tmpl w:val="7258F2C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E36A34"/>
    <w:multiLevelType w:val="hybridMultilevel"/>
    <w:tmpl w:val="312E0C6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9F6B2C"/>
    <w:multiLevelType w:val="hybridMultilevel"/>
    <w:tmpl w:val="ABCE67D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18211D"/>
    <w:multiLevelType w:val="hybridMultilevel"/>
    <w:tmpl w:val="18EC7A3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2E27570"/>
    <w:multiLevelType w:val="hybridMultilevel"/>
    <w:tmpl w:val="483471F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9351B8C"/>
    <w:multiLevelType w:val="hybridMultilevel"/>
    <w:tmpl w:val="DF509D0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F534698"/>
    <w:multiLevelType w:val="hybridMultilevel"/>
    <w:tmpl w:val="0F90730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3CA4E89"/>
    <w:multiLevelType w:val="hybridMultilevel"/>
    <w:tmpl w:val="0578341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2D8370D"/>
    <w:multiLevelType w:val="hybridMultilevel"/>
    <w:tmpl w:val="06FAFDD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BFE068A"/>
    <w:multiLevelType w:val="hybridMultilevel"/>
    <w:tmpl w:val="2A16D5A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FC75B13"/>
    <w:multiLevelType w:val="hybridMultilevel"/>
    <w:tmpl w:val="A99EB46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5253013">
    <w:abstractNumId w:val="3"/>
  </w:num>
  <w:num w:numId="2" w16cid:durableId="396175550">
    <w:abstractNumId w:val="8"/>
  </w:num>
  <w:num w:numId="3" w16cid:durableId="1540822030">
    <w:abstractNumId w:val="1"/>
  </w:num>
  <w:num w:numId="4" w16cid:durableId="900754135">
    <w:abstractNumId w:val="10"/>
  </w:num>
  <w:num w:numId="5" w16cid:durableId="457527334">
    <w:abstractNumId w:val="2"/>
  </w:num>
  <w:num w:numId="6" w16cid:durableId="206260985">
    <w:abstractNumId w:val="11"/>
  </w:num>
  <w:num w:numId="7" w16cid:durableId="735054165">
    <w:abstractNumId w:val="4"/>
  </w:num>
  <w:num w:numId="8" w16cid:durableId="2110201551">
    <w:abstractNumId w:val="6"/>
  </w:num>
  <w:num w:numId="9" w16cid:durableId="1981184020">
    <w:abstractNumId w:val="9"/>
  </w:num>
  <w:num w:numId="10" w16cid:durableId="2074694034">
    <w:abstractNumId w:val="0"/>
  </w:num>
  <w:num w:numId="11" w16cid:durableId="567034688">
    <w:abstractNumId w:val="5"/>
  </w:num>
  <w:num w:numId="12" w16cid:durableId="102120368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江磊 袁">
    <w15:presenceInfo w15:providerId="Windows Live" w15:userId="74836ac9719271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readOnly" w:enforcement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05"/>
    <w:rsid w:val="0000537B"/>
    <w:rsid w:val="00011E5E"/>
    <w:rsid w:val="00083105"/>
    <w:rsid w:val="000B13BD"/>
    <w:rsid w:val="00152FB6"/>
    <w:rsid w:val="001610C4"/>
    <w:rsid w:val="00161A8C"/>
    <w:rsid w:val="001959F7"/>
    <w:rsid w:val="002171F2"/>
    <w:rsid w:val="002D4936"/>
    <w:rsid w:val="002D6BBA"/>
    <w:rsid w:val="00307177"/>
    <w:rsid w:val="00312DBE"/>
    <w:rsid w:val="00371ED7"/>
    <w:rsid w:val="003A473E"/>
    <w:rsid w:val="003B27BE"/>
    <w:rsid w:val="003E3EB5"/>
    <w:rsid w:val="003E7800"/>
    <w:rsid w:val="0052203A"/>
    <w:rsid w:val="00535093"/>
    <w:rsid w:val="00551B04"/>
    <w:rsid w:val="005B69B3"/>
    <w:rsid w:val="00691894"/>
    <w:rsid w:val="007302D4"/>
    <w:rsid w:val="007933B5"/>
    <w:rsid w:val="007F1C70"/>
    <w:rsid w:val="008171C9"/>
    <w:rsid w:val="0082054F"/>
    <w:rsid w:val="00856CAD"/>
    <w:rsid w:val="00876407"/>
    <w:rsid w:val="00881BE5"/>
    <w:rsid w:val="00884ED8"/>
    <w:rsid w:val="00893E8B"/>
    <w:rsid w:val="00893FF0"/>
    <w:rsid w:val="008C46BF"/>
    <w:rsid w:val="008E0B46"/>
    <w:rsid w:val="008E5E8B"/>
    <w:rsid w:val="008E74D7"/>
    <w:rsid w:val="00902A63"/>
    <w:rsid w:val="009B4783"/>
    <w:rsid w:val="009C472D"/>
    <w:rsid w:val="009D5213"/>
    <w:rsid w:val="009F4B6A"/>
    <w:rsid w:val="009F7278"/>
    <w:rsid w:val="00A14932"/>
    <w:rsid w:val="00A15827"/>
    <w:rsid w:val="00A645F4"/>
    <w:rsid w:val="00B57B06"/>
    <w:rsid w:val="00B90471"/>
    <w:rsid w:val="00BF1676"/>
    <w:rsid w:val="00C3061E"/>
    <w:rsid w:val="00C931DA"/>
    <w:rsid w:val="00CF6620"/>
    <w:rsid w:val="00D06D59"/>
    <w:rsid w:val="00D67DE4"/>
    <w:rsid w:val="00DA7852"/>
    <w:rsid w:val="00DE2726"/>
    <w:rsid w:val="00E0532A"/>
    <w:rsid w:val="00E0534F"/>
    <w:rsid w:val="00E6625F"/>
    <w:rsid w:val="00EA5B51"/>
    <w:rsid w:val="00EE3C37"/>
    <w:rsid w:val="00F019F8"/>
    <w:rsid w:val="00FA3823"/>
    <w:rsid w:val="00FC143F"/>
    <w:rsid w:val="00FC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C74CB"/>
  <w15:docId w15:val="{AABC6F2E-7D10-4D04-8D4E-F59678FB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F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2FB6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535093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535093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535093"/>
  </w:style>
  <w:style w:type="paragraph" w:styleId="aa">
    <w:name w:val="annotation subject"/>
    <w:basedOn w:val="a8"/>
    <w:next w:val="a8"/>
    <w:link w:val="ab"/>
    <w:uiPriority w:val="99"/>
    <w:semiHidden/>
    <w:unhideWhenUsed/>
    <w:rsid w:val="0053509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35093"/>
    <w:rPr>
      <w:b/>
      <w:bCs/>
    </w:rPr>
  </w:style>
  <w:style w:type="paragraph" w:styleId="ac">
    <w:name w:val="List Paragraph"/>
    <w:basedOn w:val="a"/>
    <w:uiPriority w:val="34"/>
    <w:qFormat/>
    <w:rsid w:val="00D06D5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06D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footnote text"/>
    <w:basedOn w:val="a"/>
    <w:link w:val="ae"/>
    <w:uiPriority w:val="99"/>
    <w:semiHidden/>
    <w:unhideWhenUsed/>
    <w:rsid w:val="003B27BE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3B27BE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3B27BE"/>
    <w:rPr>
      <w:vertAlign w:val="superscript"/>
    </w:rPr>
  </w:style>
  <w:style w:type="character" w:customStyle="1" w:styleId="cf01">
    <w:name w:val="cf01"/>
    <w:basedOn w:val="a0"/>
    <w:rsid w:val="008E74D7"/>
    <w:rPr>
      <w:rFonts w:ascii="Microsoft YaHei UI" w:eastAsia="Microsoft YaHei UI" w:hAnsi="Microsoft YaHei UI" w:hint="eastAsia"/>
      <w:sz w:val="18"/>
      <w:szCs w:val="18"/>
    </w:rPr>
  </w:style>
  <w:style w:type="character" w:styleId="af0">
    <w:name w:val="Placeholder Text"/>
    <w:basedOn w:val="a0"/>
    <w:uiPriority w:val="99"/>
    <w:semiHidden/>
    <w:rsid w:val="00884ED8"/>
    <w:rPr>
      <w:color w:val="808080"/>
    </w:rPr>
  </w:style>
  <w:style w:type="table" w:styleId="af1">
    <w:name w:val="Table Grid"/>
    <w:basedOn w:val="a1"/>
    <w:uiPriority w:val="39"/>
    <w:rsid w:val="009B4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E058D-6F80-414F-9DD8-D66AA296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1036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江磊 袁</dc:creator>
  <cp:keywords/>
  <dc:description/>
  <cp:lastModifiedBy>袁 江磊</cp:lastModifiedBy>
  <cp:revision>2</cp:revision>
  <dcterms:created xsi:type="dcterms:W3CDTF">2023-04-10T07:10:00Z</dcterms:created>
  <dcterms:modified xsi:type="dcterms:W3CDTF">2023-04-10T07:10:00Z</dcterms:modified>
</cp:coreProperties>
</file>