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FA9B" w14:textId="616C629B" w:rsidR="00F560E3" w:rsidRDefault="00F560E3" w:rsidP="00192F4D">
      <w:pPr>
        <w:pStyle w:val="1"/>
      </w:pPr>
      <w:r>
        <w:t>Mean-</w:t>
      </w:r>
      <w:proofErr w:type="gramStart"/>
      <w:r>
        <w:t>reversion</w:t>
      </w:r>
      <w:r w:rsidR="009F4943">
        <w:t xml:space="preserve"> </w:t>
      </w:r>
      <w:r>
        <w:t xml:space="preserve"> Cross</w:t>
      </w:r>
      <w:proofErr w:type="gramEnd"/>
      <w:r>
        <w:t xml:space="preserve">-section </w:t>
      </w:r>
    </w:p>
    <w:p w14:paraId="63A83E4A" w14:textId="38D753D6" w:rsidR="000230CE" w:rsidRDefault="00192F4D" w:rsidP="00192F4D">
      <w:pPr>
        <w:pStyle w:val="1"/>
      </w:pPr>
      <w:r>
        <w:rPr>
          <w:rFonts w:hint="eastAsia"/>
        </w:rPr>
        <w:t>摘要</w:t>
      </w:r>
    </w:p>
    <w:p w14:paraId="3BB92254" w14:textId="5E86CC4D" w:rsidR="00192F4D" w:rsidRDefault="00192F4D" w:rsidP="00192F4D">
      <w:pPr>
        <w:pStyle w:val="1"/>
      </w:pPr>
      <w:r>
        <w:rPr>
          <w:rFonts w:hint="eastAsia"/>
        </w:rPr>
        <w:t>引言</w:t>
      </w:r>
    </w:p>
    <w:p w14:paraId="74587D13" w14:textId="01C334FF" w:rsidR="00671D27" w:rsidRDefault="00671D27" w:rsidP="00671D27"/>
    <w:p w14:paraId="38D4CE1D" w14:textId="77777777" w:rsidR="00671D27" w:rsidRPr="00671D27" w:rsidRDefault="00671D27" w:rsidP="00671D27"/>
    <w:p w14:paraId="1F9A93B3" w14:textId="772D84B5" w:rsidR="0013791A" w:rsidRDefault="009F4943" w:rsidP="0013791A">
      <w:pPr>
        <w:rPr>
          <w:color w:val="FF0000"/>
        </w:rPr>
      </w:pPr>
      <w:r>
        <w:rPr>
          <w:rFonts w:hint="eastAsia"/>
          <w:color w:val="FF0000"/>
        </w:rPr>
        <w:t>1</w:t>
      </w:r>
      <w:r>
        <w:rPr>
          <w:color w:val="FF0000"/>
        </w:rPr>
        <w:t>.</w:t>
      </w:r>
      <w:r w:rsidR="0013791A" w:rsidRPr="0013791A">
        <w:rPr>
          <w:rFonts w:hint="eastAsia"/>
          <w:color w:val="FF0000"/>
        </w:rPr>
        <w:t>加入新的影响波动率回复的特有变量</w:t>
      </w:r>
    </w:p>
    <w:p w14:paraId="00B5D7B6" w14:textId="77777777" w:rsidR="00F40A15" w:rsidRDefault="00F40A15" w:rsidP="0013791A">
      <w:pPr>
        <w:rPr>
          <w:color w:val="FF0000"/>
        </w:rPr>
      </w:pPr>
    </w:p>
    <w:p w14:paraId="773948B7" w14:textId="5B028DED" w:rsidR="00BC2F25" w:rsidRDefault="00BC2F25" w:rsidP="0013791A">
      <w:pPr>
        <w:rPr>
          <w:color w:val="FF0000"/>
        </w:rPr>
      </w:pPr>
      <w:r>
        <w:rPr>
          <w:rFonts w:hint="eastAsia"/>
          <w:color w:val="FF0000"/>
        </w:rPr>
        <w:t>将</w:t>
      </w:r>
      <w:proofErr w:type="spellStart"/>
      <w:r>
        <w:rPr>
          <w:rFonts w:hint="eastAsia"/>
          <w:color w:val="FF0000"/>
        </w:rPr>
        <w:t>H</w:t>
      </w:r>
      <w:r>
        <w:rPr>
          <w:color w:val="FF0000"/>
        </w:rPr>
        <w:t>anBing</w:t>
      </w:r>
      <w:proofErr w:type="spellEnd"/>
      <w:r>
        <w:rPr>
          <w:rFonts w:hint="eastAsia"/>
          <w:color w:val="FF0000"/>
        </w:rPr>
        <w:t>中的财务特征依据波动率的实际情况进行精简和合并，可以考虑加入必要的适合波动率的特征</w:t>
      </w:r>
    </w:p>
    <w:p w14:paraId="0C0BA301" w14:textId="77777777" w:rsidR="00F40A15" w:rsidRPr="0013791A" w:rsidRDefault="00F40A15" w:rsidP="0013791A">
      <w:pPr>
        <w:rPr>
          <w:color w:val="FF0000"/>
        </w:rPr>
      </w:pPr>
    </w:p>
    <w:p w14:paraId="5A35DB31" w14:textId="3CF2FC82" w:rsidR="0013791A" w:rsidRDefault="0013791A" w:rsidP="0013791A">
      <w:pPr>
        <w:rPr>
          <w:color w:val="FF0000"/>
        </w:rPr>
      </w:pPr>
      <w:r w:rsidRPr="00EB6A9B">
        <w:rPr>
          <w:rFonts w:hint="eastAsia"/>
          <w:color w:val="FF0000"/>
        </w:rPr>
        <w:t>强调与</w:t>
      </w:r>
      <w:proofErr w:type="spellStart"/>
      <w:r w:rsidRPr="00EB6A9B">
        <w:rPr>
          <w:rFonts w:hint="eastAsia"/>
          <w:color w:val="FF0000"/>
        </w:rPr>
        <w:t>H</w:t>
      </w:r>
      <w:r w:rsidRPr="00EB6A9B">
        <w:rPr>
          <w:color w:val="FF0000"/>
        </w:rPr>
        <w:t>anBing</w:t>
      </w:r>
      <w:proofErr w:type="spellEnd"/>
      <w:r w:rsidRPr="00EB6A9B">
        <w:rPr>
          <w:rFonts w:hint="eastAsia"/>
          <w:color w:val="FF0000"/>
        </w:rPr>
        <w:t>只是结构相似，但研究问题不同</w:t>
      </w:r>
    </w:p>
    <w:p w14:paraId="50CDDF7E" w14:textId="77777777" w:rsidR="00EB6A9B" w:rsidRPr="00EB6A9B" w:rsidRDefault="00EB6A9B" w:rsidP="0013791A">
      <w:pPr>
        <w:rPr>
          <w:color w:val="FF0000"/>
        </w:rPr>
      </w:pPr>
    </w:p>
    <w:p w14:paraId="72EDD7E7" w14:textId="5B3AE518" w:rsidR="0013791A" w:rsidRDefault="0076551F" w:rsidP="0013791A">
      <w:pPr>
        <w:rPr>
          <w:color w:val="FF0000"/>
        </w:rPr>
      </w:pPr>
      <w:r w:rsidRPr="00EB6A9B">
        <w:rPr>
          <w:rFonts w:hint="eastAsia"/>
          <w:color w:val="FF0000"/>
        </w:rPr>
        <w:t>加入一个策略</w:t>
      </w:r>
      <w:r w:rsidR="00BC2F25" w:rsidRPr="00EB6A9B">
        <w:rPr>
          <w:rFonts w:hint="eastAsia"/>
          <w:color w:val="FF0000"/>
        </w:rPr>
        <w:t>：根据公司财务特征预判未来波动率的变化情况，获取额外利润</w:t>
      </w:r>
      <w:r w:rsidR="00EB6A9B">
        <w:rPr>
          <w:rFonts w:hint="eastAsia"/>
          <w:color w:val="FF0000"/>
        </w:rPr>
        <w:t>（加入</w:t>
      </w:r>
      <w:r w:rsidR="00B07E62">
        <w:rPr>
          <w:rFonts w:hint="eastAsia"/>
          <w:color w:val="FF0000"/>
        </w:rPr>
        <w:t>其他希腊字母的锁定</w:t>
      </w:r>
      <w:r w:rsidR="00EB6A9B">
        <w:rPr>
          <w:rFonts w:hint="eastAsia"/>
          <w:color w:val="FF0000"/>
        </w:rPr>
        <w:t>）</w:t>
      </w:r>
    </w:p>
    <w:p w14:paraId="354C8D79" w14:textId="54DC2775" w:rsidR="00EB6A9B" w:rsidRDefault="00EB6A9B" w:rsidP="0013791A">
      <w:pPr>
        <w:rPr>
          <w:color w:val="FF0000"/>
        </w:rPr>
      </w:pPr>
    </w:p>
    <w:p w14:paraId="1CE29ECE" w14:textId="42B3CD6F" w:rsidR="00EB6A9B" w:rsidRPr="00EB6A9B" w:rsidRDefault="00EB6A9B" w:rsidP="0013791A">
      <w:pPr>
        <w:rPr>
          <w:color w:val="FF0000"/>
        </w:rPr>
      </w:pPr>
      <w:r>
        <w:rPr>
          <w:rFonts w:hint="eastAsia"/>
          <w:color w:val="FF0000"/>
        </w:rPr>
        <w:t>只能做mea</w:t>
      </w:r>
      <w:r>
        <w:rPr>
          <w:color w:val="FF0000"/>
        </w:rPr>
        <w:t>n reversion(</w:t>
      </w:r>
      <w:r w:rsidR="00B07E62">
        <w:rPr>
          <w:rFonts w:hint="eastAsia"/>
          <w:color w:val="FF0000"/>
        </w:rPr>
        <w:t>波动率往上走，何时往下跳；而不是波动率往下走，何时往上走</w:t>
      </w:r>
      <w:r>
        <w:rPr>
          <w:color w:val="FF0000"/>
        </w:rPr>
        <w:t>)</w:t>
      </w:r>
    </w:p>
    <w:p w14:paraId="6080CB9C" w14:textId="2CEB1918" w:rsidR="0013791A" w:rsidRDefault="0013791A" w:rsidP="0013791A"/>
    <w:p w14:paraId="522E731A" w14:textId="14B18EAB" w:rsidR="00F40A15" w:rsidRPr="00671D27" w:rsidRDefault="00671D27" w:rsidP="0013791A">
      <w:pPr>
        <w:rPr>
          <w:color w:val="FF0000"/>
        </w:rPr>
      </w:pPr>
      <w:r w:rsidRPr="00671D27">
        <w:rPr>
          <w:rFonts w:hint="eastAsia"/>
          <w:color w:val="FF0000"/>
        </w:rPr>
        <w:t>考虑使用主成分分析来寻找潜在影响原因</w:t>
      </w:r>
    </w:p>
    <w:p w14:paraId="2CEBAE53" w14:textId="7ABAFBF3" w:rsidR="0013791A" w:rsidRDefault="0013791A" w:rsidP="0013791A"/>
    <w:p w14:paraId="7260A491" w14:textId="0096424B" w:rsidR="00671D27" w:rsidRDefault="00671D27" w:rsidP="0013791A"/>
    <w:p w14:paraId="1F79F537" w14:textId="24C0FAC7" w:rsidR="00671D27" w:rsidRDefault="00671D27" w:rsidP="0013791A"/>
    <w:p w14:paraId="1A616153" w14:textId="24DF71C0" w:rsidR="00671D27" w:rsidRDefault="00671D27" w:rsidP="0013791A"/>
    <w:p w14:paraId="2B1BA49C" w14:textId="77777777" w:rsidR="00671D27" w:rsidRPr="0013791A" w:rsidRDefault="00671D27" w:rsidP="0013791A"/>
    <w:p w14:paraId="4441F6B9" w14:textId="7EBBC47F" w:rsidR="0002421B" w:rsidRPr="004342AA" w:rsidRDefault="00A316B1" w:rsidP="004342AA">
      <w:pPr>
        <w:spacing w:line="360" w:lineRule="auto"/>
        <w:ind w:firstLineChars="200" w:firstLine="440"/>
        <w:rPr>
          <w:sz w:val="22"/>
          <w:szCs w:val="24"/>
        </w:rPr>
      </w:pPr>
      <w:r w:rsidRPr="004342AA">
        <w:rPr>
          <w:rFonts w:hint="eastAsia"/>
          <w:sz w:val="22"/>
          <w:szCs w:val="24"/>
        </w:rPr>
        <w:t>波动率不会无限上涨</w:t>
      </w:r>
      <w:r w:rsidR="000300BC" w:rsidRPr="004342AA">
        <w:rPr>
          <w:rFonts w:hint="eastAsia"/>
          <w:sz w:val="22"/>
          <w:szCs w:val="24"/>
        </w:rPr>
        <w:t>或</w:t>
      </w:r>
      <w:r w:rsidRPr="004342AA">
        <w:rPr>
          <w:rFonts w:hint="eastAsia"/>
          <w:sz w:val="22"/>
          <w:szCs w:val="24"/>
        </w:rPr>
        <w:t>下跌，总是在经历一定的运动后</w:t>
      </w:r>
      <w:r w:rsidR="00E9136C" w:rsidRPr="004342AA">
        <w:rPr>
          <w:rFonts w:hint="eastAsia"/>
          <w:sz w:val="22"/>
          <w:szCs w:val="24"/>
        </w:rPr>
        <w:t>反向回复</w:t>
      </w:r>
      <w:r w:rsidRPr="004342AA">
        <w:rPr>
          <w:rFonts w:hint="eastAsia"/>
          <w:sz w:val="22"/>
          <w:szCs w:val="24"/>
        </w:rPr>
        <w:t>。随机波动率模型使用Ornstein-</w:t>
      </w:r>
      <w:proofErr w:type="spellStart"/>
      <w:r w:rsidRPr="004342AA">
        <w:rPr>
          <w:rFonts w:hint="eastAsia"/>
          <w:sz w:val="22"/>
          <w:szCs w:val="24"/>
        </w:rPr>
        <w:t>Uhlenbeck</w:t>
      </w:r>
      <w:proofErr w:type="spellEnd"/>
      <w:r w:rsidRPr="004342AA">
        <w:rPr>
          <w:rFonts w:hint="eastAsia"/>
          <w:sz w:val="22"/>
          <w:szCs w:val="24"/>
        </w:rPr>
        <w:t>过程来描述波动率的运动形式（h</w:t>
      </w:r>
      <w:r w:rsidRPr="004342AA">
        <w:rPr>
          <w:sz w:val="22"/>
          <w:szCs w:val="24"/>
        </w:rPr>
        <w:t>eston,1993</w:t>
      </w:r>
      <w:r w:rsidRPr="004342AA">
        <w:rPr>
          <w:rFonts w:hint="eastAsia"/>
          <w:sz w:val="22"/>
          <w:szCs w:val="24"/>
        </w:rPr>
        <w:t>）。</w:t>
      </w:r>
      <w:r w:rsidR="00E9136C" w:rsidRPr="004342AA">
        <w:rPr>
          <w:rFonts w:hint="eastAsia"/>
          <w:sz w:val="22"/>
          <w:szCs w:val="24"/>
        </w:rPr>
        <w:t>其中，波动率总是围绕一个长期均值上下变化，并且下一时刻的波动率变化又取决于当前的波动率水平（</w:t>
      </w:r>
      <w:commentRangeStart w:id="0"/>
      <w:r w:rsidR="00E9136C" w:rsidRPr="004342AA">
        <w:rPr>
          <w:rFonts w:hint="eastAsia"/>
          <w:sz w:val="22"/>
          <w:szCs w:val="24"/>
        </w:rPr>
        <w:t>Yoo</w:t>
      </w:r>
      <w:r w:rsidR="00E9136C" w:rsidRPr="004342AA">
        <w:rPr>
          <w:sz w:val="22"/>
          <w:szCs w:val="24"/>
        </w:rPr>
        <w:t>n,2022</w:t>
      </w:r>
      <w:commentRangeEnd w:id="0"/>
      <w:r w:rsidR="00E67BBF">
        <w:rPr>
          <w:rStyle w:val="ad"/>
        </w:rPr>
        <w:commentReference w:id="0"/>
      </w:r>
      <w:r w:rsidR="00E9136C" w:rsidRPr="004342AA">
        <w:rPr>
          <w:rFonts w:hint="eastAsia"/>
          <w:sz w:val="22"/>
          <w:szCs w:val="24"/>
        </w:rPr>
        <w:t>）。Ornstein-</w:t>
      </w:r>
      <w:proofErr w:type="spellStart"/>
      <w:r w:rsidR="00E9136C" w:rsidRPr="004342AA">
        <w:rPr>
          <w:rFonts w:hint="eastAsia"/>
          <w:sz w:val="22"/>
          <w:szCs w:val="24"/>
        </w:rPr>
        <w:t>Uhlenbeck</w:t>
      </w:r>
      <w:proofErr w:type="spellEnd"/>
      <w:r w:rsidR="00E9136C" w:rsidRPr="004342AA">
        <w:rPr>
          <w:rFonts w:hint="eastAsia"/>
          <w:sz w:val="22"/>
          <w:szCs w:val="24"/>
        </w:rPr>
        <w:t>过程从数学上证明，波动率变化的概率分布期望与波动率水平和长期均值的差负相关，表现均值回复特征。</w:t>
      </w:r>
      <w:r w:rsidR="000300BC" w:rsidRPr="004342AA">
        <w:rPr>
          <w:rFonts w:hint="eastAsia"/>
          <w:sz w:val="22"/>
          <w:szCs w:val="24"/>
        </w:rPr>
        <w:t>波动率衡量资产的风险和金融市场的不确定性，然而这种不确定性又具有清晰的确定性数学统计规律。</w:t>
      </w:r>
    </w:p>
    <w:p w14:paraId="5251132E" w14:textId="0FA8A70A" w:rsidR="0002421B" w:rsidRPr="004342AA" w:rsidRDefault="000300BC" w:rsidP="004342AA">
      <w:pPr>
        <w:spacing w:line="360" w:lineRule="auto"/>
        <w:ind w:firstLineChars="200" w:firstLine="440"/>
        <w:rPr>
          <w:sz w:val="22"/>
          <w:szCs w:val="24"/>
        </w:rPr>
      </w:pPr>
      <w:r w:rsidRPr="004342AA">
        <w:rPr>
          <w:rFonts w:hint="eastAsia"/>
          <w:sz w:val="22"/>
          <w:szCs w:val="24"/>
        </w:rPr>
        <w:t>当前已经有文献研究了波动率的均值回复特征，它们研究重点聚焦于指数期权（</w:t>
      </w:r>
      <w:commentRangeStart w:id="1"/>
      <w:r w:rsidR="00793F09" w:rsidRPr="004342AA">
        <w:rPr>
          <w:rFonts w:hint="eastAsia"/>
          <w:sz w:val="22"/>
          <w:szCs w:val="24"/>
        </w:rPr>
        <w:t>Cao</w:t>
      </w:r>
      <w:r w:rsidR="00793F09" w:rsidRPr="004342AA">
        <w:rPr>
          <w:sz w:val="22"/>
          <w:szCs w:val="24"/>
        </w:rPr>
        <w:t>,2020</w:t>
      </w:r>
      <w:commentRangeEnd w:id="1"/>
      <w:r w:rsidR="00E67BBF">
        <w:rPr>
          <w:rStyle w:val="ad"/>
        </w:rPr>
        <w:commentReference w:id="1"/>
      </w:r>
      <w:r w:rsidR="00793F09" w:rsidRPr="004342AA">
        <w:rPr>
          <w:rFonts w:hint="eastAsia"/>
          <w:sz w:val="22"/>
          <w:szCs w:val="24"/>
        </w:rPr>
        <w:t>；</w:t>
      </w:r>
      <w:commentRangeStart w:id="2"/>
      <w:r w:rsidR="00793F09" w:rsidRPr="004342AA">
        <w:rPr>
          <w:rFonts w:hint="eastAsia"/>
          <w:sz w:val="22"/>
          <w:szCs w:val="24"/>
        </w:rPr>
        <w:t>C</w:t>
      </w:r>
      <w:r w:rsidR="00793F09" w:rsidRPr="004342AA">
        <w:rPr>
          <w:sz w:val="22"/>
          <w:szCs w:val="24"/>
        </w:rPr>
        <w:t>hiu,2019</w:t>
      </w:r>
      <w:commentRangeEnd w:id="2"/>
      <w:r w:rsidR="00E67BBF">
        <w:rPr>
          <w:rStyle w:val="ad"/>
        </w:rPr>
        <w:commentReference w:id="2"/>
      </w:r>
      <w:r w:rsidRPr="004342AA">
        <w:rPr>
          <w:rFonts w:hint="eastAsia"/>
          <w:sz w:val="22"/>
          <w:szCs w:val="24"/>
        </w:rPr>
        <w:t>）</w:t>
      </w:r>
      <w:r w:rsidR="00793F09" w:rsidRPr="004342AA">
        <w:rPr>
          <w:rFonts w:hint="eastAsia"/>
          <w:sz w:val="22"/>
          <w:szCs w:val="24"/>
        </w:rPr>
        <w:t>或大宗商品指数期权（</w:t>
      </w:r>
      <w:commentRangeStart w:id="3"/>
      <w:r w:rsidR="00793F09" w:rsidRPr="004342AA">
        <w:rPr>
          <w:rFonts w:hint="eastAsia"/>
          <w:sz w:val="22"/>
          <w:szCs w:val="24"/>
        </w:rPr>
        <w:t>Chi</w:t>
      </w:r>
      <w:r w:rsidR="00793F09" w:rsidRPr="004342AA">
        <w:rPr>
          <w:sz w:val="22"/>
          <w:szCs w:val="24"/>
        </w:rPr>
        <w:t>,2017</w:t>
      </w:r>
      <w:commentRangeEnd w:id="3"/>
      <w:r w:rsidR="00E67BBF">
        <w:rPr>
          <w:rStyle w:val="ad"/>
        </w:rPr>
        <w:commentReference w:id="3"/>
      </w:r>
      <w:r w:rsidR="00793F09" w:rsidRPr="004342AA">
        <w:rPr>
          <w:rFonts w:hint="eastAsia"/>
          <w:sz w:val="22"/>
          <w:szCs w:val="24"/>
        </w:rPr>
        <w:t>）</w:t>
      </w:r>
      <w:r w:rsidRPr="004342AA">
        <w:rPr>
          <w:rFonts w:hint="eastAsia"/>
          <w:sz w:val="22"/>
          <w:szCs w:val="24"/>
        </w:rPr>
        <w:t>。相比于个股期权，指数期</w:t>
      </w:r>
      <w:r w:rsidRPr="004342AA">
        <w:rPr>
          <w:rFonts w:hint="eastAsia"/>
          <w:sz w:val="22"/>
          <w:szCs w:val="24"/>
        </w:rPr>
        <w:lastRenderedPageBreak/>
        <w:t>权会消除诸多金融市场细节特征（</w:t>
      </w:r>
      <w:commentRangeStart w:id="4"/>
      <w:r w:rsidRPr="004342AA">
        <w:rPr>
          <w:rFonts w:hint="eastAsia"/>
          <w:sz w:val="22"/>
          <w:szCs w:val="24"/>
        </w:rPr>
        <w:t>Ba</w:t>
      </w:r>
      <w:r w:rsidRPr="004342AA">
        <w:rPr>
          <w:sz w:val="22"/>
          <w:szCs w:val="24"/>
        </w:rPr>
        <w:t>li,2014</w:t>
      </w:r>
      <w:commentRangeEnd w:id="4"/>
      <w:r w:rsidR="00E67BBF">
        <w:rPr>
          <w:rStyle w:val="ad"/>
        </w:rPr>
        <w:commentReference w:id="4"/>
      </w:r>
      <w:r w:rsidRPr="004342AA">
        <w:rPr>
          <w:rFonts w:hint="eastAsia"/>
          <w:sz w:val="22"/>
          <w:szCs w:val="24"/>
        </w:rPr>
        <w:t>）。</w:t>
      </w:r>
      <w:r w:rsidR="00E9136C" w:rsidRPr="004342AA">
        <w:rPr>
          <w:rFonts w:hint="eastAsia"/>
          <w:sz w:val="22"/>
          <w:szCs w:val="24"/>
        </w:rPr>
        <w:t>本文在时间横截面上，研究了个股期权的风险中性波动率的均值回复特征，包括均值回复强度、回复概率</w:t>
      </w:r>
      <w:r w:rsidR="00F5297F" w:rsidRPr="004342AA">
        <w:rPr>
          <w:rFonts w:hint="eastAsia"/>
          <w:sz w:val="22"/>
          <w:szCs w:val="24"/>
        </w:rPr>
        <w:t>等内容。</w:t>
      </w:r>
      <w:r w:rsidR="00B61015" w:rsidRPr="004342AA">
        <w:rPr>
          <w:rFonts w:hint="eastAsia"/>
          <w:sz w:val="22"/>
          <w:szCs w:val="24"/>
        </w:rPr>
        <w:t>在随机波动率的框架下，本文</w:t>
      </w:r>
      <w:r w:rsidR="00793F09" w:rsidRPr="004342AA">
        <w:rPr>
          <w:rFonts w:hint="eastAsia"/>
          <w:sz w:val="22"/>
          <w:szCs w:val="24"/>
        </w:rPr>
        <w:t>证明了波动率均值回复的必然性以及波动率回复概率和所需时间的关系</w:t>
      </w:r>
      <w:r w:rsidR="00B61015" w:rsidRPr="004342AA">
        <w:rPr>
          <w:rFonts w:hint="eastAsia"/>
          <w:sz w:val="22"/>
          <w:szCs w:val="24"/>
        </w:rPr>
        <w:t>。</w:t>
      </w:r>
      <w:r w:rsidR="00DD0AC9" w:rsidRPr="004342AA">
        <w:rPr>
          <w:rFonts w:hint="eastAsia"/>
          <w:sz w:val="22"/>
          <w:szCs w:val="24"/>
        </w:rPr>
        <w:t>个股期权与个股公司的财务特征具有紧密联系（</w:t>
      </w:r>
      <w:commentRangeStart w:id="5"/>
      <w:r w:rsidR="00DD0AC9" w:rsidRPr="004342AA">
        <w:rPr>
          <w:rFonts w:hint="eastAsia"/>
          <w:sz w:val="22"/>
          <w:szCs w:val="24"/>
        </w:rPr>
        <w:t>Bing</w:t>
      </w:r>
      <w:r w:rsidR="00DD0AC9" w:rsidRPr="004342AA">
        <w:rPr>
          <w:sz w:val="22"/>
          <w:szCs w:val="24"/>
        </w:rPr>
        <w:t xml:space="preserve"> Han,2022</w:t>
      </w:r>
      <w:commentRangeEnd w:id="5"/>
      <w:r w:rsidR="00E67BBF">
        <w:rPr>
          <w:rStyle w:val="ad"/>
        </w:rPr>
        <w:commentReference w:id="5"/>
      </w:r>
      <w:r w:rsidR="00DD0AC9" w:rsidRPr="004342AA">
        <w:rPr>
          <w:rFonts w:hint="eastAsia"/>
          <w:sz w:val="22"/>
          <w:szCs w:val="24"/>
        </w:rPr>
        <w:t>）</w:t>
      </w:r>
      <w:r w:rsidR="00BD0955" w:rsidRPr="004342AA">
        <w:rPr>
          <w:rFonts w:hint="eastAsia"/>
          <w:sz w:val="22"/>
          <w:szCs w:val="24"/>
        </w:rPr>
        <w:t>，</w:t>
      </w:r>
      <w:r w:rsidR="00DD0AC9" w:rsidRPr="004342AA">
        <w:rPr>
          <w:rFonts w:hint="eastAsia"/>
          <w:sz w:val="22"/>
          <w:szCs w:val="24"/>
        </w:rPr>
        <w:t>其中做空看涨期权的del</w:t>
      </w:r>
      <w:r w:rsidR="00DD0AC9" w:rsidRPr="004342AA">
        <w:rPr>
          <w:sz w:val="22"/>
          <w:szCs w:val="24"/>
        </w:rPr>
        <w:t>ta</w:t>
      </w:r>
      <w:r w:rsidR="00DD0AC9" w:rsidRPr="004342AA">
        <w:rPr>
          <w:rFonts w:hint="eastAsia"/>
          <w:sz w:val="22"/>
          <w:szCs w:val="24"/>
        </w:rPr>
        <w:t>对冲收益率与股价、盈利能力负相关，而与</w:t>
      </w:r>
      <w:r w:rsidR="00BD0955" w:rsidRPr="004342AA">
        <w:rPr>
          <w:rFonts w:hint="eastAsia"/>
          <w:sz w:val="22"/>
          <w:szCs w:val="24"/>
        </w:rPr>
        <w:t>现金流量、分析师预测偏差等负相关。但是它将研究目标仅仅聚集于期权本身的del</w:t>
      </w:r>
      <w:r w:rsidR="00BD0955" w:rsidRPr="004342AA">
        <w:rPr>
          <w:sz w:val="22"/>
          <w:szCs w:val="24"/>
        </w:rPr>
        <w:t>ta</w:t>
      </w:r>
      <w:r w:rsidR="00BD0955" w:rsidRPr="004342AA">
        <w:rPr>
          <w:rFonts w:hint="eastAsia"/>
          <w:sz w:val="22"/>
          <w:szCs w:val="24"/>
        </w:rPr>
        <w:t>对冲收益率，而d</w:t>
      </w:r>
      <w:r w:rsidR="00BD0955" w:rsidRPr="004342AA">
        <w:rPr>
          <w:sz w:val="22"/>
          <w:szCs w:val="24"/>
        </w:rPr>
        <w:t>elta</w:t>
      </w:r>
      <w:r w:rsidR="00BD0955" w:rsidRPr="004342AA">
        <w:rPr>
          <w:rFonts w:hint="eastAsia"/>
          <w:sz w:val="22"/>
          <w:szCs w:val="24"/>
        </w:rPr>
        <w:t>对冲收益率与波动率风险溢价负相关</w:t>
      </w:r>
      <w:r w:rsidR="00252B5E" w:rsidRPr="004342AA">
        <w:rPr>
          <w:rFonts w:hint="eastAsia"/>
          <w:sz w:val="22"/>
          <w:szCs w:val="24"/>
        </w:rPr>
        <w:t>（</w:t>
      </w:r>
      <w:commentRangeStart w:id="6"/>
      <w:r w:rsidR="00252B5E" w:rsidRPr="004342AA">
        <w:rPr>
          <w:rFonts w:hint="eastAsia"/>
          <w:sz w:val="22"/>
          <w:szCs w:val="24"/>
        </w:rPr>
        <w:t>Ba</w:t>
      </w:r>
      <w:r w:rsidR="00252B5E" w:rsidRPr="004342AA">
        <w:rPr>
          <w:sz w:val="22"/>
          <w:szCs w:val="24"/>
        </w:rPr>
        <w:t>kish,2003</w:t>
      </w:r>
      <w:commentRangeEnd w:id="6"/>
      <w:r w:rsidR="000A2A93">
        <w:rPr>
          <w:rStyle w:val="ad"/>
        </w:rPr>
        <w:commentReference w:id="6"/>
      </w:r>
      <w:r w:rsidR="00252B5E" w:rsidRPr="004342AA">
        <w:rPr>
          <w:rFonts w:hint="eastAsia"/>
          <w:sz w:val="22"/>
          <w:szCs w:val="24"/>
        </w:rPr>
        <w:t>）</w:t>
      </w:r>
      <w:r w:rsidR="00BD0955" w:rsidRPr="004342AA">
        <w:rPr>
          <w:rFonts w:hint="eastAsia"/>
          <w:sz w:val="22"/>
          <w:szCs w:val="24"/>
        </w:rPr>
        <w:t>，与波动率的波动率风险溢价正相关</w:t>
      </w:r>
      <w:r w:rsidR="00252B5E" w:rsidRPr="004342AA">
        <w:rPr>
          <w:rFonts w:hint="eastAsia"/>
          <w:sz w:val="22"/>
          <w:szCs w:val="24"/>
        </w:rPr>
        <w:t>（</w:t>
      </w:r>
      <w:commentRangeStart w:id="7"/>
      <w:r w:rsidR="00252B5E" w:rsidRPr="004342AA">
        <w:rPr>
          <w:rFonts w:hint="eastAsia"/>
          <w:sz w:val="22"/>
          <w:szCs w:val="24"/>
        </w:rPr>
        <w:t>D</w:t>
      </w:r>
      <w:r w:rsidR="00252B5E" w:rsidRPr="004342AA">
        <w:rPr>
          <w:sz w:val="22"/>
          <w:szCs w:val="24"/>
        </w:rPr>
        <w:t>arien,2018</w:t>
      </w:r>
      <w:commentRangeEnd w:id="7"/>
      <w:r w:rsidR="00252B5E" w:rsidRPr="004342AA">
        <w:rPr>
          <w:rStyle w:val="ad"/>
          <w:sz w:val="22"/>
          <w:szCs w:val="22"/>
        </w:rPr>
        <w:commentReference w:id="7"/>
      </w:r>
      <w:r w:rsidR="00252B5E" w:rsidRPr="004342AA">
        <w:rPr>
          <w:rFonts w:hint="eastAsia"/>
          <w:sz w:val="22"/>
          <w:szCs w:val="24"/>
        </w:rPr>
        <w:t>）</w:t>
      </w:r>
      <w:r w:rsidR="00BD0955" w:rsidRPr="004342AA">
        <w:rPr>
          <w:rFonts w:hint="eastAsia"/>
          <w:sz w:val="22"/>
          <w:szCs w:val="24"/>
        </w:rPr>
        <w:t>。本文重点参考了这篇论文的研究方法，在类似的个股财务分析框架中</w:t>
      </w:r>
      <w:r w:rsidR="00252B5E" w:rsidRPr="004342AA">
        <w:rPr>
          <w:rFonts w:hint="eastAsia"/>
          <w:sz w:val="22"/>
          <w:szCs w:val="24"/>
        </w:rPr>
        <w:t>将个股期权划分为不同的分位数组合，</w:t>
      </w:r>
      <w:r w:rsidR="00BD0955" w:rsidRPr="004342AA">
        <w:rPr>
          <w:rFonts w:hint="eastAsia"/>
          <w:sz w:val="22"/>
          <w:szCs w:val="24"/>
        </w:rPr>
        <w:t>扩展研究了波动率的均值回复特征</w:t>
      </w:r>
      <w:r w:rsidR="006200DB">
        <w:rPr>
          <w:rFonts w:hint="eastAsia"/>
          <w:sz w:val="22"/>
          <w:szCs w:val="24"/>
        </w:rPr>
        <w:t>的内容</w:t>
      </w:r>
      <w:r w:rsidR="00BD0955" w:rsidRPr="004342AA">
        <w:rPr>
          <w:rFonts w:hint="eastAsia"/>
          <w:sz w:val="22"/>
          <w:szCs w:val="24"/>
        </w:rPr>
        <w:t>。</w:t>
      </w:r>
    </w:p>
    <w:p w14:paraId="05B622E9" w14:textId="57C1B2D6" w:rsidR="00252B5E" w:rsidRDefault="00252B5E" w:rsidP="004342AA">
      <w:pPr>
        <w:spacing w:line="360" w:lineRule="auto"/>
        <w:ind w:firstLineChars="200" w:firstLine="440"/>
        <w:rPr>
          <w:sz w:val="22"/>
          <w:szCs w:val="24"/>
        </w:rPr>
      </w:pPr>
      <w:r w:rsidRPr="004342AA">
        <w:rPr>
          <w:rFonts w:hint="eastAsia"/>
          <w:sz w:val="22"/>
          <w:szCs w:val="24"/>
        </w:rPr>
        <w:t>本文研究发现，在个股期权的时间横截面上隐含波动率均表现出显著的均值回复特征，并且均值回复强度在各个财务框架组合中表现有所差异。</w:t>
      </w:r>
      <w:r w:rsidR="00B61015" w:rsidRPr="004342AA">
        <w:rPr>
          <w:rFonts w:hint="eastAsia"/>
          <w:sz w:val="22"/>
          <w:szCs w:val="24"/>
        </w:rPr>
        <w:t>本文使用现金流量方差描述个股的盈利风险程度（</w:t>
      </w:r>
      <w:commentRangeStart w:id="8"/>
      <w:r w:rsidR="00B61015" w:rsidRPr="004342AA">
        <w:rPr>
          <w:rFonts w:hint="eastAsia"/>
          <w:sz w:val="22"/>
          <w:szCs w:val="24"/>
        </w:rPr>
        <w:t>Ha</w:t>
      </w:r>
      <w:r w:rsidR="00B61015" w:rsidRPr="004342AA">
        <w:rPr>
          <w:sz w:val="22"/>
          <w:szCs w:val="24"/>
        </w:rPr>
        <w:t>ugena</w:t>
      </w:r>
      <w:r w:rsidR="00B61015" w:rsidRPr="004342AA">
        <w:rPr>
          <w:rFonts w:hint="eastAsia"/>
          <w:sz w:val="22"/>
          <w:szCs w:val="24"/>
        </w:rPr>
        <w:t>,</w:t>
      </w:r>
      <w:r w:rsidR="00B61015" w:rsidRPr="004342AA">
        <w:rPr>
          <w:sz w:val="22"/>
          <w:szCs w:val="24"/>
        </w:rPr>
        <w:t>1996</w:t>
      </w:r>
      <w:commentRangeEnd w:id="8"/>
      <w:r w:rsidR="00B61015" w:rsidRPr="004342AA">
        <w:rPr>
          <w:rStyle w:val="ad"/>
          <w:sz w:val="22"/>
          <w:szCs w:val="22"/>
        </w:rPr>
        <w:commentReference w:id="8"/>
      </w:r>
      <w:r w:rsidR="00B61015" w:rsidRPr="004342AA">
        <w:rPr>
          <w:rFonts w:hint="eastAsia"/>
          <w:sz w:val="22"/>
          <w:szCs w:val="24"/>
        </w:rPr>
        <w:t>），发现经营风险较高的行业具有较强的均值回复强度，即高风险个股期权的隐含波动率往往会在短期内实现较大的均值回复程度。</w:t>
      </w:r>
      <w:r w:rsidR="00277548" w:rsidRPr="004342AA">
        <w:rPr>
          <w:rFonts w:hint="eastAsia"/>
          <w:sz w:val="22"/>
          <w:szCs w:val="24"/>
        </w:rPr>
        <w:t>同时本文将个股期权按照行业类别划分为不同的组合进行测试，研究发现以苹果和特斯拉等为代表的科技行业波动</w:t>
      </w:r>
      <w:proofErr w:type="gramStart"/>
      <w:r w:rsidR="00277548" w:rsidRPr="004342AA">
        <w:rPr>
          <w:rFonts w:hint="eastAsia"/>
          <w:sz w:val="22"/>
          <w:szCs w:val="24"/>
        </w:rPr>
        <w:t>率具有</w:t>
      </w:r>
      <w:proofErr w:type="gramEnd"/>
      <w:r w:rsidR="00277548" w:rsidRPr="004342AA">
        <w:rPr>
          <w:rFonts w:hint="eastAsia"/>
          <w:sz w:val="22"/>
          <w:szCs w:val="24"/>
        </w:rPr>
        <w:t>更强的均值回复强度，</w:t>
      </w:r>
      <w:r w:rsidR="004342AA" w:rsidRPr="004342AA">
        <w:rPr>
          <w:rFonts w:hint="eastAsia"/>
          <w:sz w:val="22"/>
          <w:szCs w:val="24"/>
        </w:rPr>
        <w:t>而第一产业的行业波动率均值回复程度较低甚至无明显均值回复。总之，波动率的回复特征与</w:t>
      </w:r>
      <w:r w:rsidR="004342AA">
        <w:rPr>
          <w:rFonts w:hint="eastAsia"/>
          <w:sz w:val="22"/>
          <w:szCs w:val="24"/>
        </w:rPr>
        <w:t>个股的盈利能力、资产规模、现金流动能力负相关，而与负债水平、</w:t>
      </w:r>
      <w:r w:rsidR="006200DB">
        <w:rPr>
          <w:rFonts w:hint="eastAsia"/>
          <w:sz w:val="22"/>
          <w:szCs w:val="24"/>
        </w:rPr>
        <w:t>资产负债比率</w:t>
      </w:r>
      <w:r w:rsidR="004342AA">
        <w:rPr>
          <w:rFonts w:hint="eastAsia"/>
          <w:sz w:val="22"/>
          <w:szCs w:val="24"/>
        </w:rPr>
        <w:t>等负相关。</w:t>
      </w:r>
    </w:p>
    <w:p w14:paraId="76E49935" w14:textId="48668A4E" w:rsidR="004342AA" w:rsidRDefault="004342AA" w:rsidP="004342AA">
      <w:pPr>
        <w:spacing w:line="360" w:lineRule="auto"/>
        <w:ind w:firstLineChars="200" w:firstLine="440"/>
        <w:rPr>
          <w:sz w:val="22"/>
          <w:szCs w:val="24"/>
        </w:rPr>
      </w:pPr>
      <w:r>
        <w:rPr>
          <w:rFonts w:hint="eastAsia"/>
          <w:sz w:val="22"/>
          <w:szCs w:val="24"/>
        </w:rPr>
        <w:t>并且，本文在个股期权的横截面上研究了均值回复概率与所需时间之间的关系。本文使用Log</w:t>
      </w:r>
      <w:r>
        <w:rPr>
          <w:sz w:val="22"/>
          <w:szCs w:val="24"/>
        </w:rPr>
        <w:t>it</w:t>
      </w:r>
      <w:r>
        <w:rPr>
          <w:rFonts w:hint="eastAsia"/>
          <w:sz w:val="22"/>
          <w:szCs w:val="24"/>
        </w:rPr>
        <w:t>模型框架估计均值回复概率的期望值，研究发现：第一，波动率的单向时间变化越久，均值回复</w:t>
      </w:r>
      <w:r w:rsidR="006200DB">
        <w:rPr>
          <w:rFonts w:hint="eastAsia"/>
          <w:sz w:val="22"/>
          <w:szCs w:val="24"/>
        </w:rPr>
        <w:t>概率越低且</w:t>
      </w:r>
      <w:r>
        <w:rPr>
          <w:rFonts w:hint="eastAsia"/>
          <w:sz w:val="22"/>
          <w:szCs w:val="24"/>
        </w:rPr>
        <w:t>所需时间越长；</w:t>
      </w:r>
      <w:r w:rsidR="006200DB">
        <w:rPr>
          <w:rFonts w:hint="eastAsia"/>
          <w:sz w:val="22"/>
          <w:szCs w:val="24"/>
        </w:rPr>
        <w:t>第二，波动率的单向变化程度越高，均值回复概率越大且所需时间越短；第三，波动率的单向变化越快，均值回复概率会随着时间的延长而降低。而在依据财务类别分组的框架下，盈利能力强、资产规模大、资金流动能力强的个股期权隐含波动率往往具有较低的均值回复概率，而经营风险高、负债水平高的行业往往具有较高的均值回复概率。</w:t>
      </w:r>
    </w:p>
    <w:p w14:paraId="20D4B3AC" w14:textId="411F7555" w:rsidR="006200DB" w:rsidRPr="004342AA" w:rsidRDefault="00380FFB" w:rsidP="004342AA">
      <w:pPr>
        <w:spacing w:line="360" w:lineRule="auto"/>
        <w:ind w:firstLineChars="200" w:firstLine="440"/>
        <w:rPr>
          <w:sz w:val="22"/>
          <w:szCs w:val="24"/>
        </w:rPr>
      </w:pPr>
      <w:r>
        <w:rPr>
          <w:rFonts w:hint="eastAsia"/>
          <w:sz w:val="22"/>
          <w:szCs w:val="24"/>
        </w:rPr>
        <w:t>考虑到期权市场同样存在羊群效应（</w:t>
      </w:r>
      <w:commentRangeStart w:id="9"/>
      <w:r w:rsidRPr="00380FFB">
        <w:rPr>
          <w:sz w:val="22"/>
          <w:szCs w:val="24"/>
        </w:rPr>
        <w:t>Bernales</w:t>
      </w:r>
      <w:r>
        <w:rPr>
          <w:rFonts w:hint="eastAsia"/>
          <w:sz w:val="22"/>
          <w:szCs w:val="24"/>
        </w:rPr>
        <w:t>，2</w:t>
      </w:r>
      <w:r>
        <w:rPr>
          <w:sz w:val="22"/>
          <w:szCs w:val="24"/>
        </w:rPr>
        <w:t>016</w:t>
      </w:r>
      <w:commentRangeEnd w:id="9"/>
      <w:r w:rsidR="00424FAC">
        <w:rPr>
          <w:rStyle w:val="ad"/>
        </w:rPr>
        <w:commentReference w:id="9"/>
      </w:r>
      <w:r>
        <w:rPr>
          <w:rFonts w:hint="eastAsia"/>
          <w:sz w:val="22"/>
          <w:szCs w:val="24"/>
        </w:rPr>
        <w:t>），个股期权的隐含波动率的均值回复特征可能会受到波动率持续的影响。本文以历史波动率持续作为条件前提，研究发现：当波动率持续较长时，波动率的均值回复强度会变高，而均值回复概率会下降；当波动率持续较短时，一切相反。</w:t>
      </w:r>
      <w:r w:rsidR="00424FAC">
        <w:rPr>
          <w:rFonts w:hint="eastAsia"/>
          <w:sz w:val="22"/>
          <w:szCs w:val="24"/>
        </w:rPr>
        <w:t>由于期权市场和个股市场的分歧（</w:t>
      </w:r>
      <w:commentRangeStart w:id="10"/>
      <w:r w:rsidR="00424FAC">
        <w:rPr>
          <w:rFonts w:hint="eastAsia"/>
          <w:sz w:val="22"/>
          <w:szCs w:val="24"/>
        </w:rPr>
        <w:t>Ru</w:t>
      </w:r>
      <w:r w:rsidR="00424FAC">
        <w:rPr>
          <w:sz w:val="22"/>
          <w:szCs w:val="24"/>
        </w:rPr>
        <w:t>slan</w:t>
      </w:r>
      <w:r w:rsidR="00424FAC">
        <w:rPr>
          <w:rFonts w:hint="eastAsia"/>
          <w:sz w:val="22"/>
          <w:szCs w:val="24"/>
        </w:rPr>
        <w:t>，2</w:t>
      </w:r>
      <w:r w:rsidR="00424FAC">
        <w:rPr>
          <w:sz w:val="22"/>
          <w:szCs w:val="24"/>
        </w:rPr>
        <w:t>019</w:t>
      </w:r>
      <w:commentRangeEnd w:id="10"/>
      <w:r w:rsidR="00424FAC">
        <w:rPr>
          <w:rStyle w:val="ad"/>
        </w:rPr>
        <w:commentReference w:id="10"/>
      </w:r>
      <w:r w:rsidR="00424FAC">
        <w:rPr>
          <w:rFonts w:hint="eastAsia"/>
          <w:sz w:val="22"/>
          <w:szCs w:val="24"/>
        </w:rPr>
        <w:t>），</w:t>
      </w:r>
      <w:r>
        <w:rPr>
          <w:rFonts w:hint="eastAsia"/>
          <w:sz w:val="22"/>
          <w:szCs w:val="24"/>
        </w:rPr>
        <w:t>本文认为波动率持续会改变</w:t>
      </w:r>
      <w:r w:rsidR="00424FAC">
        <w:rPr>
          <w:rFonts w:hint="eastAsia"/>
          <w:sz w:val="22"/>
          <w:szCs w:val="24"/>
        </w:rPr>
        <w:t>投资者的心里预期，甚至长期的波动率持续会改变整个金融市场的短期固定参数，进而使得波动率均值回复不再出现。同时，考虑到波</w:t>
      </w:r>
      <w:r w:rsidR="00424FAC">
        <w:rPr>
          <w:rFonts w:hint="eastAsia"/>
          <w:sz w:val="22"/>
          <w:szCs w:val="24"/>
        </w:rPr>
        <w:lastRenderedPageBreak/>
        <w:t>动率聚集现象以及由此带来的市场环境差别</w:t>
      </w:r>
      <w:r w:rsidR="00CB040D">
        <w:rPr>
          <w:rFonts w:hint="eastAsia"/>
          <w:sz w:val="22"/>
          <w:szCs w:val="24"/>
        </w:rPr>
        <w:t>（</w:t>
      </w:r>
      <w:commentRangeStart w:id="11"/>
      <w:r w:rsidR="00CB040D">
        <w:rPr>
          <w:rFonts w:hint="eastAsia"/>
          <w:sz w:val="22"/>
          <w:szCs w:val="24"/>
        </w:rPr>
        <w:t>Pear</w:t>
      </w:r>
      <w:r w:rsidR="00CB040D">
        <w:rPr>
          <w:sz w:val="22"/>
          <w:szCs w:val="24"/>
        </w:rPr>
        <w:t>son,2020</w:t>
      </w:r>
      <w:commentRangeEnd w:id="11"/>
      <w:r w:rsidR="00CB040D">
        <w:rPr>
          <w:rStyle w:val="ad"/>
        </w:rPr>
        <w:commentReference w:id="11"/>
      </w:r>
      <w:r w:rsidR="00CB040D">
        <w:rPr>
          <w:rFonts w:hint="eastAsia"/>
          <w:sz w:val="22"/>
          <w:szCs w:val="24"/>
        </w:rPr>
        <w:t>）</w:t>
      </w:r>
      <w:r w:rsidR="00424FAC">
        <w:rPr>
          <w:rFonts w:hint="eastAsia"/>
          <w:sz w:val="22"/>
          <w:szCs w:val="24"/>
        </w:rPr>
        <w:t>，本文分别研究了高波动市场和平稳市场中的均值回复现象，发现市场越平稳，波动率均值回复强度越</w:t>
      </w:r>
      <w:proofErr w:type="gramStart"/>
      <w:r w:rsidR="00424FAC">
        <w:rPr>
          <w:rFonts w:hint="eastAsia"/>
          <w:sz w:val="22"/>
          <w:szCs w:val="24"/>
        </w:rPr>
        <w:t>弱甚至</w:t>
      </w:r>
      <w:proofErr w:type="gramEnd"/>
      <w:r w:rsidR="00424FAC">
        <w:rPr>
          <w:rFonts w:hint="eastAsia"/>
          <w:sz w:val="22"/>
          <w:szCs w:val="24"/>
        </w:rPr>
        <w:t>不存在。</w:t>
      </w:r>
    </w:p>
    <w:p w14:paraId="07C99410" w14:textId="4083BF95" w:rsidR="0002421B" w:rsidRDefault="00CB040D" w:rsidP="00E67BBF">
      <w:pPr>
        <w:spacing w:line="360" w:lineRule="auto"/>
      </w:pPr>
      <w:r>
        <w:tab/>
      </w:r>
      <w:r>
        <w:rPr>
          <w:rFonts w:hint="eastAsia"/>
        </w:rPr>
        <w:t>最后，本文探讨了个股期权均值回复差异形成的原因。期权市场同样存在供需关系（</w:t>
      </w:r>
      <w:commentRangeStart w:id="12"/>
      <w:r>
        <w:rPr>
          <w:rFonts w:hint="eastAsia"/>
        </w:rPr>
        <w:t>Cheng</w:t>
      </w:r>
      <w:r>
        <w:t>,2019</w:t>
      </w:r>
      <w:commentRangeEnd w:id="12"/>
      <w:r>
        <w:rPr>
          <w:rStyle w:val="ad"/>
        </w:rPr>
        <w:commentReference w:id="12"/>
      </w:r>
      <w:r>
        <w:rPr>
          <w:rFonts w:hint="eastAsia"/>
        </w:rPr>
        <w:t>），投资者的对</w:t>
      </w:r>
      <w:proofErr w:type="gramStart"/>
      <w:r>
        <w:rPr>
          <w:rFonts w:hint="eastAsia"/>
        </w:rPr>
        <w:t>冲成本</w:t>
      </w:r>
      <w:proofErr w:type="gramEnd"/>
      <w:r>
        <w:rPr>
          <w:rFonts w:hint="eastAsia"/>
        </w:rPr>
        <w:t>会随着波动率的上升而上升，</w:t>
      </w:r>
      <w:proofErr w:type="gramStart"/>
      <w:r>
        <w:rPr>
          <w:rFonts w:hint="eastAsia"/>
        </w:rPr>
        <w:t>进而其对冲需求</w:t>
      </w:r>
      <w:proofErr w:type="gramEnd"/>
      <w:r>
        <w:rPr>
          <w:rFonts w:hint="eastAsia"/>
        </w:rPr>
        <w:t>会下降。本文研究了期权购买压力与</w:t>
      </w:r>
      <w:r w:rsidR="00E67BBF">
        <w:rPr>
          <w:rFonts w:hint="eastAsia"/>
        </w:rPr>
        <w:t>均值回复强度之间的关系，发现当波动率上升时，均值回复强度会增加。并且，本文在4/</w:t>
      </w:r>
      <w:r w:rsidR="00E67BBF">
        <w:t xml:space="preserve">2 </w:t>
      </w:r>
      <w:proofErr w:type="spellStart"/>
      <w:r w:rsidR="00E67BBF">
        <w:rPr>
          <w:rFonts w:hint="eastAsia"/>
        </w:rPr>
        <w:t>hest</w:t>
      </w:r>
      <w:r w:rsidR="00E67BBF">
        <w:t>on</w:t>
      </w:r>
      <w:proofErr w:type="spellEnd"/>
      <w:r w:rsidR="00E67BBF">
        <w:rPr>
          <w:rFonts w:hint="eastAsia"/>
        </w:rPr>
        <w:t>模型框架</w:t>
      </w:r>
      <w:proofErr w:type="gramStart"/>
      <w:r w:rsidR="00E67BBF">
        <w:rPr>
          <w:rFonts w:hint="eastAsia"/>
        </w:rPr>
        <w:t>下估计</w:t>
      </w:r>
      <w:proofErr w:type="gramEnd"/>
      <w:r w:rsidR="00E67BBF">
        <w:rPr>
          <w:rFonts w:hint="eastAsia"/>
        </w:rPr>
        <w:t>了波动</w:t>
      </w:r>
      <w:proofErr w:type="gramStart"/>
      <w:r w:rsidR="00E67BBF">
        <w:rPr>
          <w:rFonts w:hint="eastAsia"/>
        </w:rPr>
        <w:t>率回归</w:t>
      </w:r>
      <w:proofErr w:type="gramEnd"/>
      <w:r w:rsidR="00E67BBF">
        <w:rPr>
          <w:rFonts w:hint="eastAsia"/>
        </w:rPr>
        <w:t>速度和波动率长期均值（</w:t>
      </w:r>
      <w:commentRangeStart w:id="13"/>
      <w:r w:rsidR="00E67BBF">
        <w:rPr>
          <w:rFonts w:hint="eastAsia"/>
        </w:rPr>
        <w:t>M</w:t>
      </w:r>
      <w:r w:rsidR="00E67BBF">
        <w:t>artino</w:t>
      </w:r>
      <w:commentRangeEnd w:id="13"/>
      <w:r w:rsidR="00E67BBF">
        <w:t>,2017</w:t>
      </w:r>
      <w:r w:rsidR="00E67BBF">
        <w:rPr>
          <w:rStyle w:val="ad"/>
        </w:rPr>
        <w:commentReference w:id="13"/>
      </w:r>
      <w:r w:rsidR="00E67BBF">
        <w:rPr>
          <w:rFonts w:hint="eastAsia"/>
        </w:rPr>
        <w:t>），用其精确估值进一步验证了该结论。</w:t>
      </w:r>
    </w:p>
    <w:p w14:paraId="0B377603" w14:textId="69B708AF" w:rsidR="0002421B" w:rsidRDefault="0002421B" w:rsidP="00923068"/>
    <w:p w14:paraId="1654915A" w14:textId="4558D5AE" w:rsidR="00A316B1" w:rsidRDefault="00A316B1" w:rsidP="00923068"/>
    <w:p w14:paraId="7C0A3F96" w14:textId="3036535B" w:rsidR="00A316B1" w:rsidRPr="00E67BBF" w:rsidRDefault="00A316B1" w:rsidP="00923068"/>
    <w:p w14:paraId="2F289942" w14:textId="438C5297" w:rsidR="00A316B1" w:rsidRDefault="00A316B1" w:rsidP="00923068"/>
    <w:p w14:paraId="79494DFC" w14:textId="0C41A24E" w:rsidR="00A316B1" w:rsidRDefault="00A316B1" w:rsidP="00923068"/>
    <w:p w14:paraId="4CFC3139" w14:textId="45E3DB3A" w:rsidR="00A316B1" w:rsidRDefault="00A316B1" w:rsidP="00923068"/>
    <w:p w14:paraId="515E2B71" w14:textId="24B5730E" w:rsidR="00CB040D" w:rsidRDefault="00CB040D" w:rsidP="00923068"/>
    <w:p w14:paraId="600BB43B" w14:textId="3C0E1499" w:rsidR="00CB040D" w:rsidRDefault="00CB040D" w:rsidP="00923068"/>
    <w:p w14:paraId="03391145" w14:textId="3F5835D2" w:rsidR="00CB040D" w:rsidRDefault="00CB040D" w:rsidP="00923068"/>
    <w:p w14:paraId="36158425" w14:textId="727B5B87" w:rsidR="00CB040D" w:rsidRDefault="00CB040D" w:rsidP="00923068"/>
    <w:p w14:paraId="01732CF4" w14:textId="3A903720" w:rsidR="00CB040D" w:rsidRDefault="00CB040D" w:rsidP="00923068"/>
    <w:p w14:paraId="499FA017" w14:textId="0BCD7304" w:rsidR="00CB040D" w:rsidRDefault="00CB040D" w:rsidP="00923068"/>
    <w:p w14:paraId="63C22011" w14:textId="29550E2F" w:rsidR="00CB040D" w:rsidRDefault="00CB040D" w:rsidP="00923068"/>
    <w:p w14:paraId="3F0DEB07" w14:textId="13FE501A" w:rsidR="00CB040D" w:rsidRDefault="00CB040D" w:rsidP="00923068"/>
    <w:p w14:paraId="1E539FC8" w14:textId="09258730" w:rsidR="00CB040D" w:rsidRDefault="00CB040D" w:rsidP="00923068"/>
    <w:p w14:paraId="7FBFF382" w14:textId="01EDAF7A" w:rsidR="00CB040D" w:rsidRDefault="00CB040D" w:rsidP="00923068"/>
    <w:p w14:paraId="16718881" w14:textId="1C8E84A6" w:rsidR="00CB040D" w:rsidRDefault="00CB040D" w:rsidP="00923068"/>
    <w:p w14:paraId="22839F3C" w14:textId="77777777" w:rsidR="00CB040D" w:rsidRDefault="00CB040D" w:rsidP="00923068"/>
    <w:p w14:paraId="517E278E" w14:textId="6FC04E99" w:rsidR="00A316B1" w:rsidRDefault="00A316B1" w:rsidP="00923068"/>
    <w:p w14:paraId="3F943686" w14:textId="77777777" w:rsidR="00A316B1" w:rsidRDefault="00A316B1" w:rsidP="00923068"/>
    <w:p w14:paraId="2739D596" w14:textId="77777777" w:rsidR="0002421B" w:rsidRDefault="0002421B" w:rsidP="00923068"/>
    <w:p w14:paraId="430017C1" w14:textId="629FE8AF" w:rsidR="00923068" w:rsidRDefault="00923068" w:rsidP="00923068">
      <w:r>
        <w:rPr>
          <w:rFonts w:hint="eastAsia"/>
        </w:rPr>
        <w:t xml:space="preserve">未来波动率回复程度 </w:t>
      </w:r>
      <w:r>
        <w:t xml:space="preserve"> =  </w:t>
      </w:r>
      <w:r>
        <w:rPr>
          <w:rFonts w:hint="eastAsia"/>
        </w:rPr>
        <w:t xml:space="preserve">过去波动率的变化程度 </w:t>
      </w:r>
      <w:r>
        <w:t>+</w:t>
      </w:r>
      <w:r>
        <w:rPr>
          <w:rFonts w:hint="eastAsia"/>
        </w:rPr>
        <w:t xml:space="preserve"> 随机项 </w:t>
      </w:r>
    </w:p>
    <w:p w14:paraId="0161258D" w14:textId="59817ED4" w:rsidR="00923068" w:rsidRDefault="00923068" w:rsidP="00923068">
      <w:r>
        <w:t>(</w:t>
      </w:r>
      <w:r>
        <w:rPr>
          <w:rFonts w:hint="eastAsia"/>
        </w:rPr>
        <w:t>产业类别、高低风险不同、个股特征详细于指数</w:t>
      </w:r>
      <w:r>
        <w:t>)</w:t>
      </w:r>
    </w:p>
    <w:p w14:paraId="57EB7F61" w14:textId="234CEC3A" w:rsidR="00ED38F6" w:rsidRPr="00923068" w:rsidRDefault="00ED38F6" w:rsidP="00923068">
      <w:r>
        <w:rPr>
          <w:rFonts w:hint="eastAsia"/>
        </w:rPr>
        <w:t>从理论推导上数学证明可行，且实证结果符合</w:t>
      </w:r>
    </w:p>
    <w:p w14:paraId="62A38B2B" w14:textId="371ECF12" w:rsidR="00923068" w:rsidRDefault="00923068" w:rsidP="00923068"/>
    <w:p w14:paraId="33FAAAA0" w14:textId="6B924282" w:rsidR="00923068" w:rsidRDefault="00923068" w:rsidP="00923068"/>
    <w:p w14:paraId="650E6A6A" w14:textId="1A480F59" w:rsidR="00923068" w:rsidRDefault="00ED38F6" w:rsidP="00923068">
      <w:r>
        <w:rPr>
          <w:rFonts w:hint="eastAsia"/>
        </w:rPr>
        <w:t>测算未来回归概率</w:t>
      </w:r>
    </w:p>
    <w:p w14:paraId="4B842850" w14:textId="280B6918" w:rsidR="00923068" w:rsidRDefault="00923068" w:rsidP="00923068"/>
    <w:p w14:paraId="58CB8400" w14:textId="600A16D3" w:rsidR="00923068" w:rsidRDefault="00ED38F6" w:rsidP="00923068">
      <w:r>
        <w:rPr>
          <w:rFonts w:hint="eastAsia"/>
        </w:rPr>
        <w:t>波动率持续）</w:t>
      </w:r>
    </w:p>
    <w:p w14:paraId="4D7A29B0" w14:textId="382932C5" w:rsidR="00923068" w:rsidRPr="00ED38F6" w:rsidRDefault="00ED38F6" w:rsidP="00923068">
      <w:pPr>
        <w:rPr>
          <w:color w:val="FF0000"/>
        </w:rPr>
      </w:pPr>
      <w:r w:rsidRPr="00ED38F6">
        <w:rPr>
          <w:rFonts w:hint="eastAsia"/>
          <w:color w:val="FF0000"/>
        </w:rPr>
        <w:t>需要推导出一个计量模型</w:t>
      </w:r>
    </w:p>
    <w:p w14:paraId="27E0CCED" w14:textId="2D998737" w:rsidR="00192F4D" w:rsidRDefault="00192F4D" w:rsidP="00192F4D">
      <w:pPr>
        <w:pStyle w:val="1"/>
      </w:pPr>
      <w:r>
        <w:rPr>
          <w:rFonts w:hint="eastAsia"/>
        </w:rPr>
        <w:lastRenderedPageBreak/>
        <w:t>理论背景</w:t>
      </w:r>
    </w:p>
    <w:p w14:paraId="75E518C7" w14:textId="77777777" w:rsidR="00192F4D" w:rsidRPr="00192F4D" w:rsidRDefault="00192F4D" w:rsidP="00192F4D"/>
    <w:p w14:paraId="26FD6787" w14:textId="542ABE1A" w:rsidR="00192F4D" w:rsidRDefault="00192F4D" w:rsidP="00192F4D">
      <w:pPr>
        <w:pStyle w:val="2"/>
      </w:pPr>
      <w:r>
        <w:t>T</w:t>
      </w:r>
      <w:r>
        <w:rPr>
          <w:rFonts w:hint="eastAsia"/>
        </w:rPr>
        <w:t>he</w:t>
      </w:r>
      <w:r>
        <w:t xml:space="preserve"> Solution of </w:t>
      </w:r>
      <w:r w:rsidRPr="00192F4D">
        <w:rPr>
          <w:rFonts w:hint="eastAsia"/>
        </w:rPr>
        <w:t>Ornstein-</w:t>
      </w:r>
      <w:proofErr w:type="spellStart"/>
      <w:r w:rsidRPr="00192F4D">
        <w:rPr>
          <w:rFonts w:hint="eastAsia"/>
        </w:rPr>
        <w:t>Uhlenbeck</w:t>
      </w:r>
      <w:proofErr w:type="spellEnd"/>
      <w:r>
        <w:t xml:space="preserve"> Process</w:t>
      </w:r>
    </w:p>
    <w:p w14:paraId="06CBC763" w14:textId="5EAB8BEE" w:rsidR="00192F4D" w:rsidRDefault="00192F4D" w:rsidP="00192F4D">
      <w:pPr>
        <w:ind w:firstLineChars="100" w:firstLine="210"/>
        <w:rPr>
          <w:rFonts w:ascii="Segoe UI" w:hAnsi="Segoe UI" w:cs="Segoe UI"/>
          <w:color w:val="101214"/>
          <w:szCs w:val="21"/>
          <w:shd w:val="clear" w:color="auto" w:fill="FFFFFF"/>
        </w:rPr>
      </w:pPr>
      <w:r>
        <w:rPr>
          <w:rFonts w:ascii="Segoe UI" w:hAnsi="Segoe UI" w:cs="Segoe UI"/>
          <w:color w:val="101214"/>
          <w:szCs w:val="21"/>
          <w:shd w:val="clear" w:color="auto" w:fill="FFFFFF"/>
        </w:rPr>
        <w:t>In the stochastic volatility models, the volatility follows the Ornstein-</w:t>
      </w:r>
      <w:proofErr w:type="spellStart"/>
      <w:r>
        <w:rPr>
          <w:rFonts w:ascii="Segoe UI" w:hAnsi="Segoe UI" w:cs="Segoe UI"/>
          <w:color w:val="101214"/>
          <w:szCs w:val="21"/>
          <w:shd w:val="clear" w:color="auto" w:fill="FFFFFF"/>
        </w:rPr>
        <w:t>Uhlenbeck</w:t>
      </w:r>
      <w:proofErr w:type="spellEnd"/>
      <w:r>
        <w:rPr>
          <w:rFonts w:ascii="Segoe UI" w:hAnsi="Segoe UI" w:cs="Segoe UI"/>
          <w:color w:val="101214"/>
          <w:szCs w:val="21"/>
          <w:shd w:val="clear" w:color="auto" w:fill="FFFFFF"/>
        </w:rPr>
        <w:t xml:space="preserve"> Process, which shows the existence of </w:t>
      </w:r>
      <w:r w:rsidRPr="00192F4D">
        <w:rPr>
          <w:rFonts w:ascii="Segoe UI" w:hAnsi="Segoe UI" w:cs="Segoe UI"/>
          <w:color w:val="101214"/>
          <w:szCs w:val="21"/>
          <w:shd w:val="clear" w:color="auto" w:fill="FFFFFF"/>
        </w:rPr>
        <w:t>mean reversion</w:t>
      </w:r>
      <w:r>
        <w:rPr>
          <w:rFonts w:ascii="Segoe UI" w:hAnsi="Segoe UI" w:cs="Segoe UI"/>
          <w:color w:val="101214"/>
          <w:szCs w:val="21"/>
          <w:shd w:val="clear" w:color="auto" w:fill="FFFFFF"/>
        </w:rPr>
        <w:t xml:space="preserve"> about the </w:t>
      </w:r>
      <w:proofErr w:type="gramStart"/>
      <w:r>
        <w:rPr>
          <w:rFonts w:ascii="Segoe UI" w:hAnsi="Segoe UI" w:cs="Segoe UI"/>
          <w:color w:val="101214"/>
          <w:szCs w:val="21"/>
          <w:shd w:val="clear" w:color="auto" w:fill="FFFFFF"/>
        </w:rPr>
        <w:t>volatility(</w:t>
      </w:r>
      <w:proofErr w:type="gramEnd"/>
      <w:r>
        <w:rPr>
          <w:rFonts w:ascii="Segoe UI" w:hAnsi="Segoe UI" w:cs="Segoe UI"/>
          <w:color w:val="101214"/>
          <w:szCs w:val="21"/>
          <w:shd w:val="clear" w:color="auto" w:fill="FFFFFF"/>
        </w:rPr>
        <w:t>Heston,1993). Under the physical measure</w:t>
      </w:r>
      <w:r w:rsidR="0010479E">
        <w:rPr>
          <w:rFonts w:ascii="Segoe UI" w:hAnsi="Segoe UI" w:cs="Segoe UI"/>
          <w:color w:val="101214"/>
          <w:szCs w:val="21"/>
          <w:shd w:val="clear" w:color="auto" w:fill="FFFFFF"/>
        </w:rPr>
        <w:t xml:space="preserve"> </w:t>
      </w: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P</m:t>
            </m:r>
          </m:e>
        </m:d>
      </m:oMath>
      <w:r w:rsidR="0010479E">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w:t>
      </w:r>
      <w:r w:rsidR="0010479E">
        <w:rPr>
          <w:rFonts w:ascii="Segoe UI" w:hAnsi="Segoe UI" w:cs="Segoe UI"/>
          <w:color w:val="101214"/>
          <w:szCs w:val="21"/>
          <w:shd w:val="clear" w:color="auto" w:fill="FFFFFF"/>
        </w:rPr>
        <w:t>on the trade date</w:t>
      </w:r>
      <w:r w:rsidR="0010479E">
        <w:rPr>
          <w:rFonts w:ascii="Segoe UI" w:hAnsi="Segoe UI" w:cs="Segoe UI" w:hint="eastAsia"/>
          <w:color w:val="101214"/>
          <w:szCs w:val="21"/>
          <w:shd w:val="clear" w:color="auto" w:fill="FFFFFF"/>
        </w:rPr>
        <w:t xml:space="preserve"> </w:t>
      </w:r>
      <m:oMath>
        <m:r>
          <w:rPr>
            <w:rFonts w:ascii="Cambria Math" w:hAnsi="Cambria Math" w:cs="Segoe UI"/>
            <w:color w:val="101214"/>
            <w:szCs w:val="21"/>
            <w:shd w:val="clear" w:color="auto" w:fill="FFFFFF"/>
          </w:rPr>
          <m:t>t</m:t>
        </m:r>
      </m:oMath>
      <w:r w:rsidR="0010479E">
        <w:rPr>
          <w:rFonts w:ascii="Segoe UI" w:hAnsi="Segoe UI" w:cs="Segoe UI"/>
          <w:color w:val="101214"/>
          <w:szCs w:val="21"/>
          <w:shd w:val="clear" w:color="auto" w:fill="FFFFFF"/>
        </w:rPr>
        <w:t>,</w:t>
      </w:r>
      <w:r>
        <w:rPr>
          <w:rFonts w:ascii="Segoe UI" w:hAnsi="Segoe UI" w:cs="Segoe UI"/>
          <w:color w:val="101214"/>
          <w:szCs w:val="21"/>
          <w:shd w:val="clear" w:color="auto" w:fill="FFFFFF"/>
        </w:rPr>
        <w:t xml:space="preserve"> the stock price</w:t>
      </w:r>
      <w:r w:rsidR="00F24212">
        <w:rPr>
          <w:rFonts w:ascii="Segoe UI" w:hAnsi="Segoe UI" w:cs="Segoe UI" w:hint="eastAsia"/>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oMath>
      <w:r>
        <w:rPr>
          <w:rFonts w:ascii="Segoe UI" w:hAnsi="Segoe UI" w:cs="Segoe UI"/>
          <w:color w:val="101214"/>
          <w:szCs w:val="21"/>
          <w:shd w:val="clear" w:color="auto" w:fill="FFFFFF"/>
        </w:rPr>
        <w:t xml:space="preserve"> and volatility</w:t>
      </w:r>
      <w:r w:rsidR="00F24212">
        <w:rPr>
          <w:rFonts w:ascii="Segoe UI" w:hAnsi="Segoe UI" w:cs="Segoe UI"/>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color w:val="101214"/>
          <w:szCs w:val="21"/>
          <w:shd w:val="clear" w:color="auto" w:fill="FFFFFF"/>
        </w:rPr>
        <w:t xml:space="preserve"> evolves as</w:t>
      </w:r>
      <w:r w:rsidR="000D18B0">
        <w:rPr>
          <w:rStyle w:val="ac"/>
          <w:rFonts w:ascii="Segoe UI" w:hAnsi="Segoe UI" w:cs="Segoe UI"/>
          <w:color w:val="101214"/>
          <w:szCs w:val="21"/>
          <w:shd w:val="clear" w:color="auto" w:fill="FFFFFF"/>
        </w:rPr>
        <w:footnoteReference w:id="1"/>
      </w:r>
      <w:r>
        <w:rPr>
          <w:rFonts w:ascii="Segoe UI" w:hAnsi="Segoe UI" w:cs="Segoe UI"/>
          <w:color w:val="101214"/>
          <w:szCs w:val="21"/>
          <w:shd w:val="clear" w:color="auto" w:fill="FFFFFF"/>
        </w:rPr>
        <w:t>:</w:t>
      </w:r>
    </w:p>
    <w:p w14:paraId="753A94CC" w14:textId="012FFA77" w:rsidR="00667DD8" w:rsidRPr="00667DD8" w:rsidRDefault="00000000" w:rsidP="00192F4D">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e>
          </m:d>
        </m:oMath>
      </m:oMathPara>
    </w:p>
    <w:p w14:paraId="4323E154" w14:textId="794AD3D6" w:rsidR="00192F4D" w:rsidRPr="0010479E" w:rsidRDefault="0010479E" w:rsidP="00192F4D">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=μ</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dt+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d</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s,t</m:t>
              </m:r>
            </m:sub>
            <m:sup>
              <m:r>
                <w:rPr>
                  <w:rFonts w:ascii="Cambria Math" w:hAnsi="Cambria Math" w:cs="Segoe UI"/>
                  <w:color w:val="101214"/>
                  <w:szCs w:val="21"/>
                  <w:shd w:val="clear" w:color="auto" w:fill="FFFFFF"/>
                </w:rPr>
                <m:t>P</m:t>
              </m:r>
            </m:sup>
          </m:sSubSup>
        </m:oMath>
      </m:oMathPara>
    </w:p>
    <w:p w14:paraId="4B5543D8" w14:textId="1041500D" w:rsidR="00192F4D" w:rsidRPr="00667DD8" w:rsidRDefault="0010479E" w:rsidP="00192F4D">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dt+δd</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P</m:t>
              </m:r>
            </m:sup>
          </m:sSubSup>
        </m:oMath>
      </m:oMathPara>
    </w:p>
    <w:p w14:paraId="498D1A25" w14:textId="43C1F899" w:rsidR="00F24212" w:rsidRPr="000D18B0" w:rsidRDefault="0010479E" w:rsidP="00667DD8">
      <w:pPr>
        <w:rPr>
          <w:rFonts w:ascii="Segoe UI" w:hAnsi="Segoe UI" w:cs="Segoe UI"/>
          <w:iCs/>
          <w:color w:val="101214"/>
          <w:szCs w:val="21"/>
          <w:shd w:val="clear" w:color="auto" w:fill="FFFFFF"/>
        </w:rPr>
      </w:pPr>
      <w:r>
        <w:rPr>
          <w:rFonts w:ascii="Segoe UI" w:hAnsi="Segoe UI" w:cs="Segoe UI" w:hint="eastAsia"/>
          <w:color w:val="101214"/>
          <w:szCs w:val="21"/>
          <w:shd w:val="clear" w:color="auto" w:fill="FFFFFF"/>
        </w:rPr>
        <w:t>W</w:t>
      </w:r>
      <w:r>
        <w:rPr>
          <w:rFonts w:ascii="Segoe UI" w:hAnsi="Segoe UI" w:cs="Segoe UI"/>
          <w:color w:val="101214"/>
          <w:szCs w:val="21"/>
          <w:shd w:val="clear" w:color="auto" w:fill="FFFFFF"/>
        </w:rPr>
        <w:t xml:space="preserve">here </w:t>
      </w:r>
      <m:oMath>
        <m:r>
          <w:rPr>
            <w:rFonts w:ascii="Cambria Math" w:hAnsi="Cambria Math" w:cs="Segoe UI"/>
            <w:color w:val="101214"/>
            <w:szCs w:val="21"/>
            <w:shd w:val="clear" w:color="auto" w:fill="FFFFFF"/>
          </w:rPr>
          <m:t>μ</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and</w:t>
      </w:r>
      <w:r>
        <w:rPr>
          <w:rFonts w:ascii="Segoe UI" w:hAnsi="Segoe UI" w:cs="Segoe UI" w:hint="eastAsia"/>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r</w:t>
      </w:r>
      <w:r w:rsidRPr="0010479E">
        <w:rPr>
          <w:rFonts w:ascii="Segoe UI" w:hAnsi="Segoe UI" w:cs="Segoe UI"/>
          <w:color w:val="101214"/>
          <w:szCs w:val="21"/>
          <w:shd w:val="clear" w:color="auto" w:fill="FFFFFF"/>
        </w:rPr>
        <w:t xml:space="preserve">epresent the </w:t>
      </w:r>
      <w:r>
        <w:rPr>
          <w:rFonts w:ascii="Segoe UI" w:hAnsi="Segoe UI" w:cs="Segoe UI"/>
          <w:color w:val="101214"/>
          <w:szCs w:val="21"/>
          <w:shd w:val="clear" w:color="auto" w:fill="FFFFFF"/>
        </w:rPr>
        <w:t>drift</w:t>
      </w:r>
      <w:r w:rsidRPr="0010479E">
        <w:rPr>
          <w:rFonts w:ascii="Segoe UI" w:hAnsi="Segoe UI" w:cs="Segoe UI"/>
          <w:color w:val="101214"/>
          <w:szCs w:val="21"/>
          <w:shd w:val="clear" w:color="auto" w:fill="FFFFFF"/>
        </w:rPr>
        <w:t xml:space="preserve"> rate</w:t>
      </w:r>
      <w:r w:rsidR="00667DD8">
        <w:rPr>
          <w:rFonts w:ascii="Segoe UI" w:hAnsi="Segoe UI" w:cs="Segoe UI"/>
          <w:color w:val="101214"/>
          <w:szCs w:val="21"/>
          <w:shd w:val="clear" w:color="auto" w:fill="FFFFFF"/>
        </w:rPr>
        <w:t xml:space="preserve"> and volatility</w:t>
      </w:r>
      <w:r w:rsidRPr="0010479E">
        <w:rPr>
          <w:rFonts w:ascii="Segoe UI" w:hAnsi="Segoe UI" w:cs="Segoe UI"/>
          <w:color w:val="101214"/>
          <w:szCs w:val="21"/>
          <w:shd w:val="clear" w:color="auto" w:fill="FFFFFF"/>
        </w:rPr>
        <w:t xml:space="preserve"> of the stock</w:t>
      </w:r>
      <w:r>
        <w:rPr>
          <w:rFonts w:ascii="Segoe UI" w:hAnsi="Segoe UI" w:cs="Segoe UI"/>
          <w:color w:val="101214"/>
          <w:szCs w:val="21"/>
          <w:shd w:val="clear" w:color="auto" w:fill="FFFFFF"/>
        </w:rPr>
        <w:t xml:space="preserve"> </w:t>
      </w:r>
      <w:r w:rsidRPr="0010479E">
        <w:rPr>
          <w:rFonts w:ascii="Segoe UI" w:hAnsi="Segoe UI" w:cs="Segoe UI"/>
          <w:color w:val="101214"/>
          <w:szCs w:val="21"/>
          <w:shd w:val="clear" w:color="auto" w:fill="FFFFFF"/>
        </w:rPr>
        <w:t>return</w:t>
      </w:r>
      <w:r>
        <w:rPr>
          <w:rFonts w:ascii="Segoe UI" w:hAnsi="Segoe UI" w:cs="Segoe UI"/>
          <w:color w:val="101214"/>
          <w:szCs w:val="21"/>
          <w:shd w:val="clear" w:color="auto" w:fill="FFFFFF"/>
        </w:rPr>
        <w:t xml:space="preserve">, </w:t>
      </w:r>
      <w:r w:rsidR="00667DD8">
        <w:rPr>
          <w:rFonts w:ascii="Segoe UI" w:hAnsi="Segoe UI" w:cs="Segoe UI"/>
          <w:color w:val="101214"/>
          <w:szCs w:val="21"/>
          <w:shd w:val="clear" w:color="auto" w:fill="FFFFFF"/>
        </w:rPr>
        <w:t>respectively.</w:t>
      </w:r>
      <w:r>
        <w:rPr>
          <w:rFonts w:ascii="Segoe UI" w:hAnsi="Segoe UI" w:cs="Segoe UI"/>
          <w:color w:val="101214"/>
          <w:szCs w:val="21"/>
          <w:shd w:val="clear" w:color="auto" w:fill="FFFFFF"/>
        </w:rPr>
        <w:t xml:space="preserve"> </w:t>
      </w:r>
      <m:oMath>
        <m:r>
          <w:rPr>
            <w:rFonts w:ascii="Cambria Math" w:hAnsi="Cambria Math" w:cs="Segoe UI"/>
            <w:color w:val="101214"/>
            <w:szCs w:val="21"/>
            <w:shd w:val="clear" w:color="auto" w:fill="FFFFFF"/>
          </w:rPr>
          <m:t>μ</m:t>
        </m:r>
      </m:oMath>
      <w:r w:rsidR="00667DD8">
        <w:rPr>
          <w:rFonts w:ascii="Segoe UI" w:hAnsi="Segoe UI" w:cs="Segoe UI" w:hint="eastAsia"/>
          <w:color w:val="101214"/>
          <w:szCs w:val="21"/>
          <w:shd w:val="clear" w:color="auto" w:fill="FFFFFF"/>
        </w:rPr>
        <w:t xml:space="preserve"> </w:t>
      </w:r>
      <w:r w:rsidR="00667DD8">
        <w:rPr>
          <w:rFonts w:ascii="Segoe UI" w:hAnsi="Segoe UI" w:cs="Segoe UI"/>
          <w:color w:val="101214"/>
          <w:szCs w:val="21"/>
          <w:shd w:val="clear" w:color="auto" w:fill="FFFFFF"/>
        </w:rPr>
        <w:t xml:space="preserve">is a constant but not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667DD8">
        <w:rPr>
          <w:rFonts w:ascii="Segoe UI" w:hAnsi="Segoe UI" w:cs="Segoe UI"/>
          <w:color w:val="101214"/>
          <w:szCs w:val="21"/>
          <w:shd w:val="clear" w:color="auto" w:fill="FFFFFF"/>
        </w:rPr>
        <w:t>.</w:t>
      </w:r>
      <w:r w:rsidR="00667DD8" w:rsidRPr="00667DD8">
        <w:rPr>
          <w:rFonts w:ascii="Cambria Math" w:hAnsi="Cambria Math" w:cs="Segoe UI"/>
          <w:i/>
          <w:color w:val="101214"/>
          <w:szCs w:val="21"/>
          <w:shd w:val="clear" w:color="auto" w:fill="FFFFFF"/>
        </w:rPr>
        <w:t xml:space="preserve"> </w:t>
      </w:r>
      <m:oMath>
        <m:r>
          <w:rPr>
            <w:rFonts w:ascii="Cambria Math" w:hAnsi="Cambria Math" w:cs="Segoe UI"/>
            <w:color w:val="101214"/>
            <w:szCs w:val="21"/>
            <w:shd w:val="clear" w:color="auto" w:fill="FFFFFF"/>
          </w:rPr>
          <m:t>κ</m:t>
        </m:r>
      </m:oMath>
      <w:r w:rsidR="00667DD8">
        <w:rPr>
          <w:rFonts w:ascii="Cambria Math" w:hAnsi="Cambria Math" w:cs="Segoe UI" w:hint="eastAsia"/>
          <w:i/>
          <w:color w:val="101214"/>
          <w:szCs w:val="21"/>
          <w:shd w:val="clear" w:color="auto" w:fill="FFFFFF"/>
        </w:rPr>
        <w:t xml:space="preserve"> </w:t>
      </w:r>
      <w:r w:rsidR="00667DD8">
        <w:rPr>
          <w:rFonts w:ascii="Cambria Math" w:hAnsi="Cambria Math" w:cs="Segoe UI"/>
          <w:iCs/>
          <w:color w:val="101214"/>
          <w:szCs w:val="21"/>
          <w:shd w:val="clear" w:color="auto" w:fill="FFFFFF"/>
        </w:rPr>
        <w:t xml:space="preserve">is </w:t>
      </w:r>
      <w:r w:rsidR="00667DD8">
        <w:rPr>
          <w:rFonts w:ascii="Segoe UI" w:hAnsi="Segoe UI" w:cs="Segoe UI"/>
          <w:color w:val="101214"/>
          <w:szCs w:val="21"/>
          <w:shd w:val="clear" w:color="auto" w:fill="FFFFFF"/>
        </w:rPr>
        <w:t xml:space="preserve">the speed of mean reversion, and </w:t>
      </w:r>
      <m:oMath>
        <m:r>
          <w:rPr>
            <w:rFonts w:ascii="Cambria Math" w:hAnsi="Cambria Math" w:cs="Segoe UI"/>
            <w:color w:val="101214"/>
            <w:szCs w:val="21"/>
            <w:shd w:val="clear" w:color="auto" w:fill="FFFFFF"/>
          </w:rPr>
          <m:t>θ</m:t>
        </m:r>
      </m:oMath>
      <w:r w:rsidR="00667DD8">
        <w:rPr>
          <w:rFonts w:ascii="Segoe UI" w:hAnsi="Segoe UI" w:cs="Segoe UI" w:hint="eastAsia"/>
          <w:color w:val="101214"/>
          <w:szCs w:val="21"/>
          <w:shd w:val="clear" w:color="auto" w:fill="FFFFFF"/>
        </w:rPr>
        <w:t xml:space="preserve"> </w:t>
      </w:r>
      <w:r w:rsidR="00667DD8">
        <w:rPr>
          <w:rFonts w:ascii="Segoe UI" w:hAnsi="Segoe UI" w:cs="Segoe UI"/>
          <w:color w:val="101214"/>
          <w:szCs w:val="21"/>
          <w:shd w:val="clear" w:color="auto" w:fill="FFFFFF"/>
        </w:rPr>
        <w:t xml:space="preserve">is the long-term mean of volatility, </w:t>
      </w:r>
      <m:oMath>
        <m:r>
          <w:rPr>
            <w:rFonts w:ascii="Cambria Math" w:hAnsi="Cambria Math" w:cs="Segoe UI"/>
            <w:color w:val="101214"/>
            <w:szCs w:val="21"/>
            <w:shd w:val="clear" w:color="auto" w:fill="FFFFFF"/>
          </w:rPr>
          <m:t>δ</m:t>
        </m:r>
      </m:oMath>
      <w:r w:rsidR="00667DD8">
        <w:rPr>
          <w:rFonts w:ascii="Segoe UI" w:hAnsi="Segoe UI" w:cs="Segoe UI" w:hint="eastAsia"/>
          <w:color w:val="101214"/>
          <w:szCs w:val="21"/>
          <w:shd w:val="clear" w:color="auto" w:fill="FFFFFF"/>
        </w:rPr>
        <w:t xml:space="preserve"> </w:t>
      </w:r>
      <w:r w:rsidR="00667DD8">
        <w:rPr>
          <w:rFonts w:ascii="Segoe UI" w:hAnsi="Segoe UI" w:cs="Segoe UI"/>
          <w:color w:val="101214"/>
          <w:szCs w:val="21"/>
          <w:shd w:val="clear" w:color="auto" w:fill="FFFFFF"/>
        </w:rPr>
        <w:t>is the volatility of volatility</w:t>
      </w:r>
      <w:r w:rsidR="006355D4">
        <w:rPr>
          <w:rFonts w:ascii="Segoe UI" w:hAnsi="Segoe UI" w:cs="Segoe UI"/>
          <w:color w:val="101214"/>
          <w:szCs w:val="21"/>
          <w:shd w:val="clear" w:color="auto" w:fill="FFFFFF"/>
        </w:rPr>
        <w:t>.</w:t>
      </w:r>
      <w:r w:rsidR="006355D4" w:rsidRPr="006355D4">
        <w:rPr>
          <w:rFonts w:ascii="Cambria Math" w:hAnsi="Cambria Math" w:cs="Segoe UI"/>
          <w:i/>
          <w:color w:val="101214"/>
          <w:szCs w:val="21"/>
          <w:shd w:val="clear" w:color="auto" w:fill="FFFFFF"/>
        </w:rPr>
        <w:t xml:space="preserve"> </w:t>
      </w:r>
      <m:oMath>
        <m:r>
          <w:rPr>
            <w:rFonts w:ascii="Cambria Math" w:hAnsi="Cambria Math" w:cs="Segoe UI"/>
            <w:color w:val="101214"/>
            <w:szCs w:val="21"/>
            <w:shd w:val="clear" w:color="auto" w:fill="FFFFFF"/>
          </w:rPr>
          <m:t>κ, θ, δ&gt;0</m:t>
        </m:r>
      </m:oMath>
      <w:r w:rsidR="00667DD8">
        <w:rPr>
          <w:rFonts w:ascii="Segoe UI" w:hAnsi="Segoe UI" w:cs="Segoe UI"/>
          <w:color w:val="101214"/>
          <w:szCs w:val="21"/>
          <w:shd w:val="clear" w:color="auto" w:fill="FFFFFF"/>
        </w:rPr>
        <w:t>.</w:t>
      </w:r>
      <w:r w:rsidR="00667DD8" w:rsidRPr="00667DD8">
        <w:rPr>
          <w:rFonts w:ascii="Cambria Math" w:hAnsi="Cambria Math" w:cs="Segoe UI"/>
          <w:i/>
          <w:color w:val="101214"/>
          <w:szCs w:val="21"/>
          <w:shd w:val="clear" w:color="auto" w:fill="FFFFFF"/>
        </w:rPr>
        <w:t xml:space="preserve">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s,t</m:t>
            </m:r>
          </m:sub>
          <m:sup>
            <m:r>
              <w:rPr>
                <w:rFonts w:ascii="Cambria Math" w:hAnsi="Cambria Math" w:cs="Segoe UI"/>
                <w:color w:val="101214"/>
                <w:szCs w:val="21"/>
                <w:shd w:val="clear" w:color="auto" w:fill="FFFFFF"/>
              </w:rPr>
              <m:t>P</m:t>
            </m:r>
          </m:sup>
        </m:sSubSup>
      </m:oMath>
      <w:r w:rsidR="000D18B0">
        <w:rPr>
          <w:rFonts w:ascii="Cambria Math" w:hAnsi="Cambria Math" w:cs="Segoe UI" w:hint="eastAsia"/>
          <w:i/>
          <w:color w:val="101214"/>
          <w:szCs w:val="21"/>
          <w:shd w:val="clear" w:color="auto" w:fill="FFFFFF"/>
        </w:rPr>
        <w:t xml:space="preserve"> </w:t>
      </w:r>
      <w:r w:rsidR="000D18B0">
        <w:rPr>
          <w:rFonts w:ascii="Cambria Math" w:hAnsi="Cambria Math" w:cs="Segoe UI"/>
          <w:iCs/>
          <w:color w:val="101214"/>
          <w:szCs w:val="21"/>
          <w:shd w:val="clear" w:color="auto" w:fill="FFFFFF"/>
        </w:rPr>
        <w:t xml:space="preserve">and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P</m:t>
            </m:r>
          </m:sup>
        </m:sSubSup>
      </m:oMath>
      <w:r w:rsidR="000D18B0">
        <w:rPr>
          <w:rFonts w:ascii="Cambria Math" w:hAnsi="Cambria Math" w:cs="Segoe UI" w:hint="eastAsia"/>
          <w:color w:val="101214"/>
          <w:szCs w:val="21"/>
          <w:shd w:val="clear" w:color="auto" w:fill="FFFFFF"/>
        </w:rPr>
        <w:t xml:space="preserve"> </w:t>
      </w:r>
      <w:r w:rsidR="000D18B0">
        <w:rPr>
          <w:rFonts w:ascii="Cambria Math" w:hAnsi="Cambria Math" w:cs="Segoe UI"/>
          <w:color w:val="101214"/>
          <w:szCs w:val="21"/>
          <w:shd w:val="clear" w:color="auto" w:fill="FFFFFF"/>
        </w:rPr>
        <w:t xml:space="preserve">are the </w:t>
      </w:r>
      <w:r w:rsidR="000D18B0">
        <w:rPr>
          <w:rFonts w:ascii="Segoe UI" w:hAnsi="Segoe UI" w:cs="Segoe UI"/>
          <w:color w:val="101214"/>
          <w:szCs w:val="21"/>
          <w:shd w:val="clear" w:color="auto" w:fill="FFFFFF"/>
        </w:rPr>
        <w:t xml:space="preserve">wiener process of stock and volatility under the physical measure </w:t>
      </w: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P</m:t>
            </m:r>
          </m:e>
        </m:d>
      </m:oMath>
      <w:r w:rsidR="000D18B0">
        <w:rPr>
          <w:rFonts w:ascii="Segoe UI" w:hAnsi="Segoe UI" w:cs="Segoe UI" w:hint="eastAsia"/>
          <w:color w:val="101214"/>
          <w:szCs w:val="21"/>
          <w:shd w:val="clear" w:color="auto" w:fill="FFFFFF"/>
        </w:rPr>
        <w:t xml:space="preserve"> </w:t>
      </w:r>
      <w:r w:rsidR="000D18B0">
        <w:rPr>
          <w:rFonts w:ascii="Segoe UI" w:hAnsi="Segoe UI" w:cs="Segoe UI"/>
          <w:color w:val="101214"/>
          <w:szCs w:val="21"/>
          <w:shd w:val="clear" w:color="auto" w:fill="FFFFFF"/>
        </w:rPr>
        <w:t>,</w:t>
      </w:r>
      <w:r w:rsidR="000D18B0" w:rsidRPr="000D18B0">
        <w:rPr>
          <w:rFonts w:ascii="Segoe UI" w:hAnsi="Segoe UI" w:cs="Segoe UI"/>
          <w:color w:val="101214"/>
          <w:szCs w:val="21"/>
          <w:shd w:val="clear" w:color="auto" w:fill="FFFFFF"/>
        </w:rPr>
        <w:t xml:space="preserve"> </w:t>
      </w:r>
      <w:r w:rsidR="000D18B0">
        <w:rPr>
          <w:rFonts w:ascii="Segoe UI" w:hAnsi="Segoe UI" w:cs="Segoe UI"/>
          <w:color w:val="101214"/>
          <w:szCs w:val="21"/>
          <w:shd w:val="clear" w:color="auto" w:fill="FFFFFF"/>
        </w:rPr>
        <w:t xml:space="preserve">respectively, and their correlation is </w:t>
      </w:r>
      <m:oMath>
        <m:r>
          <w:rPr>
            <w:rFonts w:ascii="Cambria Math" w:hAnsi="Cambria Math" w:cs="Segoe UI"/>
            <w:color w:val="101214"/>
            <w:szCs w:val="21"/>
            <w:shd w:val="clear" w:color="auto" w:fill="FFFFFF"/>
          </w:rPr>
          <m:t>ρ</m:t>
        </m:r>
      </m:oMath>
      <w:r w:rsidR="000D18B0">
        <w:rPr>
          <w:rFonts w:ascii="Segoe UI" w:hAnsi="Segoe UI" w:cs="Segoe UI" w:hint="eastAsia"/>
          <w:color w:val="101214"/>
          <w:szCs w:val="21"/>
          <w:shd w:val="clear" w:color="auto" w:fill="FFFFFF"/>
        </w:rPr>
        <w:t>.</w:t>
      </w:r>
    </w:p>
    <w:p w14:paraId="7F6EE36D" w14:textId="0F0FE2FE" w:rsidR="00F24212" w:rsidRDefault="006F2921" w:rsidP="00192F4D">
      <w:pPr>
        <w:ind w:firstLineChars="100" w:firstLine="210"/>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T</w:t>
      </w:r>
      <w:r>
        <w:rPr>
          <w:rFonts w:ascii="Segoe UI" w:hAnsi="Segoe UI" w:cs="Segoe UI"/>
          <w:color w:val="101214"/>
          <w:szCs w:val="21"/>
          <w:shd w:val="clear" w:color="auto" w:fill="FFFFFF"/>
        </w:rPr>
        <w:t xml:space="preserve">he option price is </w:t>
      </w:r>
      <m:oMath>
        <m:r>
          <w:rPr>
            <w:rFonts w:ascii="Cambria Math" w:hAnsi="Cambria Math" w:cs="Segoe UI"/>
            <w:color w:val="101214"/>
            <w:szCs w:val="21"/>
            <w:shd w:val="clear" w:color="auto" w:fill="FFFFFF"/>
          </w:rPr>
          <m:t>f(</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,t)</m:t>
        </m:r>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thus </w:t>
      </w:r>
      <w:r w:rsidRPr="006F2921">
        <w:rPr>
          <w:rFonts w:ascii="Segoe UI" w:hAnsi="Segoe UI" w:cs="Segoe UI"/>
          <w:color w:val="101214"/>
          <w:szCs w:val="21"/>
          <w:shd w:val="clear" w:color="auto" w:fill="FFFFFF"/>
        </w:rPr>
        <w:t>the partial differential equation</w:t>
      </w:r>
      <w:r>
        <w:rPr>
          <w:rFonts w:ascii="Segoe UI" w:hAnsi="Segoe UI" w:cs="Segoe UI"/>
          <w:color w:val="101214"/>
          <w:szCs w:val="21"/>
          <w:shd w:val="clear" w:color="auto" w:fill="FFFFFF"/>
        </w:rPr>
        <w:t xml:space="preserve"> of value is:</w:t>
      </w:r>
    </w:p>
    <w:p w14:paraId="11EBEBB3" w14:textId="12D621D6" w:rsidR="006D1714" w:rsidRPr="00667DD8" w:rsidRDefault="00000000" w:rsidP="006D1714">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2</m:t>
              </m:r>
            </m:e>
          </m:d>
        </m:oMath>
      </m:oMathPara>
    </w:p>
    <w:p w14:paraId="0720F02A" w14:textId="6A8EA70B" w:rsidR="006F2921" w:rsidRPr="000D18B0" w:rsidRDefault="00000000" w:rsidP="00192F4D">
      <w:pPr>
        <w:ind w:firstLineChars="100" w:firstLine="210"/>
        <w:rPr>
          <w:rFonts w:ascii="Segoe UI" w:hAnsi="Segoe UI" w:cs="Segoe UI"/>
          <w:color w:val="101214"/>
          <w:szCs w:val="21"/>
          <w:shd w:val="clear" w:color="auto" w:fill="FFFFFF"/>
        </w:rPr>
      </w:pPr>
      <m:oMathPara>
        <m:oMath>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1</m:t>
              </m:r>
            </m:num>
            <m:den>
              <m:r>
                <w:rPr>
                  <w:rFonts w:ascii="Cambria Math" w:hAnsi="Cambria Math" w:cs="Segoe UI"/>
                  <w:color w:val="101214"/>
                  <w:szCs w:val="21"/>
                  <w:shd w:val="clear" w:color="auto" w:fill="FFFFFF"/>
                </w:rPr>
                <m:t>2</m:t>
              </m:r>
            </m:den>
          </m:f>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2</m:t>
              </m:r>
            </m:sup>
          </m:sSubSup>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rPr>
                    <m:t>∂</m:t>
                  </m:r>
                </m:e>
                <m:sup>
                  <m:r>
                    <w:rPr>
                      <w:rFonts w:ascii="Cambria Math" w:hAnsi="Cambria Math" w:cs="Segoe UI"/>
                      <w:color w:val="101214"/>
                      <w:szCs w:val="21"/>
                      <w:shd w:val="clear" w:color="auto" w:fill="FFFFFF"/>
                    </w:rPr>
                    <m:t>2</m:t>
                  </m:r>
                </m:sup>
              </m:sSup>
              <m:r>
                <w:rPr>
                  <w:rFonts w:ascii="Cambria Math" w:hAnsi="Cambria Math" w:cs="Segoe UI"/>
                  <w:color w:val="101214"/>
                  <w:szCs w:val="21"/>
                  <w:shd w:val="clear" w:color="auto" w:fill="FFFFFF"/>
                </w:rPr>
                <m:t>f</m:t>
              </m:r>
            </m:num>
            <m:den>
              <m:r>
                <w:rPr>
                  <w:rFonts w:ascii="Cambria Math" w:hAnsi="Cambria Math"/>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2</m:t>
                  </m:r>
                </m:sup>
              </m:sSubSup>
            </m:den>
          </m:f>
          <m:r>
            <w:rPr>
              <w:rFonts w:ascii="Cambria Math" w:hAnsi="Cambria Math" w:cs="Segoe UI"/>
              <w:color w:val="101214"/>
              <w:szCs w:val="21"/>
              <w:shd w:val="clear" w:color="auto" w:fill="FFFFFF"/>
            </w:rPr>
            <m:t>+2ρδ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rPr>
                    <m:t>∂</m:t>
                  </m:r>
                </m:e>
                <m:sup>
                  <m:r>
                    <w:rPr>
                      <w:rFonts w:ascii="Cambria Math" w:hAnsi="Cambria Math" w:cs="Segoe UI"/>
                      <w:color w:val="101214"/>
                      <w:szCs w:val="21"/>
                      <w:shd w:val="clear" w:color="auto" w:fill="FFFFFF"/>
                    </w:rPr>
                    <m:t>2</m:t>
                  </m:r>
                </m:sup>
              </m:sSup>
              <m:r>
                <w:rPr>
                  <w:rFonts w:ascii="Cambria Math" w:hAnsi="Cambria Math" w:cs="Segoe UI"/>
                  <w:color w:val="101214"/>
                  <w:szCs w:val="21"/>
                  <w:shd w:val="clear" w:color="auto" w:fill="FFFFFF"/>
                </w:rPr>
                <m:t>f</m:t>
              </m:r>
            </m:num>
            <m:den>
              <m:r>
                <w:rPr>
                  <w:rFonts w:ascii="Cambria Math" w:hAnsi="Cambria Math"/>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r>
                <w:rPr>
                  <w:rFonts w:ascii="Cambria Math" w:hAnsi="Cambria Math"/>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den>
          </m:f>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rPr>
                    <m:t>∂</m:t>
                  </m:r>
                </m:e>
                <m:sup>
                  <m:r>
                    <w:rPr>
                      <w:rFonts w:ascii="Cambria Math" w:hAnsi="Cambria Math" w:cs="Segoe UI"/>
                      <w:color w:val="101214"/>
                      <w:szCs w:val="21"/>
                      <w:shd w:val="clear" w:color="auto" w:fill="FFFFFF"/>
                    </w:rPr>
                    <m:t>2</m:t>
                  </m:r>
                </m:sup>
              </m:sSup>
              <m:r>
                <w:rPr>
                  <w:rFonts w:ascii="Cambria Math" w:hAnsi="Cambria Math" w:cs="Segoe UI"/>
                  <w:color w:val="101214"/>
                  <w:szCs w:val="21"/>
                  <w:shd w:val="clear" w:color="auto" w:fill="FFFFFF"/>
                </w:rPr>
                <m:t>f</m:t>
              </m:r>
            </m:num>
            <m:den>
              <m:r>
                <w:rPr>
                  <w:rFonts w:ascii="Cambria Math" w:hAnsi="Cambria Math"/>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2</m:t>
                  </m:r>
                </m:sup>
              </m:sSubSup>
            </m:den>
          </m:f>
          <m:r>
            <w:rPr>
              <w:rFonts w:ascii="Cambria Math" w:hAnsi="Cambria Math" w:cs="Segoe UI"/>
              <w:color w:val="101214"/>
              <w:szCs w:val="21"/>
              <w:shd w:val="clear" w:color="auto" w:fill="FFFFFF"/>
            </w:rPr>
            <m:t>+r</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f>
            <m:fPr>
              <m:ctrlPr>
                <w:rPr>
                  <w:rFonts w:ascii="Cambria Math" w:hAnsi="Cambria Math" w:cs="Segoe UI"/>
                  <w:i/>
                  <w:color w:val="101214"/>
                  <w:szCs w:val="21"/>
                  <w:shd w:val="clear" w:color="auto" w:fill="FFFFFF"/>
                </w:rPr>
              </m:ctrlPr>
            </m:fPr>
            <m:num>
              <m:r>
                <w:rPr>
                  <w:rFonts w:ascii="Cambria Math" w:hAnsi="Cambria Math"/>
                </w:rPr>
                <m:t>∂f</m:t>
              </m:r>
            </m:num>
            <m:den>
              <m:r>
                <w:rPr>
                  <w:rFonts w:ascii="Cambria Math" w:hAnsi="Cambria Math"/>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S</m:t>
                  </m:r>
                </m:e>
                <m:sub>
                  <m:r>
                    <w:rPr>
                      <w:rFonts w:ascii="Cambria Math" w:hAnsi="Cambria Math" w:cs="Segoe UI"/>
                      <w:color w:val="101214"/>
                      <w:szCs w:val="21"/>
                      <w:shd w:val="clear" w:color="auto" w:fill="FFFFFF"/>
                    </w:rPr>
                    <m:t>t</m:t>
                  </m:r>
                </m:sub>
              </m:sSub>
            </m:den>
          </m:f>
          <m:r>
            <w:rPr>
              <w:rFonts w:ascii="Cambria Math" w:hAnsi="Cambria Math" w:cs="Segoe UI"/>
              <w:color w:val="101214"/>
              <w:szCs w:val="21"/>
              <w:shd w:val="clear" w:color="auto" w:fill="FFFFFF"/>
            </w:rPr>
            <m:t>+</m:t>
          </m:r>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f>
            <m:fPr>
              <m:ctrlPr>
                <w:rPr>
                  <w:rFonts w:ascii="Cambria Math" w:hAnsi="Cambria Math" w:cs="Segoe UI"/>
                  <w:i/>
                  <w:color w:val="101214"/>
                  <w:szCs w:val="21"/>
                  <w:shd w:val="clear" w:color="auto" w:fill="FFFFFF"/>
                </w:rPr>
              </m:ctrlPr>
            </m:fPr>
            <m:num>
              <m:r>
                <w:rPr>
                  <w:rFonts w:ascii="Cambria Math" w:hAnsi="Cambria Math"/>
                </w:rPr>
                <m:t>∂f</m:t>
              </m:r>
            </m:num>
            <m:den>
              <m:r>
                <w:rPr>
                  <w:rFonts w:ascii="Cambria Math" w:hAnsi="Cambria Math"/>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den>
          </m:f>
          <m:r>
            <w:rPr>
              <w:rFonts w:ascii="Cambria Math" w:hAnsi="Cambria Math" w:cs="Segoe UI"/>
              <w:color w:val="101214"/>
              <w:szCs w:val="21"/>
              <w:shd w:val="clear" w:color="auto" w:fill="FFFFFF"/>
            </w:rPr>
            <m:t>-rf+</m:t>
          </m:r>
          <m:f>
            <m:fPr>
              <m:ctrlPr>
                <w:rPr>
                  <w:rFonts w:ascii="Cambria Math" w:hAnsi="Cambria Math" w:cs="Segoe UI"/>
                  <w:i/>
                  <w:color w:val="101214"/>
                  <w:szCs w:val="21"/>
                  <w:shd w:val="clear" w:color="auto" w:fill="FFFFFF"/>
                </w:rPr>
              </m:ctrlPr>
            </m:fPr>
            <m:num>
              <m:r>
                <w:rPr>
                  <w:rFonts w:ascii="Cambria Math" w:hAnsi="Cambria Math"/>
                </w:rPr>
                <m:t>∂f</m:t>
              </m:r>
            </m:num>
            <m:den>
              <m:r>
                <w:rPr>
                  <w:rFonts w:ascii="Cambria Math" w:hAnsi="Cambria Math"/>
                </w:rPr>
                <m:t>∂</m:t>
              </m:r>
              <m:r>
                <w:rPr>
                  <w:rFonts w:ascii="Cambria Math" w:hAnsi="Cambria Math" w:cs="Segoe UI"/>
                  <w:color w:val="101214"/>
                  <w:szCs w:val="21"/>
                  <w:shd w:val="clear" w:color="auto" w:fill="FFFFFF"/>
                </w:rPr>
                <m:t>t</m:t>
              </m:r>
            </m:den>
          </m:f>
          <m:r>
            <w:rPr>
              <w:rFonts w:ascii="Cambria Math" w:hAnsi="Cambria Math" w:cs="Segoe UI"/>
              <w:color w:val="101214"/>
              <w:szCs w:val="21"/>
              <w:shd w:val="clear" w:color="auto" w:fill="FFFFFF"/>
            </w:rPr>
            <m:t>=0</m:t>
          </m:r>
        </m:oMath>
      </m:oMathPara>
    </w:p>
    <w:p w14:paraId="1760AE80" w14:textId="52B0E023" w:rsidR="00F24212" w:rsidRDefault="006D1714" w:rsidP="006D1714">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W</w:t>
      </w:r>
      <w:r>
        <w:rPr>
          <w:rFonts w:ascii="Segoe UI" w:hAnsi="Segoe UI" w:cs="Segoe UI"/>
          <w:color w:val="101214"/>
          <w:szCs w:val="21"/>
          <w:shd w:val="clear" w:color="auto" w:fill="FFFFFF"/>
        </w:rPr>
        <w:t xml:space="preserve">here </w:t>
      </w:r>
      <m:oMath>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is the </w:t>
      </w:r>
      <w:r w:rsidR="00F476E6">
        <w:rPr>
          <w:rFonts w:ascii="Segoe UI" w:hAnsi="Segoe UI" w:cs="Segoe UI"/>
          <w:color w:val="101214"/>
          <w:szCs w:val="21"/>
          <w:shd w:val="clear" w:color="auto" w:fill="FFFFFF"/>
        </w:rPr>
        <w:t xml:space="preserve">compensation of volatility </w:t>
      </w:r>
      <w:proofErr w:type="gramStart"/>
      <w:r w:rsidR="00F476E6">
        <w:rPr>
          <w:rFonts w:ascii="Segoe UI" w:hAnsi="Segoe UI" w:cs="Segoe UI"/>
          <w:color w:val="101214"/>
          <w:szCs w:val="21"/>
          <w:shd w:val="clear" w:color="auto" w:fill="FFFFFF"/>
        </w:rPr>
        <w:t>risk</w:t>
      </w:r>
      <w:commentRangeStart w:id="14"/>
      <w:r w:rsidR="00F476E6">
        <w:rPr>
          <w:rFonts w:ascii="Segoe UI" w:hAnsi="Segoe UI" w:cs="Segoe UI"/>
          <w:color w:val="101214"/>
          <w:szCs w:val="21"/>
          <w:shd w:val="clear" w:color="auto" w:fill="FFFFFF"/>
        </w:rPr>
        <w:t>(</w:t>
      </w:r>
      <w:proofErr w:type="gramEnd"/>
      <w:r w:rsidR="00F476E6">
        <w:rPr>
          <w:rFonts w:ascii="Arial" w:hAnsi="Arial" w:cs="Arial"/>
          <w:color w:val="333333"/>
          <w:shd w:val="clear" w:color="auto" w:fill="FFFFFF"/>
        </w:rPr>
        <w:t>Huang and</w:t>
      </w:r>
      <w:r w:rsidR="00F476E6">
        <w:rPr>
          <w:rFonts w:ascii="Segoe UI" w:hAnsi="Segoe UI" w:cs="Segoe UI"/>
          <w:color w:val="101214"/>
          <w:szCs w:val="21"/>
          <w:shd w:val="clear" w:color="auto" w:fill="FFFFFF"/>
        </w:rPr>
        <w:t xml:space="preserve"> </w:t>
      </w:r>
      <w:r w:rsidR="00F476E6">
        <w:rPr>
          <w:rFonts w:ascii="Arial" w:hAnsi="Arial" w:cs="Arial"/>
          <w:color w:val="333333"/>
          <w:shd w:val="clear" w:color="auto" w:fill="FFFFFF"/>
        </w:rPr>
        <w:t>Darien, 2018</w:t>
      </w:r>
      <w:r w:rsidR="00F476E6">
        <w:rPr>
          <w:rFonts w:ascii="Segoe UI" w:hAnsi="Segoe UI" w:cs="Segoe UI"/>
          <w:color w:val="101214"/>
          <w:szCs w:val="21"/>
          <w:shd w:val="clear" w:color="auto" w:fill="FFFFFF"/>
        </w:rPr>
        <w:t>)</w:t>
      </w:r>
      <w:commentRangeEnd w:id="14"/>
      <w:r w:rsidR="00F476E6">
        <w:rPr>
          <w:rStyle w:val="ad"/>
        </w:rPr>
        <w:commentReference w:id="14"/>
      </w:r>
      <w:r w:rsidR="008E3AC0">
        <w:rPr>
          <w:rFonts w:ascii="Segoe UI" w:hAnsi="Segoe UI" w:cs="Segoe UI"/>
          <w:color w:val="101214"/>
          <w:szCs w:val="21"/>
          <w:shd w:val="clear" w:color="auto" w:fill="FFFFFF"/>
        </w:rPr>
        <w:t xml:space="preserve">, thus </w:t>
      </w:r>
      <m:oMath>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8E3AC0">
        <w:rPr>
          <w:rFonts w:ascii="Segoe UI" w:hAnsi="Segoe UI" w:cs="Segoe UI" w:hint="eastAsia"/>
          <w:color w:val="101214"/>
          <w:szCs w:val="21"/>
          <w:shd w:val="clear" w:color="auto" w:fill="FFFFFF"/>
        </w:rPr>
        <w:t xml:space="preserve"> </w:t>
      </w:r>
      <w:r w:rsidR="008E3AC0">
        <w:rPr>
          <w:rFonts w:ascii="Segoe UI" w:hAnsi="Segoe UI" w:cs="Segoe UI"/>
          <w:color w:val="101214"/>
          <w:szCs w:val="21"/>
          <w:shd w:val="clear" w:color="auto" w:fill="FFFFFF"/>
        </w:rPr>
        <w:t xml:space="preserve">is the drift of volatility under the risk-neutral measure </w:t>
      </w: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Q</m:t>
            </m:r>
          </m:e>
        </m:d>
      </m:oMath>
      <w:r w:rsidR="008E3AC0">
        <w:rPr>
          <w:rFonts w:ascii="Segoe UI" w:hAnsi="Segoe UI" w:cs="Segoe UI" w:hint="eastAsia"/>
          <w:color w:val="101214"/>
          <w:szCs w:val="21"/>
          <w:shd w:val="clear" w:color="auto" w:fill="FFFFFF"/>
        </w:rPr>
        <w:t>.</w:t>
      </w:r>
      <w:r w:rsidR="009A218D" w:rsidRPr="009A218D">
        <w:rPr>
          <w:rFonts w:ascii="Cambria Math" w:hAnsi="Cambria Math" w:cs="Segoe UI"/>
          <w:i/>
          <w:color w:val="101214"/>
          <w:szCs w:val="21"/>
          <w:shd w:val="clear" w:color="auto" w:fill="FFFFFF"/>
        </w:rPr>
        <w:t xml:space="preserve"> </w:t>
      </w:r>
      <m:oMath>
        <m:r>
          <w:rPr>
            <w:rFonts w:ascii="Cambria Math" w:hAnsi="Cambria Math" w:cs="Segoe UI"/>
            <w:color w:val="101214"/>
            <w:szCs w:val="21"/>
            <w:shd w:val="clear" w:color="auto" w:fill="FFFFFF"/>
          </w:rPr>
          <m:t>r</m:t>
        </m:r>
      </m:oMath>
      <w:r w:rsidR="009A218D">
        <w:rPr>
          <w:rFonts w:ascii="Cambria Math" w:hAnsi="Cambria Math" w:cs="Segoe UI" w:hint="eastAsia"/>
          <w:i/>
          <w:color w:val="101214"/>
          <w:szCs w:val="21"/>
          <w:shd w:val="clear" w:color="auto" w:fill="FFFFFF"/>
        </w:rPr>
        <w:t xml:space="preserve"> </w:t>
      </w:r>
      <w:r w:rsidR="009A218D">
        <w:rPr>
          <w:rFonts w:ascii="Cambria Math" w:hAnsi="Cambria Math" w:cs="Segoe UI"/>
          <w:iCs/>
          <w:color w:val="101214"/>
          <w:szCs w:val="21"/>
          <w:shd w:val="clear" w:color="auto" w:fill="FFFFFF"/>
        </w:rPr>
        <w:t xml:space="preserve">is the </w:t>
      </w:r>
      <w:proofErr w:type="gramStart"/>
      <w:r w:rsidR="009A218D">
        <w:rPr>
          <w:rFonts w:ascii="Cambria Math" w:hAnsi="Cambria Math" w:cs="Segoe UI"/>
          <w:iCs/>
          <w:color w:val="101214"/>
          <w:szCs w:val="21"/>
          <w:shd w:val="clear" w:color="auto" w:fill="FFFFFF"/>
        </w:rPr>
        <w:t>risk free</w:t>
      </w:r>
      <w:proofErr w:type="gramEnd"/>
      <w:r w:rsidR="009A218D">
        <w:rPr>
          <w:rFonts w:ascii="Cambria Math" w:hAnsi="Cambria Math" w:cs="Segoe UI"/>
          <w:iCs/>
          <w:color w:val="101214"/>
          <w:szCs w:val="21"/>
          <w:shd w:val="clear" w:color="auto" w:fill="FFFFFF"/>
        </w:rPr>
        <w:t xml:space="preserve"> rate, which is set to a constant</w:t>
      </w:r>
      <w:r w:rsidR="009A218D">
        <w:rPr>
          <w:rFonts w:ascii="Segoe UI" w:hAnsi="Segoe UI" w:cs="Segoe UI"/>
          <w:color w:val="101214"/>
          <w:szCs w:val="21"/>
          <w:shd w:val="clear" w:color="auto" w:fill="FFFFFF"/>
        </w:rPr>
        <w:t>.</w:t>
      </w:r>
      <w:r w:rsidR="008E3AC0">
        <w:rPr>
          <w:rFonts w:ascii="Segoe UI" w:hAnsi="Segoe UI" w:cs="Segoe UI"/>
          <w:color w:val="101214"/>
          <w:szCs w:val="21"/>
          <w:shd w:val="clear" w:color="auto" w:fill="FFFFFF"/>
        </w:rPr>
        <w:t xml:space="preserve"> To get the risk-neutral SDE of volatility and stocks, we</w:t>
      </w:r>
      <w:r w:rsidR="009A218D">
        <w:rPr>
          <w:rFonts w:ascii="Segoe UI" w:hAnsi="Segoe UI" w:cs="Segoe UI"/>
          <w:color w:val="101214"/>
          <w:szCs w:val="21"/>
          <w:shd w:val="clear" w:color="auto" w:fill="FFFFFF"/>
        </w:rPr>
        <w:t xml:space="preserve"> </w:t>
      </w:r>
      <w:r w:rsidR="009A218D">
        <w:rPr>
          <w:rFonts w:ascii="Segoe UI" w:hAnsi="Segoe UI" w:cs="Segoe UI" w:hint="eastAsia"/>
          <w:color w:val="101214"/>
          <w:szCs w:val="21"/>
          <w:shd w:val="clear" w:color="auto" w:fill="FFFFFF"/>
        </w:rPr>
        <w:t>u</w:t>
      </w:r>
      <w:r w:rsidR="009A218D">
        <w:rPr>
          <w:rFonts w:ascii="Segoe UI" w:hAnsi="Segoe UI" w:cs="Segoe UI"/>
          <w:color w:val="101214"/>
          <w:szCs w:val="21"/>
          <w:shd w:val="clear" w:color="auto" w:fill="FFFFFF"/>
        </w:rPr>
        <w:t xml:space="preserve">se the </w:t>
      </w:r>
      <w:r w:rsidR="009A218D" w:rsidRPr="009A218D">
        <w:rPr>
          <w:rFonts w:ascii="Segoe UI" w:hAnsi="Segoe UI" w:cs="Segoe UI"/>
          <w:color w:val="101214"/>
          <w:szCs w:val="21"/>
          <w:shd w:val="clear" w:color="auto" w:fill="FFFFFF"/>
        </w:rPr>
        <w:t>Cameron-Martin-</w:t>
      </w:r>
      <w:proofErr w:type="spellStart"/>
      <w:r w:rsidR="009A218D" w:rsidRPr="009A218D">
        <w:rPr>
          <w:rFonts w:ascii="Segoe UI" w:hAnsi="Segoe UI" w:cs="Segoe UI"/>
          <w:color w:val="101214"/>
          <w:szCs w:val="21"/>
          <w:shd w:val="clear" w:color="auto" w:fill="FFFFFF"/>
        </w:rPr>
        <w:t>Girsanov</w:t>
      </w:r>
      <w:proofErr w:type="spellEnd"/>
      <w:r w:rsidR="009A218D" w:rsidRPr="009A218D">
        <w:rPr>
          <w:rFonts w:ascii="Segoe UI" w:hAnsi="Segoe UI" w:cs="Segoe UI"/>
          <w:color w:val="101214"/>
          <w:szCs w:val="21"/>
          <w:shd w:val="clear" w:color="auto" w:fill="FFFFFF"/>
        </w:rPr>
        <w:t xml:space="preserve"> </w:t>
      </w:r>
      <w:r w:rsidR="009A218D">
        <w:rPr>
          <w:rFonts w:ascii="Segoe UI" w:hAnsi="Segoe UI" w:cs="Segoe UI" w:hint="eastAsia"/>
          <w:color w:val="101214"/>
          <w:szCs w:val="21"/>
          <w:shd w:val="clear" w:color="auto" w:fill="FFFFFF"/>
        </w:rPr>
        <w:t>l</w:t>
      </w:r>
      <w:r w:rsidR="009A218D">
        <w:rPr>
          <w:rFonts w:ascii="Segoe UI" w:hAnsi="Segoe UI" w:cs="Segoe UI"/>
          <w:color w:val="101214"/>
          <w:szCs w:val="21"/>
          <w:shd w:val="clear" w:color="auto" w:fill="FFFFFF"/>
        </w:rPr>
        <w:t>emma</w:t>
      </w:r>
      <w:r w:rsidR="008E3AC0">
        <w:rPr>
          <w:rFonts w:ascii="Segoe UI" w:hAnsi="Segoe UI" w:cs="Segoe UI"/>
          <w:color w:val="101214"/>
          <w:szCs w:val="21"/>
          <w:shd w:val="clear" w:color="auto" w:fill="FFFFFF"/>
        </w:rPr>
        <w:t xml:space="preserve"> set </w:t>
      </w:r>
      <w:r w:rsidR="008E3AC0">
        <w:rPr>
          <w:rFonts w:ascii="Cambria Math" w:hAnsi="Cambria Math" w:cs="Segoe UI"/>
          <w:color w:val="101214"/>
          <w:szCs w:val="21"/>
          <w:shd w:val="clear" w:color="auto" w:fill="FFFFFF"/>
        </w:rPr>
        <w:t xml:space="preserve">the </w:t>
      </w:r>
      <w:r w:rsidR="008E3AC0">
        <w:rPr>
          <w:rFonts w:ascii="Segoe UI" w:hAnsi="Segoe UI" w:cs="Segoe UI"/>
          <w:color w:val="101214"/>
          <w:szCs w:val="21"/>
          <w:shd w:val="clear" w:color="auto" w:fill="FFFFFF"/>
        </w:rPr>
        <w:t xml:space="preserve">wiener process of volatility under Q </w:t>
      </w:r>
      <m:oMath>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r>
          <w:rPr>
            <w:rFonts w:ascii="Cambria Math" w:hAnsi="Cambria Math" w:cs="Segoe UI"/>
            <w:color w:val="101214"/>
            <w:szCs w:val="21"/>
            <w:shd w:val="clear" w:color="auto" w:fill="FFFFFF"/>
          </w:rPr>
          <m:t>+</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t</m:t>
            </m:r>
          </m:sup>
          <m:e>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s</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s</m:t>
                    </m:r>
                  </m:sub>
                </m:sSub>
              </m:num>
              <m:den>
                <m:r>
                  <w:rPr>
                    <w:rFonts w:ascii="Cambria Math" w:hAnsi="Cambria Math" w:cs="Segoe UI"/>
                    <w:color w:val="101214"/>
                    <w:szCs w:val="21"/>
                    <w:shd w:val="clear" w:color="auto" w:fill="FFFFFF"/>
                  </w:rPr>
                  <m:t>δ</m:t>
                </m:r>
              </m:den>
            </m:f>
          </m:e>
        </m:nary>
        <m:r>
          <w:rPr>
            <w:rFonts w:ascii="Cambria Math" w:hAnsi="Cambria Math" w:cs="Segoe UI"/>
            <w:color w:val="101214"/>
            <w:szCs w:val="21"/>
            <w:shd w:val="clear" w:color="auto" w:fill="FFFFFF"/>
          </w:rPr>
          <m:t>ds</m:t>
        </m:r>
      </m:oMath>
      <w:r w:rsidR="008E3AC0">
        <w:rPr>
          <w:rFonts w:ascii="Segoe UI" w:hAnsi="Segoe UI" w:cs="Segoe UI" w:hint="eastAsia"/>
          <w:color w:val="101214"/>
          <w:szCs w:val="21"/>
          <w:shd w:val="clear" w:color="auto" w:fill="FFFFFF"/>
        </w:rPr>
        <w:t>,</w:t>
      </w:r>
      <w:r w:rsidR="008E3AC0">
        <w:rPr>
          <w:rFonts w:ascii="Segoe UI" w:hAnsi="Segoe UI" w:cs="Segoe UI"/>
          <w:color w:val="101214"/>
          <w:szCs w:val="21"/>
          <w:shd w:val="clear" w:color="auto" w:fill="FFFFFF"/>
        </w:rPr>
        <w:t xml:space="preserve"> in which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r>
          <w:rPr>
            <w:rFonts w:ascii="Cambria Math" w:hAnsi="Cambria Math" w:cs="Segoe UI"/>
            <w:color w:val="101214"/>
            <w:szCs w:val="21"/>
            <w:shd w:val="clear" w:color="auto" w:fill="FFFFFF"/>
          </w:rPr>
          <m:t>~N</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t</m:t>
                </m:r>
              </m:sup>
              <m:e>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s</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s</m:t>
                        </m:r>
                      </m:sub>
                    </m:sSub>
                  </m:num>
                  <m:den>
                    <m:r>
                      <w:rPr>
                        <w:rFonts w:ascii="Cambria Math" w:hAnsi="Cambria Math" w:cs="Segoe UI"/>
                        <w:color w:val="101214"/>
                        <w:szCs w:val="21"/>
                        <w:shd w:val="clear" w:color="auto" w:fill="FFFFFF"/>
                      </w:rPr>
                      <m:t>δ</m:t>
                    </m:r>
                  </m:den>
                </m:f>
              </m:e>
            </m:nary>
            <m:r>
              <w:rPr>
                <w:rFonts w:ascii="Cambria Math" w:hAnsi="Cambria Math" w:cs="Segoe UI"/>
                <w:color w:val="101214"/>
                <w:szCs w:val="21"/>
                <w:shd w:val="clear" w:color="auto" w:fill="FFFFFF"/>
              </w:rPr>
              <m:t>ds, t</m:t>
            </m:r>
          </m:e>
        </m:d>
      </m:oMath>
      <w:r w:rsidR="008E3AC0">
        <w:rPr>
          <w:rFonts w:ascii="Segoe UI" w:hAnsi="Segoe UI" w:cs="Segoe UI" w:hint="eastAsia"/>
          <w:color w:val="101214"/>
          <w:szCs w:val="21"/>
          <w:shd w:val="clear" w:color="auto" w:fill="FFFFFF"/>
        </w:rPr>
        <w:t>.</w:t>
      </w:r>
      <w:r w:rsidR="008E3AC0">
        <w:rPr>
          <w:rFonts w:ascii="Segoe UI" w:hAnsi="Segoe UI" w:cs="Segoe UI"/>
          <w:color w:val="101214"/>
          <w:szCs w:val="21"/>
          <w:shd w:val="clear" w:color="auto" w:fill="FFFFFF"/>
        </w:rPr>
        <w:t>Thus we get the SDE of volatility under Q measure</w:t>
      </w:r>
      <w:r w:rsidR="00D40388">
        <w:rPr>
          <w:rFonts w:ascii="Segoe UI" w:hAnsi="Segoe UI" w:cs="Segoe UI"/>
          <w:color w:val="101214"/>
          <w:szCs w:val="21"/>
          <w:shd w:val="clear" w:color="auto" w:fill="FFFFFF"/>
        </w:rPr>
        <w:t>:</w:t>
      </w:r>
    </w:p>
    <w:p w14:paraId="05D861F5" w14:textId="6EFB413D" w:rsidR="00FC64BE" w:rsidRPr="00667DD8" w:rsidRDefault="00000000" w:rsidP="00FC64BE">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3</m:t>
              </m:r>
            </m:e>
          </m:d>
        </m:oMath>
      </m:oMathPara>
    </w:p>
    <w:p w14:paraId="7EF89843" w14:textId="7DD5FEF2" w:rsidR="00FC64BE" w:rsidRPr="00667DD8" w:rsidRDefault="00FC64BE" w:rsidP="00FC64BE">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κ</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θ-</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-λ</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dt+δd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oMath>
      </m:oMathPara>
    </w:p>
    <w:p w14:paraId="2B0668F0" w14:textId="6FC9E420" w:rsidR="00FC64BE" w:rsidRDefault="00FC64BE" w:rsidP="00FC64BE">
      <w:pPr>
        <w:ind w:firstLineChars="100" w:firstLine="210"/>
      </w:pPr>
      <w:r>
        <w:rPr>
          <w:rFonts w:ascii="Segoe UI" w:hAnsi="Segoe UI" w:cs="Segoe UI" w:hint="eastAsia"/>
          <w:color w:val="101214"/>
          <w:szCs w:val="21"/>
          <w:shd w:val="clear" w:color="auto" w:fill="FFFFFF"/>
        </w:rPr>
        <w:t>T</w:t>
      </w:r>
      <w:r>
        <w:rPr>
          <w:rFonts w:ascii="Segoe UI" w:hAnsi="Segoe UI" w:cs="Segoe UI"/>
          <w:color w:val="101214"/>
          <w:szCs w:val="21"/>
          <w:shd w:val="clear" w:color="auto" w:fill="FFFFFF"/>
        </w:rPr>
        <w:t xml:space="preserve">o get the solution of volatility SDE under </w:t>
      </w:r>
      <w:proofErr w:type="gramStart"/>
      <w:r>
        <w:rPr>
          <w:rFonts w:ascii="Segoe UI" w:hAnsi="Segoe UI" w:cs="Segoe UI"/>
          <w:color w:val="101214"/>
          <w:szCs w:val="21"/>
          <w:shd w:val="clear" w:color="auto" w:fill="FFFFFF"/>
        </w:rPr>
        <w:t>Q</w:t>
      </w:r>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,we</w:t>
      </w:r>
      <w:proofErr w:type="gramEnd"/>
      <w:r>
        <w:rPr>
          <w:rFonts w:ascii="Segoe UI" w:hAnsi="Segoe UI" w:cs="Segoe UI"/>
          <w:color w:val="101214"/>
          <w:szCs w:val="21"/>
          <w:shd w:val="clear" w:color="auto" w:fill="FFFFFF"/>
        </w:rPr>
        <w:t xml:space="preserve"> substitute </w:t>
      </w:r>
      <m:oMath>
        <m:r>
          <w:rPr>
            <w:rFonts w:ascii="Cambria Math" w:hAnsi="Cambria Math" w:cs="Segoe UI"/>
            <w:color w:val="101214"/>
            <w:szCs w:val="21"/>
            <w:shd w:val="clear" w:color="auto" w:fill="FFFFFF"/>
          </w:rPr>
          <m:t>β=κ+λ</m:t>
        </m:r>
      </m:oMath>
      <w:r>
        <w:rPr>
          <w:rFonts w:ascii="Segoe UI" w:hAnsi="Segoe UI" w:cs="Segoe UI"/>
          <w:color w:val="101214"/>
          <w:szCs w:val="21"/>
          <w:shd w:val="clear" w:color="auto" w:fill="FFFFFF"/>
        </w:rPr>
        <w:t xml:space="preserve"> and </w:t>
      </w:r>
      <m:oMath>
        <m:r>
          <w:rPr>
            <w:rFonts w:ascii="Cambria Math" w:hAnsi="Cambria Math" w:cs="Segoe UI"/>
            <w:color w:val="101214"/>
            <w:szCs w:val="21"/>
            <w:shd w:val="clear" w:color="auto" w:fill="FFFFFF"/>
          </w:rPr>
          <m:t>v=</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κθ</m:t>
            </m:r>
          </m:num>
          <m:den>
            <m:r>
              <w:rPr>
                <w:rFonts w:ascii="Cambria Math" w:hAnsi="Cambria Math" w:cs="Segoe UI"/>
                <w:color w:val="101214"/>
                <w:szCs w:val="21"/>
                <w:shd w:val="clear" w:color="auto" w:fill="FFFFFF"/>
              </w:rPr>
              <m:t>κ+λ</m:t>
            </m:r>
          </m:den>
        </m:f>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into Equation (3) so that it takes the form </w:t>
      </w:r>
      <w:r w:rsidRPr="00FC64BE">
        <w:rPr>
          <w:rFonts w:hint="eastAsia"/>
        </w:rPr>
        <w:t>Ornstein-</w:t>
      </w:r>
      <w:proofErr w:type="spellStart"/>
      <w:r w:rsidRPr="00FC64BE">
        <w:rPr>
          <w:rFonts w:hint="eastAsia"/>
        </w:rPr>
        <w:t>Uhlenbeck</w:t>
      </w:r>
      <w:proofErr w:type="spellEnd"/>
      <w:r>
        <w:t xml:space="preserve"> process[]:</w:t>
      </w:r>
    </w:p>
    <w:p w14:paraId="139DDC8D" w14:textId="102D0B74" w:rsidR="00387B33" w:rsidRPr="00667DD8" w:rsidRDefault="00000000" w:rsidP="00387B33">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4</m:t>
              </m:r>
            </m:e>
          </m:d>
        </m:oMath>
      </m:oMathPara>
    </w:p>
    <w:p w14:paraId="2A22C3C6" w14:textId="094DE1DD" w:rsidR="00387B33" w:rsidRPr="00667DD8" w:rsidRDefault="00387B33" w:rsidP="00387B33">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dt+δd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oMath>
      </m:oMathPara>
    </w:p>
    <w:p w14:paraId="2F419052" w14:textId="42654ED3" w:rsidR="00FC64BE" w:rsidRDefault="0088236E" w:rsidP="00FC64BE">
      <w:pPr>
        <w:ind w:firstLineChars="100" w:firstLine="210"/>
        <w:rPr>
          <w:rFonts w:ascii="Segoe UI" w:hAnsi="Segoe UI" w:cs="Segoe UI"/>
          <w:color w:val="101214"/>
          <w:szCs w:val="21"/>
          <w:shd w:val="clear" w:color="auto" w:fill="FFFFFF"/>
        </w:rPr>
      </w:pPr>
      <w:r>
        <w:rPr>
          <w:rFonts w:ascii="Segoe UI" w:hAnsi="Segoe UI" w:cs="Segoe UI"/>
          <w:color w:val="101214"/>
          <w:szCs w:val="21"/>
          <w:shd w:val="clear" w:color="auto" w:fill="FFFFFF"/>
        </w:rPr>
        <w:t xml:space="preserve">When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are much higher than </w:t>
      </w:r>
      <m:oMath>
        <m:r>
          <w:rPr>
            <w:rFonts w:ascii="Cambria Math" w:hAnsi="Cambria Math" w:cs="Segoe UI"/>
            <w:color w:val="101214"/>
            <w:szCs w:val="21"/>
            <w:shd w:val="clear" w:color="auto" w:fill="FFFFFF"/>
          </w:rPr>
          <m:t>ν</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(the volatility increase higher than </w:t>
      </w:r>
      <m:oMath>
        <m:r>
          <w:rPr>
            <w:rFonts w:ascii="Cambria Math" w:hAnsi="Cambria Math" w:cs="Segoe UI"/>
            <w:color w:val="101214"/>
            <w:szCs w:val="21"/>
            <w:shd w:val="clear" w:color="auto" w:fill="FFFFFF"/>
          </w:rPr>
          <m:t>ν</m:t>
        </m:r>
      </m:oMath>
      <w:r>
        <w:rPr>
          <w:rFonts w:ascii="Segoe UI" w:hAnsi="Segoe UI" w:cs="Segoe UI"/>
          <w:color w:val="101214"/>
          <w:szCs w:val="21"/>
          <w:shd w:val="clear" w:color="auto" w:fill="FFFFFF"/>
        </w:rPr>
        <w:t xml:space="preserve">), the </w:t>
      </w:r>
      <m:oMath>
        <m:r>
          <w:rPr>
            <w:rFonts w:ascii="Cambria Math" w:hAnsi="Cambria Math" w:cs="Segoe UI"/>
            <w:color w:val="101214"/>
            <w:szCs w:val="21"/>
            <w:shd w:val="clear" w:color="auto" w:fill="FFFFFF"/>
          </w:rPr>
          <w:lastRenderedPageBreak/>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will be much more negative, thus </w:t>
      </w:r>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sidRPr="00C85999">
        <w:rPr>
          <w:rFonts w:ascii="Segoe UI" w:hAnsi="Segoe UI" w:cs="Segoe UI"/>
          <w:color w:val="101214"/>
          <w:szCs w:val="21"/>
          <w:shd w:val="clear" w:color="auto" w:fill="FFFFFF"/>
        </w:rPr>
        <w:t>will become negative with a greater probability</w:t>
      </w:r>
      <w:r>
        <w:rPr>
          <w:rFonts w:ascii="Segoe UI" w:hAnsi="Segoe UI" w:cs="Segoe UI"/>
          <w:color w:val="101214"/>
          <w:szCs w:val="21"/>
          <w:shd w:val="clear" w:color="auto" w:fill="FFFFFF"/>
        </w:rPr>
        <w:t xml:space="preserve"> (the volatility tends to move down even more); When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are much lower than </w:t>
      </w:r>
      <m:oMath>
        <m:r>
          <w:rPr>
            <w:rFonts w:ascii="Cambria Math" w:hAnsi="Cambria Math" w:cs="Segoe UI"/>
            <w:color w:val="101214"/>
            <w:szCs w:val="21"/>
            <w:shd w:val="clear" w:color="auto" w:fill="FFFFFF"/>
          </w:rPr>
          <m:t>ν</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(the volatility decrease lower than </w:t>
      </w:r>
      <m:oMath>
        <m:r>
          <w:rPr>
            <w:rFonts w:ascii="Cambria Math" w:hAnsi="Cambria Math" w:cs="Segoe UI"/>
            <w:color w:val="101214"/>
            <w:szCs w:val="21"/>
            <w:shd w:val="clear" w:color="auto" w:fill="FFFFFF"/>
          </w:rPr>
          <m:t>ν</m:t>
        </m:r>
      </m:oMath>
      <w:r>
        <w:rPr>
          <w:rFonts w:ascii="Segoe UI" w:hAnsi="Segoe UI" w:cs="Segoe UI"/>
          <w:color w:val="101214"/>
          <w:szCs w:val="21"/>
          <w:shd w:val="clear" w:color="auto" w:fill="FFFFFF"/>
        </w:rPr>
        <w:t xml:space="preserve">), the </w:t>
      </w:r>
      <m:oMath>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will be much more positive, thus </w:t>
      </w:r>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sidRPr="00C85999">
        <w:rPr>
          <w:rFonts w:ascii="Segoe UI" w:hAnsi="Segoe UI" w:cs="Segoe UI"/>
          <w:color w:val="101214"/>
          <w:szCs w:val="21"/>
          <w:shd w:val="clear" w:color="auto" w:fill="FFFFFF"/>
        </w:rPr>
        <w:t xml:space="preserve">will become </w:t>
      </w:r>
      <w:r>
        <w:rPr>
          <w:rFonts w:ascii="Segoe UI" w:hAnsi="Segoe UI" w:cs="Segoe UI"/>
          <w:color w:val="101214"/>
          <w:szCs w:val="21"/>
          <w:shd w:val="clear" w:color="auto" w:fill="FFFFFF"/>
        </w:rPr>
        <w:t>positive</w:t>
      </w:r>
      <w:r w:rsidRPr="00C85999">
        <w:rPr>
          <w:rFonts w:ascii="Segoe UI" w:hAnsi="Segoe UI" w:cs="Segoe UI"/>
          <w:color w:val="101214"/>
          <w:szCs w:val="21"/>
          <w:shd w:val="clear" w:color="auto" w:fill="FFFFFF"/>
        </w:rPr>
        <w:t xml:space="preserve"> with a greater probability</w:t>
      </w:r>
      <w:r>
        <w:rPr>
          <w:rFonts w:ascii="Segoe UI" w:hAnsi="Segoe UI" w:cs="Segoe UI"/>
          <w:color w:val="101214"/>
          <w:szCs w:val="21"/>
          <w:shd w:val="clear" w:color="auto" w:fill="FFFFFF"/>
        </w:rPr>
        <w:t xml:space="preserve"> (the volatility tends to move up even more). We call this form of movement in volatility mean reverting. </w:t>
      </w:r>
      <w:r w:rsidR="000A7B36">
        <w:rPr>
          <w:rFonts w:ascii="Segoe UI" w:hAnsi="Segoe UI" w:cs="Segoe UI"/>
          <w:color w:val="101214"/>
          <w:szCs w:val="21"/>
          <w:shd w:val="clear" w:color="auto" w:fill="FFFFFF"/>
        </w:rPr>
        <w:t xml:space="preserve">The solution of Equation (4) </w:t>
      </w:r>
      <w:proofErr w:type="gramStart"/>
      <w:r w:rsidR="000A7B36">
        <w:rPr>
          <w:rFonts w:ascii="Segoe UI" w:hAnsi="Segoe UI" w:cs="Segoe UI"/>
          <w:color w:val="101214"/>
          <w:szCs w:val="21"/>
          <w:shd w:val="clear" w:color="auto" w:fill="FFFFFF"/>
        </w:rPr>
        <w:t>is</w:t>
      </w:r>
      <w:commentRangeStart w:id="15"/>
      <w:r w:rsidR="000A7B36">
        <w:rPr>
          <w:rFonts w:ascii="Segoe UI" w:hAnsi="Segoe UI" w:cs="Segoe UI"/>
          <w:color w:val="101214"/>
          <w:szCs w:val="21"/>
          <w:shd w:val="clear" w:color="auto" w:fill="FFFFFF"/>
        </w:rPr>
        <w:t>[</w:t>
      </w:r>
      <w:proofErr w:type="gramEnd"/>
      <w:r w:rsidR="000A7B36">
        <w:rPr>
          <w:rFonts w:ascii="Segoe UI" w:hAnsi="Segoe UI" w:cs="Segoe UI"/>
          <w:color w:val="101214"/>
          <w:szCs w:val="21"/>
          <w:shd w:val="clear" w:color="auto" w:fill="FFFFFF"/>
        </w:rPr>
        <w:t>]</w:t>
      </w:r>
      <w:commentRangeEnd w:id="15"/>
      <w:r w:rsidR="000A7B36">
        <w:rPr>
          <w:rStyle w:val="ad"/>
        </w:rPr>
        <w:commentReference w:id="15"/>
      </w:r>
      <w:r w:rsidR="000A7B36">
        <w:rPr>
          <w:rFonts w:ascii="Segoe UI" w:hAnsi="Segoe UI" w:cs="Segoe UI"/>
          <w:color w:val="101214"/>
          <w:szCs w:val="21"/>
          <w:shd w:val="clear" w:color="auto" w:fill="FFFFFF"/>
        </w:rPr>
        <w:t>:</w:t>
      </w:r>
      <w:proofErr w:type="spellStart"/>
      <w:r w:rsidR="00505B03">
        <w:rPr>
          <w:rFonts w:ascii="Segoe UI" w:hAnsi="Segoe UI" w:cs="Segoe UI"/>
          <w:color w:val="101214"/>
          <w:szCs w:val="21"/>
          <w:shd w:val="clear" w:color="auto" w:fill="FFFFFF"/>
        </w:rPr>
        <w:t>jfdjllingking</w:t>
      </w:r>
      <w:proofErr w:type="spellEnd"/>
      <w:r w:rsidR="00505B03">
        <w:rPr>
          <w:rFonts w:ascii="Segoe UI" w:hAnsi="Segoe UI" w:cs="Segoe UI"/>
          <w:color w:val="101214"/>
          <w:szCs w:val="21"/>
          <w:shd w:val="clear" w:color="auto" w:fill="FFFFFF"/>
        </w:rPr>
        <w:t xml:space="preserve"> suite by WRDS, </w:t>
      </w:r>
    </w:p>
    <w:p w14:paraId="327C1A7A" w14:textId="389E6DC8" w:rsidR="00F975DB" w:rsidRPr="00667DD8" w:rsidRDefault="00000000" w:rsidP="00F975DB">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5</m:t>
              </m:r>
            </m:e>
          </m:d>
        </m:oMath>
      </m:oMathPara>
    </w:p>
    <w:p w14:paraId="56A5F520" w14:textId="4DDB577B" w:rsidR="000A7B36" w:rsidRPr="00F975DB" w:rsidRDefault="00000000" w:rsidP="00FC64BE">
      <w:pPr>
        <w:ind w:firstLineChars="100" w:firstLine="210"/>
        <w:rPr>
          <w:rFonts w:ascii="Segoe UI" w:hAnsi="Segoe UI" w:cs="Segoe UI"/>
          <w:color w:val="101214"/>
          <w:szCs w:val="21"/>
          <w:shd w:val="clear" w:color="auto" w:fill="FFFFFF"/>
        </w:rPr>
      </w:pPr>
      <m:oMathPara>
        <m:oMathParaPr>
          <m:jc m:val="center"/>
        </m:oMathParaP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0</m:t>
              </m:r>
            </m:sub>
          </m:sSub>
          <m:r>
            <w:rPr>
              <w:rFonts w:ascii="Cambria Math" w:hAnsi="Cambria Math" w:cs="Segoe UI"/>
              <w:color w:val="101214"/>
              <w:szCs w:val="21"/>
              <w:shd w:val="clear" w:color="auto" w:fill="FFFFFF"/>
            </w:rPr>
            <m:t>+v</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e>
          </m:d>
          <m:r>
            <w:rPr>
              <w:rFonts w:ascii="Cambria Math" w:hAnsi="Cambria Math" w:cs="Segoe UI"/>
              <w:color w:val="101214"/>
              <w:szCs w:val="21"/>
              <w:shd w:val="clear" w:color="auto" w:fill="FFFFFF"/>
            </w:rPr>
            <m:t>+δ</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t</m:t>
              </m:r>
            </m:sup>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-β(t-s)</m:t>
                  </m:r>
                </m:sup>
              </m:sSup>
              <m:r>
                <w:rPr>
                  <w:rFonts w:ascii="Cambria Math" w:hAnsi="Cambria Math" w:cs="Segoe UI"/>
                  <w:color w:val="101214"/>
                  <w:szCs w:val="21"/>
                  <w:shd w:val="clear" w:color="auto" w:fill="FFFFFF"/>
                </w:rPr>
                <m:t>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e>
          </m:nary>
        </m:oMath>
      </m:oMathPara>
    </w:p>
    <w:p w14:paraId="5B1D316A" w14:textId="1010A442" w:rsidR="00FC64BE" w:rsidRDefault="00F975DB" w:rsidP="006A1487">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W</w:t>
      </w:r>
      <w:r>
        <w:rPr>
          <w:rFonts w:ascii="Segoe UI" w:hAnsi="Segoe UI" w:cs="Segoe UI"/>
          <w:color w:val="101214"/>
          <w:szCs w:val="21"/>
          <w:shd w:val="clear" w:color="auto" w:fill="FFFFFF"/>
        </w:rPr>
        <w:t xml:space="preserve">here </w:t>
      </w:r>
      <m:oMath>
        <m:r>
          <w:rPr>
            <w:rFonts w:ascii="Cambria Math" w:hAnsi="Cambria Math" w:cs="Segoe UI"/>
            <w:color w:val="101214"/>
            <w:szCs w:val="21"/>
            <w:shd w:val="clear" w:color="auto" w:fill="FFFFFF"/>
          </w:rPr>
          <m:t>v</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and</w:t>
      </w:r>
      <w:r>
        <w:rPr>
          <w:rFonts w:ascii="Segoe UI" w:hAnsi="Segoe UI" w:cs="Segoe UI" w:hint="eastAsia"/>
          <w:color w:val="101214"/>
          <w:szCs w:val="21"/>
          <w:shd w:val="clear" w:color="auto" w:fill="FFFFFF"/>
        </w:rPr>
        <w:t xml:space="preserve"> </w:t>
      </w:r>
      <m:oMath>
        <m:r>
          <w:rPr>
            <w:rFonts w:ascii="Cambria Math" w:hAnsi="Cambria Math" w:cs="Segoe UI"/>
            <w:color w:val="101214"/>
            <w:szCs w:val="21"/>
            <w:shd w:val="clear" w:color="auto" w:fill="FFFFFF"/>
          </w:rPr>
          <m:t>β</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r</w:t>
      </w:r>
      <w:r w:rsidRPr="0010479E">
        <w:rPr>
          <w:rFonts w:ascii="Segoe UI" w:hAnsi="Segoe UI" w:cs="Segoe UI"/>
          <w:color w:val="101214"/>
          <w:szCs w:val="21"/>
          <w:shd w:val="clear" w:color="auto" w:fill="FFFFFF"/>
        </w:rPr>
        <w:t xml:space="preserve">epresent </w:t>
      </w:r>
      <w:r>
        <w:rPr>
          <w:rFonts w:ascii="Segoe UI" w:hAnsi="Segoe UI" w:cs="Segoe UI"/>
          <w:color w:val="101214"/>
          <w:szCs w:val="21"/>
          <w:shd w:val="clear" w:color="auto" w:fill="FFFFFF"/>
        </w:rPr>
        <w:t xml:space="preserve">long-term mean and the speed of mean reversion under Q measure, respectively. We can get the risk-neutral volatility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from the option price, which is called the implied volatility.</w:t>
      </w:r>
      <w:r w:rsidRPr="00F975DB">
        <w:rPr>
          <w:rFonts w:ascii="Segoe UI" w:hAnsi="Segoe UI" w:cs="Segoe UI"/>
          <w:color w:val="101214"/>
          <w:szCs w:val="21"/>
          <w:shd w:val="clear" w:color="auto" w:fill="FFFFFF"/>
        </w:rPr>
        <w:t xml:space="preserve"> </w:t>
      </w:r>
      <w:r>
        <w:rPr>
          <w:rFonts w:ascii="Segoe UI" w:hAnsi="Segoe UI" w:cs="Segoe UI"/>
          <w:color w:val="101214"/>
          <w:szCs w:val="21"/>
          <w:shd w:val="clear" w:color="auto" w:fill="FFFFFF"/>
        </w:rPr>
        <w:t xml:space="preserve">The implied volatility follows the mean reversion process, and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~N</m:t>
        </m:r>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0</m:t>
                </m:r>
              </m:sub>
            </m:sSub>
            <m:r>
              <w:rPr>
                <w:rFonts w:ascii="Cambria Math" w:hAnsi="Cambria Math" w:cs="Segoe UI"/>
                <w:color w:val="101214"/>
                <w:szCs w:val="21"/>
                <w:shd w:val="clear" w:color="auto" w:fill="FFFFFF"/>
              </w:rPr>
              <m:t>+v</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e>
            </m:d>
            <m:r>
              <w:rPr>
                <w:rFonts w:ascii="Cambria Math" w:hAnsi="Cambria Math" w:cs="Segoe UI"/>
                <w:color w:val="101214"/>
                <w:szCs w:val="21"/>
                <w:shd w:val="clear" w:color="auto" w:fill="FFFFFF"/>
              </w:rPr>
              <m:t xml:space="preserve">, </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2β</m:t>
                </m:r>
              </m:den>
            </m:f>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-2βt</m:t>
                    </m:r>
                  </m:sup>
                </m:sSup>
              </m:e>
            </m:d>
          </m:e>
        </m:d>
      </m:oMath>
      <w:r w:rsidR="009A218D">
        <w:rPr>
          <w:rFonts w:ascii="Segoe UI" w:hAnsi="Segoe UI" w:cs="Segoe UI" w:hint="eastAsia"/>
          <w:color w:val="101214"/>
          <w:szCs w:val="21"/>
          <w:shd w:val="clear" w:color="auto" w:fill="FFFFFF"/>
        </w:rPr>
        <w:t>.</w:t>
      </w:r>
      <w:r w:rsidR="009A218D">
        <w:rPr>
          <w:rFonts w:ascii="Segoe UI" w:hAnsi="Segoe UI" w:cs="Segoe UI"/>
          <w:color w:val="101214"/>
          <w:szCs w:val="21"/>
          <w:shd w:val="clear" w:color="auto" w:fill="FFFFFF"/>
        </w:rPr>
        <w:t xml:space="preserve">From the Equation(5), we can get the math process of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9A218D">
        <w:rPr>
          <w:rFonts w:ascii="Segoe UI" w:hAnsi="Segoe UI" w:cs="Segoe UI" w:hint="eastAsia"/>
          <w:color w:val="101214"/>
          <w:szCs w:val="21"/>
          <w:shd w:val="clear" w:color="auto" w:fill="FFFFFF"/>
        </w:rPr>
        <w:t>,</w:t>
      </w:r>
      <w:r w:rsidR="009A218D">
        <w:rPr>
          <w:rFonts w:ascii="Segoe UI" w:hAnsi="Segoe UI" w:cs="Segoe UI"/>
          <w:color w:val="101214"/>
          <w:szCs w:val="21"/>
          <w:shd w:val="clear" w:color="auto" w:fill="FFFFFF"/>
        </w:rPr>
        <w:t xml:space="preserve"> include its possible values and the corresponding probability.</w:t>
      </w:r>
      <w:r w:rsidR="006A1487">
        <w:rPr>
          <w:rFonts w:ascii="Segoe UI" w:hAnsi="Segoe UI" w:cs="Segoe UI"/>
          <w:color w:val="101214"/>
          <w:szCs w:val="21"/>
          <w:shd w:val="clear" w:color="auto" w:fill="FFFFFF"/>
        </w:rPr>
        <w:t xml:space="preserve"> </w:t>
      </w:r>
    </w:p>
    <w:p w14:paraId="046DF323" w14:textId="091526B0" w:rsidR="00FC64BE" w:rsidRDefault="00FC64BE" w:rsidP="00AA3F48">
      <w:pPr>
        <w:rPr>
          <w:rFonts w:ascii="Segoe UI" w:hAnsi="Segoe UI" w:cs="Segoe UI"/>
          <w:color w:val="101214"/>
          <w:szCs w:val="21"/>
          <w:shd w:val="clear" w:color="auto" w:fill="FFFFFF"/>
        </w:rPr>
      </w:pPr>
    </w:p>
    <w:p w14:paraId="38AD96E6" w14:textId="18C94E79" w:rsidR="00192F4D" w:rsidRDefault="00192F4D" w:rsidP="00192F4D">
      <w:pPr>
        <w:pStyle w:val="2"/>
      </w:pPr>
      <w:r>
        <w:rPr>
          <w:rFonts w:hint="eastAsia"/>
        </w:rPr>
        <w:t>R</w:t>
      </w:r>
      <w:r>
        <w:t>esponse of Volatility to Distance</w:t>
      </w:r>
    </w:p>
    <w:p w14:paraId="50428284" w14:textId="1687434E" w:rsidR="006355D4" w:rsidRDefault="00AA3F48" w:rsidP="00AA3F48">
      <w:pPr>
        <w:ind w:firstLineChars="100" w:firstLine="210"/>
        <w:rPr>
          <w:rFonts w:ascii="Segoe UI" w:hAnsi="Segoe UI" w:cs="Segoe UI"/>
          <w:color w:val="101214"/>
          <w:szCs w:val="21"/>
          <w:shd w:val="clear" w:color="auto" w:fill="FFFFFF"/>
        </w:rPr>
      </w:pPr>
      <w:r>
        <w:rPr>
          <w:rFonts w:ascii="Segoe UI" w:hAnsi="Segoe UI" w:cs="Segoe UI"/>
          <w:color w:val="101214"/>
          <w:szCs w:val="21"/>
          <w:shd w:val="clear" w:color="auto" w:fill="FFFFFF"/>
        </w:rPr>
        <w:t>According to the volatility SDE under Q Equation</w:t>
      </w:r>
      <m:oMath>
        <m:r>
          <w:rPr>
            <w:rFonts w:ascii="Cambria Math" w:hAnsi="Cambria Math" w:cs="Segoe UI"/>
            <w:color w:val="101214"/>
            <w:szCs w:val="21"/>
            <w:shd w:val="clear" w:color="auto" w:fill="FFFFFF"/>
          </w:rPr>
          <m:t xml:space="preserve"> </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4</m:t>
            </m:r>
          </m:e>
        </m:d>
      </m:oMath>
      <w:r>
        <w:rPr>
          <w:rFonts w:ascii="Segoe UI" w:hAnsi="Segoe UI" w:cs="Segoe UI"/>
          <w:color w:val="101214"/>
          <w:szCs w:val="21"/>
          <w:shd w:val="clear" w:color="auto" w:fill="FFFFFF"/>
        </w:rPr>
        <w:t xml:space="preserve">, the implied volatility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fluctuates around long-term mean of volatility </w:t>
      </w:r>
      <m:oMath>
        <m:r>
          <w:rPr>
            <w:rFonts w:ascii="Cambria Math" w:hAnsi="Cambria Math" w:cs="Segoe UI"/>
            <w:color w:val="101214"/>
            <w:szCs w:val="21"/>
            <w:shd w:val="clear" w:color="auto" w:fill="FFFFFF"/>
          </w:rPr>
          <m:t>ν</m:t>
        </m:r>
      </m:oMath>
      <w:r>
        <w:rPr>
          <w:rFonts w:ascii="Segoe UI" w:hAnsi="Segoe UI" w:cs="Segoe UI" w:hint="eastAsia"/>
          <w:color w:val="101214"/>
          <w:szCs w:val="21"/>
          <w:shd w:val="clear" w:color="auto" w:fill="FFFFFF"/>
        </w:rPr>
        <w:t>.</w:t>
      </w:r>
      <w:r w:rsidR="006355D4">
        <w:rPr>
          <w:rFonts w:ascii="Segoe UI" w:hAnsi="Segoe UI" w:cs="Segoe UI"/>
          <w:color w:val="101214"/>
          <w:szCs w:val="21"/>
          <w:shd w:val="clear" w:color="auto" w:fill="FFFFFF"/>
        </w:rPr>
        <w:t xml:space="preserve"> </w:t>
      </w:r>
      <w:r w:rsidR="00A47DA5">
        <w:rPr>
          <w:rFonts w:ascii="Segoe UI" w:hAnsi="Segoe UI" w:cs="Segoe UI"/>
          <w:color w:val="101214"/>
          <w:szCs w:val="21"/>
          <w:shd w:val="clear" w:color="auto" w:fill="FFFFFF"/>
        </w:rPr>
        <w:t xml:space="preserve">For researching the response of volatility to distance between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A47DA5">
        <w:rPr>
          <w:rFonts w:ascii="Segoe UI" w:hAnsi="Segoe UI" w:cs="Segoe UI" w:hint="eastAsia"/>
          <w:color w:val="101214"/>
          <w:szCs w:val="21"/>
          <w:shd w:val="clear" w:color="auto" w:fill="FFFFFF"/>
        </w:rPr>
        <w:t xml:space="preserve"> </w:t>
      </w:r>
      <w:r w:rsidR="00A47DA5">
        <w:rPr>
          <w:rFonts w:ascii="Segoe UI" w:hAnsi="Segoe UI" w:cs="Segoe UI"/>
          <w:color w:val="101214"/>
          <w:szCs w:val="21"/>
          <w:shd w:val="clear" w:color="auto" w:fill="FFFFFF"/>
        </w:rPr>
        <w:t xml:space="preserve">and </w:t>
      </w:r>
      <m:oMath>
        <m:r>
          <w:rPr>
            <w:rFonts w:ascii="Cambria Math" w:hAnsi="Cambria Math" w:cs="Segoe UI"/>
            <w:color w:val="101214"/>
            <w:szCs w:val="21"/>
            <w:shd w:val="clear" w:color="auto" w:fill="FFFFFF"/>
          </w:rPr>
          <m:t>ν</m:t>
        </m:r>
      </m:oMath>
      <w:r w:rsidR="00A47DA5">
        <w:rPr>
          <w:rFonts w:ascii="Segoe UI" w:hAnsi="Segoe UI" w:cs="Segoe UI" w:hint="eastAsia"/>
          <w:color w:val="101214"/>
          <w:szCs w:val="21"/>
          <w:shd w:val="clear" w:color="auto" w:fill="FFFFFF"/>
        </w:rPr>
        <w:t xml:space="preserve"> </w:t>
      </w:r>
      <w:r w:rsidR="00A47DA5">
        <w:rPr>
          <w:rFonts w:ascii="Segoe UI" w:hAnsi="Segoe UI" w:cs="Segoe UI"/>
          <w:color w:val="101214"/>
          <w:szCs w:val="21"/>
          <w:shd w:val="clear" w:color="auto" w:fill="FFFFFF"/>
        </w:rPr>
        <w:t xml:space="preserve">,we let </w:t>
      </w:r>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t-1</m:t>
            </m:r>
          </m:sub>
        </m:sSub>
      </m:oMath>
      <w:r w:rsidR="00A47DA5">
        <w:rPr>
          <w:rFonts w:ascii="Segoe UI" w:hAnsi="Segoe UI" w:cs="Segoe UI"/>
          <w:color w:val="101214"/>
          <w:szCs w:val="21"/>
          <w:shd w:val="clear" w:color="auto" w:fill="FFFFFF"/>
        </w:rPr>
        <w:t>, thus:</w:t>
      </w:r>
    </w:p>
    <w:p w14:paraId="17404808" w14:textId="66FE1E9D" w:rsidR="00763AF4" w:rsidRPr="00667DD8" w:rsidRDefault="00000000" w:rsidP="00763AF4">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6</m:t>
              </m:r>
            </m:e>
          </m:d>
        </m:oMath>
      </m:oMathPara>
    </w:p>
    <w:p w14:paraId="1F5D1C32" w14:textId="6FD3A5E3" w:rsidR="00A47DA5" w:rsidRPr="00763AF4" w:rsidRDefault="00A47DA5" w:rsidP="00763AF4">
      <w:pPr>
        <w:ind w:firstLineChars="100" w:firstLine="210"/>
        <w:rPr>
          <w:rFonts w:ascii="Segoe UI" w:hAnsi="Segoe UI" w:cs="Segoe UI"/>
          <w:color w:val="101214"/>
          <w:szCs w:val="21"/>
          <w:shd w:val="clear" w:color="auto" w:fill="FFFFFF"/>
        </w:rPr>
      </w:pPr>
      <m:oMathPara>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d>
            <m:dPr>
              <m:begChr m:val="["/>
              <m:endChr m:val="]"/>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0</m:t>
                  </m:r>
                </m:sub>
              </m:sSub>
              <m:r>
                <w:rPr>
                  <w:rFonts w:ascii="Cambria Math" w:hAnsi="Cambria Math" w:cs="Segoe UI"/>
                  <w:color w:val="101214"/>
                  <w:szCs w:val="21"/>
                  <w:shd w:val="clear" w:color="auto" w:fill="FFFFFF"/>
                </w:rPr>
                <m:t>+v</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e>
              </m:d>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d>
            <m:dPr>
              <m:begChr m:val="["/>
              <m:endChr m:val="]"/>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0</m:t>
                  </m:r>
                </m:sub>
              </m:sSub>
              <m:r>
                <w:rPr>
                  <w:rFonts w:ascii="Cambria Math" w:hAnsi="Cambria Math" w:cs="Segoe UI"/>
                  <w:color w:val="101214"/>
                  <w:szCs w:val="21"/>
                  <w:shd w:val="clear" w:color="auto" w:fill="FFFFFF"/>
                </w:rPr>
                <m:t>+v</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p>
                  </m:sSup>
                </m:e>
              </m:d>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 xml:space="preserve"> </m:t>
          </m:r>
        </m:oMath>
      </m:oMathPara>
    </w:p>
    <w:p w14:paraId="6D8EA4E2" w14:textId="7F4DA6CA" w:rsidR="00A47DA5" w:rsidRPr="00763AF4" w:rsidRDefault="00763AF4" w:rsidP="00763AF4">
      <w:pPr>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 xml:space="preserve">                                  =</m:t>
          </m:r>
          <m:sSup>
            <m:sSupPr>
              <m:ctrlPr>
                <w:rPr>
                  <w:rFonts w:ascii="Cambria Math" w:hAnsi="Cambria Math" w:cs="Segoe UI"/>
                  <w:i/>
                  <w:color w:val="101214"/>
                  <w:szCs w:val="21"/>
                  <w:shd w:val="clear" w:color="auto" w:fill="FFFFFF"/>
                </w:rPr>
              </m:ctrlPr>
            </m:sSupPr>
            <m:e>
              <m:r>
                <w:rPr>
                  <w:rFonts w:ascii="Cambria Math" w:hAnsi="Cambria Math" w:cs="Segoe UI" w:hint="eastAsia"/>
                  <w:color w:val="101214"/>
                  <w:szCs w:val="21"/>
                  <w:shd w:val="clear" w:color="auto" w:fill="FFFFFF"/>
                </w:rPr>
                <m:t>v</m:t>
              </m:r>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oMath>
      </m:oMathPara>
    </w:p>
    <w:p w14:paraId="6D71407D" w14:textId="354998B8" w:rsidR="00303C6E" w:rsidRPr="00A47DA5" w:rsidRDefault="00303C6E" w:rsidP="00303C6E">
      <w:pPr>
        <w:ind w:firstLineChars="100" w:firstLine="210"/>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W</w:t>
      </w:r>
      <w:r>
        <w:rPr>
          <w:rFonts w:ascii="Segoe UI" w:hAnsi="Segoe UI" w:cs="Segoe UI"/>
          <w:color w:val="101214"/>
          <w:szCs w:val="21"/>
          <w:shd w:val="clear" w:color="auto" w:fill="FFFFFF"/>
        </w:rPr>
        <w:t xml:space="preserve">here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=δ</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t</m:t>
            </m:r>
          </m:sup>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-β(t-s)</m:t>
                </m:r>
              </m:sup>
            </m:sSup>
            <m:r>
              <w:rPr>
                <w:rFonts w:ascii="Cambria Math" w:hAnsi="Cambria Math" w:cs="Segoe UI"/>
                <w:color w:val="101214"/>
                <w:szCs w:val="21"/>
                <w:shd w:val="clear" w:color="auto" w:fill="FFFFFF"/>
              </w:rPr>
              <m:t>d</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e>
        </m:nary>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For the </w:t>
      </w:r>
      <w:r>
        <w:rPr>
          <w:rFonts w:ascii="Segoe UI" w:hAnsi="Segoe UI" w:cs="Segoe UI"/>
          <w:color w:val="2A2B2E"/>
          <w:szCs w:val="21"/>
        </w:rPr>
        <w:t>martingale properties of ITO integrals</w:t>
      </w:r>
      <w:r w:rsidR="00C768F9">
        <w:rPr>
          <w:rFonts w:ascii="Segoe UI" w:hAnsi="Segoe UI" w:cs="Segoe UI"/>
          <w:color w:val="2A2B2E"/>
          <w:szCs w:val="21"/>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oMath>
      <w:r>
        <w:rPr>
          <w:rFonts w:ascii="Segoe UI" w:hAnsi="Segoe UI" w:cs="Segoe UI"/>
          <w:color w:val="2A2B2E"/>
          <w:szCs w:val="21"/>
        </w:rPr>
        <w:t xml:space="preserve">,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=0</m:t>
        </m:r>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,thus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E</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p>
          <m:sSupPr>
            <m:ctrlPr>
              <w:rPr>
                <w:rFonts w:ascii="Cambria Math" w:hAnsi="Cambria Math" w:cs="Segoe UI"/>
                <w:i/>
                <w:color w:val="101214"/>
                <w:szCs w:val="21"/>
                <w:shd w:val="clear" w:color="auto" w:fill="FFFFFF"/>
              </w:rPr>
            </m:ctrlPr>
          </m:sSupPr>
          <m:e>
            <m:r>
              <w:rPr>
                <w:rFonts w:ascii="Cambria Math" w:hAnsi="Cambria Math" w:cs="Segoe UI" w:hint="eastAsia"/>
                <w:color w:val="101214"/>
                <w:szCs w:val="21"/>
                <w:shd w:val="clear" w:color="auto" w:fill="FFFFFF"/>
              </w:rPr>
              <m:t>v</m:t>
            </m:r>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and variance </w:t>
      </w:r>
      <m:oMath>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D</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D</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D</m:t>
            </m:r>
          </m:e>
          <m:sub>
            <m:r>
              <w:rPr>
                <w:rFonts w:ascii="Cambria Math" w:hAnsi="Cambria Math" w:cs="Segoe UI"/>
                <w:color w:val="101214"/>
                <w:szCs w:val="21"/>
                <w:shd w:val="clear" w:color="auto" w:fill="FFFFFF"/>
              </w:rPr>
              <m:t>t</m:t>
            </m:r>
          </m:sub>
          <m:sup>
            <m:r>
              <w:rPr>
                <w:rFonts w:ascii="Cambria Math" w:hAnsi="Cambria Math" w:cs="Segoe UI"/>
                <w:color w:val="101214"/>
                <w:szCs w:val="21"/>
                <w:shd w:val="clear" w:color="auto" w:fill="FFFFFF"/>
              </w:rPr>
              <m:t>Q</m:t>
            </m:r>
          </m:sup>
        </m:sSubSup>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2β</m:t>
            </m:r>
          </m:den>
        </m:f>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-2βt</m:t>
                </m:r>
              </m:sup>
            </m:sSup>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m:t>
                    </m:r>
                  </m:sup>
                </m:sSup>
              </m:e>
            </m:d>
          </m:e>
        </m:d>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w:t>
      </w:r>
      <w:r w:rsidR="00C768F9">
        <w:rPr>
          <w:rFonts w:ascii="Segoe UI" w:hAnsi="Segoe UI" w:cs="Segoe UI"/>
          <w:color w:val="101214"/>
          <w:szCs w:val="21"/>
          <w:shd w:val="clear" w:color="auto" w:fill="FFFFFF"/>
        </w:rPr>
        <w:t xml:space="preserve">Because the </w:t>
      </w:r>
      <w:r w:rsidR="00C768F9" w:rsidRPr="00C768F9">
        <w:rPr>
          <w:rFonts w:ascii="Segoe UI" w:hAnsi="Segoe UI" w:cs="Segoe UI" w:hint="eastAsia"/>
          <w:color w:val="101214"/>
          <w:szCs w:val="21"/>
          <w:shd w:val="clear" w:color="auto" w:fill="FFFFFF"/>
        </w:rPr>
        <w:t>Ornstein-</w:t>
      </w:r>
      <w:proofErr w:type="spellStart"/>
      <w:r w:rsidR="00C768F9" w:rsidRPr="00C768F9">
        <w:rPr>
          <w:rFonts w:ascii="Segoe UI" w:hAnsi="Segoe UI" w:cs="Segoe UI" w:hint="eastAsia"/>
          <w:color w:val="101214"/>
          <w:szCs w:val="21"/>
          <w:shd w:val="clear" w:color="auto" w:fill="FFFFFF"/>
        </w:rPr>
        <w:t>Uhlenbeck</w:t>
      </w:r>
      <w:proofErr w:type="spellEnd"/>
      <w:r w:rsidR="00C768F9" w:rsidRPr="00C768F9">
        <w:rPr>
          <w:rFonts w:ascii="Segoe UI" w:hAnsi="Segoe UI" w:cs="Segoe UI"/>
          <w:color w:val="101214"/>
          <w:szCs w:val="21"/>
          <w:shd w:val="clear" w:color="auto" w:fill="FFFFFF"/>
        </w:rPr>
        <w:t xml:space="preserve"> process</w:t>
      </w:r>
      <w:r w:rsidR="00C768F9">
        <w:rPr>
          <w:rFonts w:ascii="Segoe UI" w:hAnsi="Segoe UI" w:cs="Segoe UI" w:hint="eastAsia"/>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C768F9">
        <w:rPr>
          <w:rFonts w:ascii="Segoe UI" w:hAnsi="Segoe UI" w:cs="Segoe UI" w:hint="eastAsia"/>
          <w:color w:val="101214"/>
          <w:szCs w:val="21"/>
          <w:shd w:val="clear" w:color="auto" w:fill="FFFFFF"/>
        </w:rPr>
        <w:t xml:space="preserve"> </w:t>
      </w:r>
      <w:r w:rsidR="00C768F9">
        <w:rPr>
          <w:rFonts w:ascii="Segoe UI" w:hAnsi="Segoe UI" w:cs="Segoe UI"/>
          <w:color w:val="101214"/>
          <w:szCs w:val="21"/>
          <w:shd w:val="clear" w:color="auto" w:fill="FFFFFF"/>
        </w:rPr>
        <w:t xml:space="preserve">belong to </w:t>
      </w:r>
      <w:r w:rsidR="00C768F9" w:rsidRPr="00C768F9">
        <w:rPr>
          <w:rFonts w:ascii="Segoe UI" w:hAnsi="Segoe UI" w:cs="Segoe UI"/>
          <w:color w:val="101214"/>
          <w:szCs w:val="21"/>
          <w:shd w:val="clear" w:color="auto" w:fill="FFFFFF"/>
        </w:rPr>
        <w:t>Markov process</w:t>
      </w:r>
      <w:r w:rsidR="00C768F9">
        <w:rPr>
          <w:rFonts w:ascii="Segoe UI" w:hAnsi="Segoe UI" w:cs="Segoe UI"/>
          <w:color w:val="101214"/>
          <w:szCs w:val="21"/>
          <w:shd w:val="clear" w:color="auto" w:fill="FFFFFF"/>
        </w:rPr>
        <w:t xml:space="preserve">, </w:t>
      </w:r>
      <m:oMath>
        <m:sSub>
          <m:sSubPr>
            <m:ctrlPr>
              <w:rPr>
                <w:rFonts w:ascii="Cambria Math" w:hAnsi="Cambria Math" w:cs="Segoe UI"/>
                <w:i/>
                <w:color w:val="101214"/>
                <w:szCs w:val="21"/>
                <w:shd w:val="clear" w:color="auto" w:fill="FFFFFF"/>
              </w:rPr>
            </m:ctrlPr>
          </m:sSubPr>
          <m:e>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~N</m:t>
        </m:r>
        <m:d>
          <m:dPr>
            <m:begChr m:val="{"/>
            <m:endChr m:val="}"/>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hint="eastAsia"/>
                    <w:color w:val="101214"/>
                    <w:szCs w:val="21"/>
                    <w:shd w:val="clear" w:color="auto" w:fill="FFFFFF"/>
                  </w:rPr>
                  <m:t>v</m:t>
                </m:r>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r>
              <w:rPr>
                <w:rFonts w:ascii="Cambria Math" w:hAnsi="Cambria Math" w:cs="Segoe UI"/>
                <w:color w:val="101214"/>
                <w:szCs w:val="21"/>
                <w:shd w:val="clear" w:color="auto" w:fill="FFFFFF"/>
              </w:rPr>
              <m:t xml:space="preserve">, </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2β</m:t>
                </m:r>
              </m:den>
            </m:f>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-2βt</m:t>
                    </m:r>
                  </m:sup>
                </m:sSup>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1+</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-2β</m:t>
                        </m:r>
                      </m:sup>
                    </m:sSup>
                  </m:e>
                </m:d>
              </m:e>
            </m:d>
          </m:e>
        </m:d>
      </m:oMath>
      <w:r w:rsidR="00C768F9">
        <w:rPr>
          <w:rFonts w:ascii="Segoe UI" w:hAnsi="Segoe UI" w:cs="Segoe UI" w:hint="eastAsia"/>
          <w:color w:val="101214"/>
          <w:szCs w:val="21"/>
          <w:shd w:val="clear" w:color="auto" w:fill="FFFFFF"/>
        </w:rPr>
        <w:t>.</w:t>
      </w:r>
      <w:r w:rsidR="00C768F9">
        <w:rPr>
          <w:rFonts w:ascii="Segoe UI" w:hAnsi="Segoe UI" w:cs="Segoe UI"/>
          <w:color w:val="101214"/>
          <w:szCs w:val="21"/>
          <w:shd w:val="clear" w:color="auto" w:fill="FFFFFF"/>
        </w:rPr>
        <w:t xml:space="preserve"> </w:t>
      </w:r>
    </w:p>
    <w:p w14:paraId="0E5855B5" w14:textId="1045A506" w:rsidR="00303C6E" w:rsidRDefault="003644B8" w:rsidP="003644B8">
      <w:pPr>
        <w:pStyle w:val="src"/>
        <w:shd w:val="clear" w:color="auto" w:fill="FFFFFF"/>
        <w:spacing w:before="0" w:beforeAutospacing="0" w:after="30" w:afterAutospacing="0" w:line="315" w:lineRule="atLeast"/>
        <w:ind w:firstLine="210"/>
        <w:rPr>
          <w:rFonts w:ascii="Segoe UI" w:hAnsi="Segoe UI" w:cs="Segoe UI"/>
          <w:color w:val="2A2B2E"/>
          <w:sz w:val="21"/>
          <w:szCs w:val="21"/>
        </w:rPr>
      </w:pPr>
      <w:r>
        <w:rPr>
          <w:rFonts w:ascii="Segoe UI" w:hAnsi="Segoe UI" w:cs="Segoe UI" w:hint="eastAsia"/>
          <w:color w:val="2A2B2E"/>
          <w:sz w:val="21"/>
          <w:szCs w:val="21"/>
        </w:rPr>
        <w:t>W</w:t>
      </w:r>
      <w:r>
        <w:rPr>
          <w:rFonts w:ascii="Segoe UI" w:hAnsi="Segoe UI" w:cs="Segoe UI"/>
          <w:color w:val="2A2B2E"/>
          <w:sz w:val="21"/>
          <w:szCs w:val="21"/>
        </w:rPr>
        <w:t xml:space="preserve">e set the distance from </w:t>
      </w:r>
      <w:r w:rsidRPr="003644B8">
        <w:rPr>
          <w:rFonts w:ascii="Segoe UI" w:hAnsi="Segoe UI" w:cs="Segoe UI"/>
          <w:color w:val="2A2B2E"/>
          <w:sz w:val="21"/>
          <w:szCs w:val="21"/>
        </w:rPr>
        <w:t xml:space="preserve">implied volatility </w:t>
      </w:r>
      <m:oMath>
        <m:sSub>
          <m:sSubPr>
            <m:ctrlPr>
              <w:rPr>
                <w:rFonts w:ascii="Cambria Math" w:hAnsi="Cambria Math" w:cs="Segoe UI"/>
                <w:i/>
                <w:color w:val="2A2B2E"/>
                <w:sz w:val="21"/>
                <w:szCs w:val="21"/>
              </w:rPr>
            </m:ctrlPr>
          </m:sSubPr>
          <m:e>
            <m:r>
              <w:rPr>
                <w:rFonts w:ascii="Cambria Math" w:hAnsi="Cambria Math" w:cs="Segoe UI"/>
                <w:color w:val="2A2B2E"/>
                <w:sz w:val="21"/>
                <w:szCs w:val="21"/>
              </w:rPr>
              <m:t>σ</m:t>
            </m:r>
          </m:e>
          <m:sub>
            <m:r>
              <w:rPr>
                <w:rFonts w:ascii="Cambria Math" w:hAnsi="Cambria Math" w:cs="Segoe UI"/>
                <w:color w:val="2A2B2E"/>
                <w:sz w:val="21"/>
                <w:szCs w:val="21"/>
              </w:rPr>
              <m:t>t</m:t>
            </m:r>
          </m:sub>
        </m:sSub>
      </m:oMath>
      <w:r>
        <w:rPr>
          <w:rFonts w:ascii="Segoe UI" w:hAnsi="Segoe UI" w:cs="Segoe UI" w:hint="eastAsia"/>
          <w:color w:val="2A2B2E"/>
          <w:sz w:val="21"/>
          <w:szCs w:val="21"/>
        </w:rPr>
        <w:t xml:space="preserve"> </w:t>
      </w:r>
      <w:r>
        <w:rPr>
          <w:rFonts w:ascii="Segoe UI" w:hAnsi="Segoe UI" w:cs="Segoe UI"/>
          <w:color w:val="2A2B2E"/>
          <w:sz w:val="21"/>
          <w:szCs w:val="21"/>
        </w:rPr>
        <w:t xml:space="preserve">to </w:t>
      </w:r>
      <w:r w:rsidRPr="003644B8">
        <w:rPr>
          <w:rFonts w:ascii="Segoe UI" w:hAnsi="Segoe UI" w:cs="Segoe UI"/>
          <w:color w:val="2A2B2E"/>
          <w:sz w:val="21"/>
          <w:szCs w:val="21"/>
        </w:rPr>
        <w:t xml:space="preserve">long-term mean of volatility </w:t>
      </w:r>
      <m:oMath>
        <m:r>
          <w:rPr>
            <w:rFonts w:ascii="Cambria Math" w:hAnsi="Cambria Math" w:cs="Segoe UI"/>
            <w:color w:val="2A2B2E"/>
            <w:sz w:val="21"/>
            <w:szCs w:val="21"/>
          </w:rPr>
          <m:t>ν</m:t>
        </m:r>
      </m:oMath>
      <w:r>
        <w:rPr>
          <w:rFonts w:ascii="Segoe UI" w:hAnsi="Segoe UI" w:cs="Segoe UI" w:hint="eastAsia"/>
          <w:color w:val="2A2B2E"/>
          <w:sz w:val="21"/>
          <w:szCs w:val="21"/>
        </w:rPr>
        <w:t xml:space="preserve"> </w:t>
      </w:r>
      <w:r>
        <w:rPr>
          <w:rFonts w:ascii="Segoe UI" w:hAnsi="Segoe UI" w:cs="Segoe UI"/>
          <w:color w:val="2A2B2E"/>
          <w:sz w:val="21"/>
          <w:szCs w:val="21"/>
        </w:rPr>
        <w:t xml:space="preserve">as </w:t>
      </w:r>
      <m:oMath>
        <m:sSub>
          <m:sSubPr>
            <m:ctrlPr>
              <w:rPr>
                <w:rFonts w:ascii="Cambria Math" w:hAnsi="Cambria Math" w:cs="Segoe UI"/>
                <w:i/>
                <w:color w:val="2A2B2E"/>
                <w:sz w:val="21"/>
                <w:szCs w:val="21"/>
              </w:rPr>
            </m:ctrlPr>
          </m:sSubPr>
          <m:e>
            <m:r>
              <w:rPr>
                <w:rFonts w:ascii="Cambria Math" w:hAnsi="Cambria Math" w:cs="Segoe UI"/>
                <w:color w:val="2A2B2E"/>
                <w:sz w:val="21"/>
                <w:szCs w:val="21"/>
              </w:rPr>
              <m:t>D</m:t>
            </m:r>
          </m:e>
          <m:sub>
            <m:r>
              <w:rPr>
                <w:rFonts w:ascii="Cambria Math" w:hAnsi="Cambria Math" w:cs="Segoe UI"/>
                <w:color w:val="2A2B2E"/>
                <w:sz w:val="21"/>
                <w:szCs w:val="21"/>
              </w:rPr>
              <m:t>t</m:t>
            </m:r>
          </m:sub>
        </m:sSub>
        <m:r>
          <w:rPr>
            <w:rFonts w:ascii="Cambria Math" w:hAnsi="Cambria Math" w:cs="Segoe UI"/>
            <w:color w:val="2A2B2E"/>
            <w:sz w:val="21"/>
            <w:szCs w:val="21"/>
          </w:rPr>
          <m:t>=v-</m:t>
        </m:r>
        <m:sSub>
          <m:sSubPr>
            <m:ctrlPr>
              <w:rPr>
                <w:rFonts w:ascii="Cambria Math" w:hAnsi="Cambria Math" w:cs="Segoe UI"/>
                <w:i/>
                <w:color w:val="2A2B2E"/>
                <w:sz w:val="21"/>
                <w:szCs w:val="21"/>
              </w:rPr>
            </m:ctrlPr>
          </m:sSubPr>
          <m:e>
            <m:r>
              <w:rPr>
                <w:rFonts w:ascii="Cambria Math" w:hAnsi="Cambria Math" w:cs="Segoe UI"/>
                <w:color w:val="2A2B2E"/>
                <w:sz w:val="21"/>
                <w:szCs w:val="21"/>
              </w:rPr>
              <m:t>σ</m:t>
            </m:r>
          </m:e>
          <m:sub>
            <m:r>
              <w:rPr>
                <w:rFonts w:ascii="Cambria Math" w:hAnsi="Cambria Math" w:cs="Segoe UI"/>
                <w:color w:val="2A2B2E"/>
                <w:sz w:val="21"/>
                <w:szCs w:val="21"/>
              </w:rPr>
              <m:t>t</m:t>
            </m:r>
          </m:sub>
        </m:sSub>
      </m:oMath>
      <w:r w:rsidR="00005584">
        <w:rPr>
          <w:rFonts w:ascii="Segoe UI" w:hAnsi="Segoe UI" w:cs="Segoe UI"/>
          <w:color w:val="2A2B2E"/>
          <w:sz w:val="21"/>
          <w:szCs w:val="21"/>
        </w:rPr>
        <w:t xml:space="preserve"> </w:t>
      </w:r>
      <w:r>
        <w:rPr>
          <w:rFonts w:ascii="Segoe UI" w:hAnsi="Segoe UI" w:cs="Segoe UI"/>
          <w:color w:val="2A2B2E"/>
          <w:sz w:val="21"/>
          <w:szCs w:val="21"/>
        </w:rPr>
        <w:t xml:space="preserve">and </w:t>
      </w:r>
      <w:r w:rsidRPr="003644B8">
        <w:rPr>
          <w:rFonts w:ascii="Segoe UI" w:hAnsi="Segoe UI" w:cs="Segoe UI"/>
          <w:color w:val="2A2B2E"/>
          <w:sz w:val="21"/>
          <w:szCs w:val="21"/>
        </w:rPr>
        <w:t>substitute</w:t>
      </w:r>
      <w:r>
        <w:rPr>
          <w:rFonts w:ascii="Segoe UI" w:hAnsi="Segoe UI" w:cs="Segoe UI"/>
          <w:color w:val="2A2B2E"/>
          <w:sz w:val="21"/>
          <w:szCs w:val="21"/>
        </w:rPr>
        <w:t xml:space="preserve"> it into </w:t>
      </w:r>
      <w:r w:rsidRPr="003644B8">
        <w:rPr>
          <w:rFonts w:ascii="Segoe UI" w:hAnsi="Segoe UI" w:cs="Segoe UI"/>
          <w:color w:val="2A2B2E"/>
          <w:sz w:val="21"/>
          <w:szCs w:val="21"/>
        </w:rPr>
        <w:t>Equation (</w:t>
      </w:r>
      <w:r>
        <w:rPr>
          <w:rFonts w:ascii="Segoe UI" w:hAnsi="Segoe UI" w:cs="Segoe UI"/>
          <w:color w:val="2A2B2E"/>
          <w:sz w:val="21"/>
          <w:szCs w:val="21"/>
        </w:rPr>
        <w:t>6</w:t>
      </w:r>
      <w:r w:rsidRPr="003644B8">
        <w:rPr>
          <w:rFonts w:ascii="Segoe UI" w:hAnsi="Segoe UI" w:cs="Segoe UI"/>
          <w:color w:val="2A2B2E"/>
          <w:sz w:val="21"/>
          <w:szCs w:val="21"/>
        </w:rPr>
        <w:t>)</w:t>
      </w:r>
      <w:r w:rsidR="00005584">
        <w:rPr>
          <w:rFonts w:ascii="Segoe UI" w:hAnsi="Segoe UI" w:cs="Segoe UI"/>
          <w:color w:val="2A2B2E"/>
          <w:sz w:val="21"/>
          <w:szCs w:val="21"/>
        </w:rPr>
        <w:t xml:space="preserve">, then we get </w:t>
      </w:r>
      <w:r w:rsidR="00005584" w:rsidRPr="003644B8">
        <w:rPr>
          <w:rFonts w:ascii="Segoe UI" w:hAnsi="Segoe UI" w:cs="Segoe UI"/>
          <w:color w:val="2A2B2E"/>
          <w:sz w:val="21"/>
          <w:szCs w:val="21"/>
        </w:rPr>
        <w:t>Equation (</w:t>
      </w:r>
      <w:r w:rsidR="00005584">
        <w:rPr>
          <w:rFonts w:ascii="Segoe UI" w:hAnsi="Segoe UI" w:cs="Segoe UI"/>
          <w:color w:val="2A2B2E"/>
          <w:sz w:val="21"/>
          <w:szCs w:val="21"/>
        </w:rPr>
        <w:t>7</w:t>
      </w:r>
      <w:r w:rsidR="00005584" w:rsidRPr="003644B8">
        <w:rPr>
          <w:rFonts w:ascii="Segoe UI" w:hAnsi="Segoe UI" w:cs="Segoe UI"/>
          <w:color w:val="2A2B2E"/>
          <w:sz w:val="21"/>
          <w:szCs w:val="21"/>
        </w:rPr>
        <w:t>)</w:t>
      </w:r>
      <w:r w:rsidR="00005584">
        <w:rPr>
          <w:rFonts w:ascii="Segoe UI" w:hAnsi="Segoe UI" w:cs="Segoe UI"/>
          <w:color w:val="2A2B2E"/>
          <w:sz w:val="21"/>
          <w:szCs w:val="21"/>
        </w:rPr>
        <w:t>:</w:t>
      </w:r>
    </w:p>
    <w:p w14:paraId="2C6056B4" w14:textId="029F1A82" w:rsidR="00005584" w:rsidRPr="00667DD8" w:rsidRDefault="00000000" w:rsidP="00005584">
      <w:pPr>
        <w:ind w:firstLineChars="100" w:firstLine="210"/>
        <w:rPr>
          <w:rFonts w:ascii="Segoe UI" w:hAnsi="Segoe UI" w:cs="Segoe UI"/>
          <w:color w:val="101214"/>
          <w:szCs w:val="21"/>
          <w:shd w:val="clear" w:color="auto" w:fill="FFFFFF"/>
        </w:rPr>
      </w:pPr>
      <m:oMathPara>
        <m:oMathParaPr>
          <m:jc m:val="right"/>
        </m:oMathParaPr>
        <m:oMath>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7</m:t>
              </m:r>
            </m:e>
          </m:d>
        </m:oMath>
      </m:oMathPara>
    </w:p>
    <w:p w14:paraId="1C34F967" w14:textId="1405C46E" w:rsidR="00A47DA5" w:rsidRPr="00005584" w:rsidRDefault="00005584" w:rsidP="00303C6E">
      <w:pPr>
        <w:rPr>
          <w:rFonts w:ascii="Segoe UI" w:hAnsi="Segoe UI" w:cs="Segoe UI"/>
          <w:color w:val="101214"/>
          <w:szCs w:val="21"/>
          <w:shd w:val="clear" w:color="auto" w:fill="FFFFFF"/>
        </w:rPr>
      </w:pPr>
      <m:oMathPara>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d>
            <m:dPr>
              <m:ctrlPr>
                <w:rPr>
                  <w:rFonts w:ascii="Cambria Math" w:hAnsi="Cambria Math" w:cs="Segoe UI"/>
                  <w:i/>
                  <w:color w:val="101214"/>
                  <w:szCs w:val="21"/>
                  <w:shd w:val="clear" w:color="auto" w:fill="FFFFFF"/>
                </w:rPr>
              </m:ctrlPr>
            </m:dPr>
            <m:e>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r>
                <w:rPr>
                  <w:rFonts w:ascii="Cambria Math" w:eastAsia="宋体" w:hAnsi="Cambria Math" w:cs="Segoe UI"/>
                  <w:color w:val="2A2B2E"/>
                  <w:kern w:val="0"/>
                  <w:szCs w:val="21"/>
                </w:rPr>
                <m:t>+</m:t>
              </m:r>
              <m:sSub>
                <m:sSubPr>
                  <m:ctrlPr>
                    <w:rPr>
                      <w:rFonts w:ascii="Cambria Math" w:hAnsi="Cambria Math" w:cs="Segoe UI"/>
                      <w:i/>
                      <w:color w:val="2A2B2E"/>
                      <w:szCs w:val="21"/>
                    </w:rPr>
                  </m:ctrlPr>
                </m:sSubPr>
                <m:e>
                  <m:r>
                    <w:rPr>
                      <w:rFonts w:ascii="Cambria Math" w:hAnsi="Cambria Math" w:cs="Segoe UI"/>
                      <w:color w:val="2A2B2E"/>
                      <w:szCs w:val="21"/>
                    </w:rPr>
                    <m:t>σ</m:t>
                  </m:r>
                </m:e>
                <m:sub>
                  <m:r>
                    <w:rPr>
                      <w:rFonts w:ascii="Cambria Math" w:hAnsi="Cambria Math" w:cs="Segoe UI"/>
                      <w:color w:val="2A2B2E"/>
                      <w:szCs w:val="21"/>
                    </w:rPr>
                    <m:t>t</m:t>
                  </m:r>
                </m:sub>
              </m:sSub>
            </m:e>
          </m:d>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I</m:t>
              </m:r>
            </m:e>
            <m:sub>
              <m:r>
                <w:rPr>
                  <w:rFonts w:ascii="Cambria Math" w:hAnsi="Cambria Math" w:cs="Segoe UI"/>
                  <w:color w:val="101214"/>
                  <w:szCs w:val="21"/>
                  <w:shd w:val="clear" w:color="auto" w:fill="FFFFFF"/>
                </w:rPr>
                <m:t>t-</m:t>
              </m:r>
              <m:r>
                <m:rPr>
                  <m:sty m:val="p"/>
                </m:rPr>
                <w:rPr>
                  <w:rFonts w:ascii="Cambria Math" w:hAnsi="Cambria Math" w:cs="Segoe UI"/>
                  <w:color w:val="101214"/>
                  <w:szCs w:val="21"/>
                  <w:shd w:val="clear" w:color="auto" w:fill="FFFFFF"/>
                </w:rPr>
                <m:t>Δ</m:t>
              </m:r>
              <m:r>
                <w:rPr>
                  <w:rFonts w:ascii="Cambria Math" w:hAnsi="Cambria Math" w:cs="Segoe UI"/>
                  <w:color w:val="101214"/>
                  <w:szCs w:val="21"/>
                  <w:shd w:val="clear" w:color="auto" w:fill="FFFFFF"/>
                </w:rPr>
                <m:t>t</m:t>
              </m:r>
            </m:sub>
          </m:sSub>
        </m:oMath>
      </m:oMathPara>
    </w:p>
    <w:p w14:paraId="3B6A58DD" w14:textId="6B59CFB2" w:rsidR="00763AF4" w:rsidRDefault="00005584" w:rsidP="00AA3F48">
      <w:pPr>
        <w:ind w:firstLineChars="100" w:firstLine="210"/>
        <w:rPr>
          <w:rFonts w:ascii="Segoe UI" w:hAnsi="Segoe UI" w:cs="Segoe UI"/>
          <w:color w:val="2A2B2E"/>
          <w:kern w:val="0"/>
          <w:szCs w:val="21"/>
        </w:rPr>
      </w:pPr>
      <w:proofErr w:type="gramStart"/>
      <w:r>
        <w:rPr>
          <w:rFonts w:ascii="Segoe UI" w:hAnsi="Segoe UI" w:cs="Segoe UI" w:hint="eastAsia"/>
          <w:color w:val="101214"/>
          <w:szCs w:val="21"/>
          <w:shd w:val="clear" w:color="auto" w:fill="FFFFFF"/>
        </w:rPr>
        <w:t>T</w:t>
      </w:r>
      <w:r>
        <w:rPr>
          <w:rFonts w:ascii="Segoe UI" w:hAnsi="Segoe UI" w:cs="Segoe UI"/>
          <w:color w:val="101214"/>
          <w:szCs w:val="21"/>
          <w:shd w:val="clear" w:color="auto" w:fill="FFFFFF"/>
        </w:rPr>
        <w:t>hus</w:t>
      </w:r>
      <w:proofErr w:type="gramEnd"/>
      <w:r>
        <w:rPr>
          <w:rFonts w:ascii="Segoe UI" w:hAnsi="Segoe UI" w:cs="Segoe UI"/>
          <w:color w:val="101214"/>
          <w:szCs w:val="21"/>
          <w:shd w:val="clear" w:color="auto" w:fill="FFFFFF"/>
        </w:rPr>
        <w:t xml:space="preserve"> the partial derivative of </w:t>
      </w:r>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color w:val="101214"/>
          <w:szCs w:val="21"/>
          <w:shd w:val="clear" w:color="auto" w:fill="FFFFFF"/>
        </w:rPr>
        <w:t xml:space="preserve"> with respect to </w:t>
      </w:r>
      <m:oMath>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oMath>
      <w:r>
        <w:rPr>
          <w:rFonts w:ascii="Segoe UI" w:hAnsi="Segoe UI" w:cs="Segoe UI" w:hint="eastAsia"/>
          <w:color w:val="2A2B2E"/>
          <w:kern w:val="0"/>
          <w:szCs w:val="21"/>
        </w:rPr>
        <w:t xml:space="preserve"> </w:t>
      </w:r>
      <w:r>
        <w:rPr>
          <w:rFonts w:ascii="Segoe UI" w:hAnsi="Segoe UI" w:cs="Segoe UI"/>
          <w:color w:val="2A2B2E"/>
          <w:kern w:val="0"/>
          <w:szCs w:val="21"/>
        </w:rPr>
        <w:t>is:</w:t>
      </w:r>
    </w:p>
    <w:p w14:paraId="6F81D6DF" w14:textId="77777777" w:rsidR="00005584" w:rsidRDefault="00005584" w:rsidP="00AA3F48">
      <w:pPr>
        <w:ind w:firstLineChars="100" w:firstLine="210"/>
        <w:rPr>
          <w:rFonts w:ascii="Segoe UI" w:hAnsi="Segoe UI" w:cs="Segoe UI"/>
          <w:color w:val="101214"/>
          <w:szCs w:val="21"/>
          <w:shd w:val="clear" w:color="auto" w:fill="FFFFFF"/>
        </w:rPr>
      </w:pPr>
    </w:p>
    <w:p w14:paraId="1E7933E5" w14:textId="7410B838" w:rsidR="00763AF4" w:rsidRDefault="00000000" w:rsidP="00AA3F48">
      <w:pPr>
        <w:ind w:firstLineChars="100" w:firstLine="210"/>
        <w:rPr>
          <w:rFonts w:ascii="Segoe UI" w:hAnsi="Segoe UI" w:cs="Segoe UI"/>
          <w:color w:val="101214"/>
          <w:szCs w:val="21"/>
          <w:shd w:val="clear" w:color="auto" w:fill="FFFFFF"/>
        </w:rPr>
      </w:pPr>
      <m:oMathPara>
        <m:oMath>
          <m:f>
            <m:fPr>
              <m:ctrlPr>
                <w:rPr>
                  <w:rFonts w:ascii="Cambria Math" w:hAnsi="Cambria Math" w:cs="Segoe UI"/>
                  <w:i/>
                  <w:color w:val="101214"/>
                  <w:szCs w:val="21"/>
                  <w:shd w:val="clear" w:color="auto" w:fill="FFFFFF"/>
                </w:rPr>
              </m:ctrlPr>
            </m:fPr>
            <m:num>
              <m:r>
                <w:rPr>
                  <w:rFonts w:ascii="Cambria Math" w:hAnsi="Cambria Math"/>
                </w:rPr>
                <m:t>∂</m:t>
              </m:r>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num>
            <m:den>
              <m:r>
                <w:rPr>
                  <w:rFonts w:ascii="Cambria Math" w:hAnsi="Cambria Math"/>
                </w:rPr>
                <m:t>∂</m:t>
              </m:r>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den>
          </m:f>
          <m:r>
            <w:rPr>
              <w:rFonts w:ascii="Cambria Math" w:hAnsi="Cambria Math" w:cs="Segoe UI"/>
              <w:color w:val="101214"/>
              <w:szCs w:val="21"/>
              <w:shd w:val="clear" w:color="auto" w:fill="FFFFFF"/>
            </w:rPr>
            <m:t>=</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oMath>
      </m:oMathPara>
    </w:p>
    <w:p w14:paraId="7649C73F" w14:textId="14160384" w:rsidR="00C85999" w:rsidRPr="00C85999" w:rsidRDefault="00005584" w:rsidP="00C85999">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F</w:t>
      </w:r>
      <w:r>
        <w:rPr>
          <w:rFonts w:ascii="Segoe UI" w:hAnsi="Segoe UI" w:cs="Segoe UI"/>
          <w:color w:val="101214"/>
          <w:szCs w:val="21"/>
          <w:shd w:val="clear" w:color="auto" w:fill="FFFFFF"/>
        </w:rPr>
        <w:t xml:space="preserve">or </w:t>
      </w:r>
      <m:oMath>
        <m:r>
          <w:rPr>
            <w:rFonts w:ascii="Cambria Math" w:hAnsi="Cambria Math" w:cs="Segoe UI"/>
            <w:color w:val="101214"/>
            <w:szCs w:val="21"/>
            <w:shd w:val="clear" w:color="auto" w:fill="FFFFFF"/>
          </w:rPr>
          <m:t>β&gt;0</m:t>
        </m:r>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w:t>
      </w:r>
      <m:oMath>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r>
          <w:rPr>
            <w:rFonts w:ascii="Cambria Math" w:hAnsi="Cambria Math" w:cs="Segoe UI"/>
            <w:color w:val="101214"/>
            <w:szCs w:val="21"/>
            <w:shd w:val="clear" w:color="auto" w:fill="FFFFFF"/>
          </w:rPr>
          <m:t xml:space="preserve">&gt;0 </m:t>
        </m:r>
      </m:oMath>
      <w:r>
        <w:rPr>
          <w:rFonts w:ascii="Segoe UI" w:hAnsi="Segoe UI" w:cs="Segoe UI" w:hint="eastAsia"/>
          <w:color w:val="101214"/>
          <w:szCs w:val="21"/>
          <w:shd w:val="clear" w:color="auto" w:fill="FFFFFF"/>
        </w:rPr>
        <w:t>a</w:t>
      </w:r>
      <w:proofErr w:type="spellStart"/>
      <w:r>
        <w:rPr>
          <w:rFonts w:ascii="Segoe UI" w:hAnsi="Segoe UI" w:cs="Segoe UI"/>
          <w:color w:val="101214"/>
          <w:szCs w:val="21"/>
          <w:shd w:val="clear" w:color="auto" w:fill="FFFFFF"/>
        </w:rPr>
        <w:t>nd</w:t>
      </w:r>
      <w:proofErr w:type="spellEnd"/>
      <w:r>
        <w:rPr>
          <w:rFonts w:ascii="Segoe UI" w:hAnsi="Segoe UI" w:cs="Segoe UI"/>
          <w:color w:val="101214"/>
          <w:szCs w:val="21"/>
          <w:shd w:val="clear" w:color="auto" w:fill="FFFFFF"/>
        </w:rPr>
        <w:t xml:space="preserve"> </w:t>
      </w:r>
      <m:oMath>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&gt;1</m:t>
        </m:r>
      </m:oMath>
      <w:r>
        <w:rPr>
          <w:rFonts w:ascii="Segoe UI" w:hAnsi="Segoe UI" w:cs="Segoe UI" w:hint="eastAsia"/>
          <w:color w:val="101214"/>
          <w:szCs w:val="21"/>
          <w:shd w:val="clear" w:color="auto" w:fill="FFFFFF"/>
        </w:rPr>
        <w:t>,</w:t>
      </w:r>
      <w:r>
        <w:rPr>
          <w:rFonts w:ascii="Segoe UI" w:hAnsi="Segoe UI" w:cs="Segoe UI"/>
          <w:color w:val="101214"/>
          <w:szCs w:val="21"/>
          <w:shd w:val="clear" w:color="auto" w:fill="FFFFFF"/>
        </w:rPr>
        <w:t xml:space="preserve"> thus </w:t>
      </w:r>
      <m:oMath>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-βt</m:t>
            </m:r>
          </m:sup>
        </m:sSup>
        <m:d>
          <m:dPr>
            <m:ctrlPr>
              <w:rPr>
                <w:rFonts w:ascii="Cambria Math" w:hAnsi="Cambria Math" w:cs="Segoe UI"/>
                <w:i/>
                <w:color w:val="101214"/>
                <w:szCs w:val="21"/>
                <w:shd w:val="clear" w:color="auto" w:fill="FFFFFF"/>
              </w:rPr>
            </m:ctrlPr>
          </m:dPr>
          <m:e>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β</m:t>
                </m:r>
              </m:sup>
            </m:sSup>
            <m:r>
              <w:rPr>
                <w:rFonts w:ascii="Cambria Math" w:hAnsi="Cambria Math" w:cs="Segoe UI"/>
                <w:color w:val="101214"/>
                <w:szCs w:val="21"/>
                <w:shd w:val="clear" w:color="auto" w:fill="FFFFFF"/>
              </w:rPr>
              <m:t>-1</m:t>
            </m:r>
          </m:e>
        </m:d>
      </m:oMath>
      <w:r>
        <w:rPr>
          <w:rFonts w:ascii="Segoe UI" w:hAnsi="Segoe UI" w:cs="Segoe UI" w:hint="eastAsia"/>
          <w:color w:val="101214"/>
          <w:szCs w:val="21"/>
          <w:shd w:val="clear" w:color="auto" w:fill="FFFFFF"/>
        </w:rPr>
        <w:t>&gt;</w:t>
      </w:r>
      <w:r>
        <w:rPr>
          <w:rFonts w:ascii="Segoe UI" w:hAnsi="Segoe UI" w:cs="Segoe UI"/>
          <w:color w:val="101214"/>
          <w:szCs w:val="21"/>
          <w:shd w:val="clear" w:color="auto" w:fill="FFFFFF"/>
        </w:rPr>
        <w:t xml:space="preserve">0. This means there exists a positive relationship between </w:t>
      </w:r>
      <m:oMath>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Pr>
          <w:rFonts w:ascii="Segoe UI" w:hAnsi="Segoe UI" w:cs="Segoe UI" w:hint="eastAsia"/>
          <w:color w:val="101214"/>
          <w:szCs w:val="21"/>
          <w:shd w:val="clear" w:color="auto" w:fill="FFFFFF"/>
        </w:rPr>
        <w:t xml:space="preserve"> </w:t>
      </w:r>
      <w:r>
        <w:rPr>
          <w:rFonts w:ascii="Segoe UI" w:hAnsi="Segoe UI" w:cs="Segoe UI"/>
          <w:color w:val="101214"/>
          <w:szCs w:val="21"/>
          <w:shd w:val="clear" w:color="auto" w:fill="FFFFFF"/>
        </w:rPr>
        <w:t xml:space="preserve">and </w:t>
      </w:r>
      <m:oMath>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oMath>
      <w:r w:rsidR="002F0FC0">
        <w:rPr>
          <w:rFonts w:ascii="Segoe UI" w:hAnsi="Segoe UI" w:cs="Segoe UI"/>
          <w:color w:val="2A2B2E"/>
          <w:kern w:val="0"/>
          <w:szCs w:val="21"/>
        </w:rPr>
        <w:t xml:space="preserve">, and we call the </w:t>
      </w:r>
      <w:r w:rsidR="00C724FA">
        <w:rPr>
          <w:rFonts w:ascii="Segoe UI" w:hAnsi="Segoe UI" w:cs="Segoe UI"/>
          <w:color w:val="2A2B2E"/>
          <w:kern w:val="0"/>
          <w:szCs w:val="21"/>
        </w:rPr>
        <w:t xml:space="preserve"> </w:t>
      </w:r>
      <m:oMath>
        <m:f>
          <m:fPr>
            <m:ctrlPr>
              <w:rPr>
                <w:rFonts w:ascii="Cambria Math" w:hAnsi="Cambria Math" w:cs="Segoe UI"/>
                <w:i/>
                <w:color w:val="101214"/>
                <w:szCs w:val="21"/>
                <w:shd w:val="clear" w:color="auto" w:fill="FFFFFF"/>
              </w:rPr>
            </m:ctrlPr>
          </m:fPr>
          <m:num>
            <m:r>
              <w:rPr>
                <w:rFonts w:ascii="Cambria Math" w:hAnsi="Cambria Math"/>
              </w:rPr>
              <m:t>∂</m:t>
            </m:r>
            <m:r>
              <m:rPr>
                <m:sty m:val="p"/>
              </m:rPr>
              <w:rPr>
                <w:rFonts w:ascii="Cambria Math" w:hAnsi="Cambria Math" w:cs="Segoe UI"/>
                <w:color w:val="101214"/>
                <w:szCs w:val="21"/>
                <w:shd w:val="clear" w:color="auto" w:fill="FFFFFF"/>
              </w:rPr>
              <m:t>Δ</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num>
          <m:den>
            <m:r>
              <w:rPr>
                <w:rFonts w:ascii="Cambria Math" w:hAnsi="Cambria Math"/>
              </w:rPr>
              <m:t>∂</m:t>
            </m:r>
            <m:sSub>
              <m:sSubPr>
                <m:ctrlPr>
                  <w:rPr>
                    <w:rFonts w:ascii="Cambria Math" w:eastAsia="宋体" w:hAnsi="Cambria Math" w:cs="Segoe UI"/>
                    <w:i/>
                    <w:color w:val="2A2B2E"/>
                    <w:kern w:val="0"/>
                    <w:szCs w:val="21"/>
                  </w:rPr>
                </m:ctrlPr>
              </m:sSubPr>
              <m:e>
                <m:r>
                  <w:rPr>
                    <w:rFonts w:ascii="Cambria Math" w:hAnsi="Cambria Math" w:cs="Segoe UI"/>
                    <w:color w:val="2A2B2E"/>
                    <w:szCs w:val="21"/>
                  </w:rPr>
                  <m:t>D</m:t>
                </m:r>
              </m:e>
              <m:sub>
                <m:r>
                  <w:rPr>
                    <w:rFonts w:ascii="Cambria Math" w:hAnsi="Cambria Math" w:cs="Segoe UI"/>
                    <w:color w:val="2A2B2E"/>
                    <w:szCs w:val="21"/>
                  </w:rPr>
                  <m:t>t</m:t>
                </m:r>
              </m:sub>
            </m:sSub>
          </m:den>
        </m:f>
      </m:oMath>
      <w:r w:rsidR="002F0FC0">
        <w:rPr>
          <w:rFonts w:ascii="Segoe UI" w:hAnsi="Segoe UI" w:cs="Segoe UI" w:hint="eastAsia"/>
          <w:color w:val="101214"/>
          <w:szCs w:val="21"/>
          <w:shd w:val="clear" w:color="auto" w:fill="FFFFFF"/>
        </w:rPr>
        <w:t xml:space="preserve"> </w:t>
      </w:r>
      <w:r w:rsidR="002F0FC0">
        <w:rPr>
          <w:rFonts w:ascii="Segoe UI" w:hAnsi="Segoe UI" w:cs="Segoe UI"/>
          <w:color w:val="101214"/>
          <w:szCs w:val="21"/>
          <w:shd w:val="clear" w:color="auto" w:fill="FFFFFF"/>
        </w:rPr>
        <w:t>as the intensity of mean reversion.</w:t>
      </w:r>
    </w:p>
    <w:p w14:paraId="71EC8825" w14:textId="076DAC82" w:rsidR="00C724FA" w:rsidRPr="00C85999" w:rsidRDefault="00C724FA" w:rsidP="00C724FA">
      <w:pPr>
        <w:ind w:firstLineChars="100" w:firstLine="210"/>
        <w:rPr>
          <w:rFonts w:ascii="Segoe UI" w:hAnsi="Segoe UI" w:cs="Segoe UI"/>
          <w:color w:val="101214"/>
          <w:szCs w:val="21"/>
          <w:shd w:val="clear" w:color="auto" w:fill="FFFFFF"/>
        </w:rPr>
      </w:pPr>
    </w:p>
    <w:p w14:paraId="53FB930A" w14:textId="77777777" w:rsidR="0019331A" w:rsidRPr="0019331A" w:rsidRDefault="0019331A" w:rsidP="0019331A">
      <w:pPr>
        <w:pStyle w:val="2"/>
        <w:rPr>
          <w:shd w:val="clear" w:color="auto" w:fill="FFFFFF"/>
        </w:rPr>
      </w:pPr>
      <w:r w:rsidRPr="0019331A">
        <w:rPr>
          <w:shd w:val="clear" w:color="auto" w:fill="FFFFFF"/>
        </w:rPr>
        <w:lastRenderedPageBreak/>
        <w:t>Probability of Volatility Mean Reversion</w:t>
      </w:r>
    </w:p>
    <w:p w14:paraId="7544C603" w14:textId="77777777"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color w:val="101214"/>
          <w:szCs w:val="21"/>
          <w:shd w:val="clear" w:color="auto" w:fill="FFFFFF"/>
        </w:rPr>
        <w:t>Is the subsequent movement in volatility related to the current volatility? When volatility reaches a higher value, does the probability of a subsequent decline in volatility become larger? And vice versa. This section theoretically explores how the subsequent movement of volatility relates to the current level of volatility.</w:t>
      </w:r>
    </w:p>
    <w:p w14:paraId="6A6D6A0E" w14:textId="77777777"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color w:val="101214"/>
          <w:szCs w:val="21"/>
          <w:shd w:val="clear" w:color="auto" w:fill="FFFFFF"/>
        </w:rPr>
        <w:t>We discretize Equation (4), and obtain discrete SDE for volatility as:</w:t>
      </w:r>
    </w:p>
    <w:p w14:paraId="028A9CCA" w14:textId="77777777" w:rsidR="0019331A" w:rsidRPr="0019331A" w:rsidRDefault="0019331A" w:rsidP="0019331A">
      <w:pPr>
        <w:ind w:firstLineChars="100" w:firstLine="210"/>
        <w:jc w:val="right"/>
        <w:rPr>
          <w:rFonts w:ascii="Segoe UI" w:hAnsi="Segoe UI" w:cs="Segoe UI"/>
          <w:color w:val="101214"/>
          <w:szCs w:val="21"/>
          <w:shd w:val="clear" w:color="auto" w:fill="FFFFFF"/>
        </w:rPr>
      </w:pPr>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8)</w:t>
      </w:r>
    </w:p>
    <w:p w14:paraId="1AADB4F9" w14:textId="51A8197B" w:rsidR="0019331A" w:rsidRPr="0019331A" w:rsidRDefault="0019331A" w:rsidP="0019331A">
      <w:pPr>
        <w:ind w:firstLineChars="100" w:firstLine="210"/>
        <w:rPr>
          <w:rFonts w:ascii="Segoe UI" w:hAnsi="Segoe UI" w:cs="Segoe UI"/>
          <w:color w:val="101214"/>
          <w:szCs w:val="21"/>
          <w:shd w:val="clear" w:color="auto" w:fill="FFFFFF"/>
        </w:rPr>
      </w:pPr>
      <m:oMathPara>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∆t+δ∆</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oMath>
      </m:oMathPara>
    </w:p>
    <w:p w14:paraId="150461CB" w14:textId="2B15D679"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color w:val="101214"/>
          <w:szCs w:val="21"/>
          <w:shd w:val="clear" w:color="auto" w:fill="FFFFFF"/>
        </w:rPr>
        <w:t xml:space="preserve">Where </w:t>
      </w:r>
      <m:oMath>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r>
          <w:rPr>
            <w:rFonts w:ascii="Cambria Math" w:hAnsi="Cambria Math" w:cs="Segoe UI"/>
            <w:color w:val="101214"/>
            <w:szCs w:val="21"/>
            <w:shd w:val="clear" w:color="auto" w:fill="FFFFFF"/>
          </w:rPr>
          <m:t xml:space="preserve"> ~ N</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0,t</m:t>
            </m:r>
          </m:e>
        </m:d>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under Q measure, thus </w:t>
      </w:r>
      <m:oMath>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Q</m:t>
                </m:r>
              </m:sup>
            </m:sSubSup>
          </m:e>
        </m:acc>
        <m:r>
          <w:rPr>
            <w:rFonts w:ascii="Cambria Math" w:hAnsi="Cambria Math" w:cs="Segoe UI"/>
            <w:color w:val="101214"/>
            <w:szCs w:val="21"/>
            <w:shd w:val="clear" w:color="auto" w:fill="FFFFFF"/>
          </w:rPr>
          <m:t xml:space="preserve"> ~ N</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0,t</m:t>
            </m:r>
          </m:e>
        </m:d>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according to the properties of the Wiener process that the increment of a Brownian motion is still a Brownian motion. When the volatility reaches a specified value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color w:val="101214"/>
          <w:szCs w:val="21"/>
          <w:shd w:val="clear" w:color="auto" w:fill="FFFFFF"/>
        </w:rPr>
        <w:t xml:space="preserve">, we study the distribution of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color w:val="101214"/>
          <w:szCs w:val="21"/>
          <w:shd w:val="clear" w:color="auto" w:fill="FFFFFF"/>
        </w:rPr>
        <w:t xml:space="preserve"> by treating the volatility as a constant. W</w:t>
      </w:r>
      <w:r w:rsidRPr="0019331A">
        <w:rPr>
          <w:rFonts w:ascii="Segoe UI" w:hAnsi="Segoe UI" w:cs="Segoe UI" w:hint="eastAsia"/>
          <w:color w:val="101214"/>
          <w:szCs w:val="21"/>
          <w:shd w:val="clear" w:color="auto" w:fill="FFFFFF"/>
        </w:rPr>
        <w:t>e</w:t>
      </w:r>
      <w:r w:rsidRPr="0019331A">
        <w:rPr>
          <w:rFonts w:ascii="Segoe UI" w:hAnsi="Segoe UI" w:cs="Segoe UI"/>
          <w:color w:val="101214"/>
          <w:szCs w:val="21"/>
          <w:shd w:val="clear" w:color="auto" w:fill="FFFFFF"/>
        </w:rPr>
        <w:t xml:space="preserve"> define the cumulative probability functions of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conditional on the specified volatility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as </w:t>
      </w:r>
      <m:oMath>
        <m:r>
          <w:rPr>
            <w:rFonts w:ascii="Cambria Math" w:hAnsi="Cambria Math" w:cs="Segoe UI"/>
            <w:color w:val="101214"/>
            <w:szCs w:val="21"/>
            <w:shd w:val="clear" w:color="auto" w:fill="FFFFFF"/>
          </w:rPr>
          <m:t>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box>
          <m:boxPr>
            <m:opEmu m:val="1"/>
            <m:ctrlPr>
              <w:rPr>
                <w:rFonts w:ascii="Cambria Math" w:hAnsi="Cambria Math" w:cs="Segoe UI"/>
                <w:i/>
                <w:color w:val="101214"/>
                <w:szCs w:val="21"/>
                <w:shd w:val="clear" w:color="auto" w:fill="FFFFFF"/>
              </w:rPr>
            </m:ctrlPr>
          </m:boxPr>
          <m:e>
            <m:r>
              <w:rPr>
                <w:rFonts w:ascii="Cambria Math" w:hAnsi="Cambria Math" w:cs="Segoe UI"/>
                <w:color w:val="101214"/>
                <w:szCs w:val="21"/>
                <w:shd w:val="clear" w:color="auto" w:fill="FFFFFF"/>
              </w:rPr>
              <m:t>∶=P</m:t>
            </m:r>
          </m:e>
        </m:box>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X≤∆</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 xml:space="preserve"> thus the conditional probability distribution of </w:t>
      </w:r>
      <w:r w:rsidRPr="0019331A">
        <w:rPr>
          <w:rFonts w:ascii="Segoe UI" w:hAnsi="Segoe UI" w:cs="Segoe UI" w:hint="eastAsia"/>
          <w:color w:val="101214"/>
          <w:szCs w:val="21"/>
          <w:shd w:val="clear" w:color="auto" w:fill="FFFFFF"/>
        </w:rPr>
        <w:t xml:space="preserve">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color w:val="101214"/>
          <w:szCs w:val="21"/>
          <w:shd w:val="clear" w:color="auto" w:fill="FFFFFF"/>
        </w:rPr>
        <w:t xml:space="preserve"> is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~N</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∆t,∆t</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e>
        </m:d>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w:t>
      </w:r>
    </w:p>
    <w:p w14:paraId="64286F1A" w14:textId="2856A111"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color w:val="101214"/>
          <w:szCs w:val="21"/>
          <w:shd w:val="clear" w:color="auto" w:fill="FFFFFF"/>
        </w:rPr>
        <w:t xml:space="preserve">Conditional on the specified volatility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 xml:space="preserve"> the probability of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higher than </w:t>
      </w:r>
      <m:oMath>
        <m:r>
          <w:rPr>
            <w:rFonts w:ascii="Cambria Math" w:hAnsi="Cambria Math" w:cs="Segoe UI"/>
            <w:color w:val="101214"/>
            <w:szCs w:val="21"/>
            <w:shd w:val="clear" w:color="auto" w:fill="FFFFFF"/>
          </w:rPr>
          <m:t>K</m:t>
        </m:r>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is:</w:t>
      </w:r>
    </w:p>
    <w:p w14:paraId="7E3B27C9" w14:textId="77777777" w:rsidR="0019331A" w:rsidRPr="0019331A" w:rsidRDefault="0019331A" w:rsidP="0019331A">
      <w:pPr>
        <w:ind w:firstLineChars="100" w:firstLine="210"/>
        <w:jc w:val="right"/>
        <w:rPr>
          <w:rFonts w:ascii="Segoe UI" w:hAnsi="Segoe UI" w:cs="Segoe UI"/>
          <w:color w:val="101214"/>
          <w:szCs w:val="21"/>
          <w:shd w:val="clear" w:color="auto" w:fill="FFFFFF"/>
        </w:rPr>
      </w:pPr>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9)</w:t>
      </w:r>
    </w:p>
    <w:p w14:paraId="3E724713" w14:textId="4D7758F3" w:rsidR="0019331A" w:rsidRPr="0019331A" w:rsidRDefault="00000000" w:rsidP="0019331A">
      <w:pPr>
        <w:ind w:firstLineChars="100" w:firstLine="210"/>
        <w:rPr>
          <w:rFonts w:ascii="Segoe UI" w:hAnsi="Segoe UI" w:cs="Segoe UI"/>
          <w:color w:val="101214"/>
          <w:szCs w:val="21"/>
          <w:shd w:val="clear" w:color="auto" w:fill="FFFFFF"/>
        </w:rPr>
      </w:pPr>
      <m:oMathPara>
        <m:oMathParaPr>
          <m:jc m:val="left"/>
        </m:oMathParaPr>
        <m:oMath>
          <m:box>
            <m:boxPr>
              <m:opEmu m:val="1"/>
              <m:ctrlPr>
                <w:rPr>
                  <w:rFonts w:ascii="Cambria Math" w:hAnsi="Cambria Math" w:cs="Segoe UI"/>
                  <w:i/>
                  <w:color w:val="101214"/>
                  <w:szCs w:val="21"/>
                  <w:shd w:val="clear" w:color="auto" w:fill="FFFFFF"/>
                </w:rPr>
              </m:ctrlPr>
            </m:boxPr>
            <m:e>
              <m:r>
                <w:rPr>
                  <w:rFonts w:ascii="Cambria Math" w:hAnsi="Cambria Math" w:cs="Segoe UI"/>
                  <w:color w:val="101214"/>
                  <w:szCs w:val="21"/>
                  <w:shd w:val="clear" w:color="auto" w:fill="FFFFFF"/>
                </w:rPr>
                <m:t>P</m:t>
              </m:r>
            </m:e>
          </m:box>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&gt;K</m:t>
              </m:r>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m:oMathPara>
    </w:p>
    <w:p w14:paraId="411D83E3" w14:textId="7FA6A27C" w:rsidR="0019331A" w:rsidRPr="0019331A" w:rsidRDefault="0019331A" w:rsidP="0019331A">
      <w:pPr>
        <w:ind w:firstLineChars="100" w:firstLine="210"/>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=1-</m:t>
          </m:r>
          <m:box>
            <m:boxPr>
              <m:opEmu m:val="1"/>
              <m:ctrlPr>
                <w:rPr>
                  <w:rFonts w:ascii="Cambria Math" w:hAnsi="Cambria Math" w:cs="Segoe UI"/>
                  <w:i/>
                  <w:color w:val="101214"/>
                  <w:szCs w:val="21"/>
                  <w:shd w:val="clear" w:color="auto" w:fill="FFFFFF"/>
                </w:rPr>
              </m:ctrlPr>
            </m:boxPr>
            <m:e>
              <m:r>
                <w:rPr>
                  <w:rFonts w:ascii="Cambria Math" w:hAnsi="Cambria Math" w:cs="Segoe UI"/>
                  <w:color w:val="101214"/>
                  <w:szCs w:val="21"/>
                  <w:shd w:val="clear" w:color="auto" w:fill="FFFFFF"/>
                </w:rPr>
                <m:t>P</m:t>
              </m:r>
            </m:e>
          </m:box>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≤K</m:t>
              </m:r>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m:oMathPara>
    </w:p>
    <w:p w14:paraId="24596918" w14:textId="6A2A62B3" w:rsidR="0019331A" w:rsidRPr="0019331A" w:rsidRDefault="0019331A" w:rsidP="0019331A">
      <w:pPr>
        <w:ind w:firstLineChars="100" w:firstLine="210"/>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=1- 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K</m:t>
              </m:r>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m:oMathPara>
    </w:p>
    <w:p w14:paraId="15217817" w14:textId="21322E2F" w:rsidR="0019331A" w:rsidRPr="0019331A" w:rsidRDefault="0019331A" w:rsidP="0019331A">
      <w:pPr>
        <w:ind w:firstLineChars="100" w:firstLine="210"/>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=1-</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K</m:t>
              </m:r>
            </m:sup>
            <m:e>
              <m:r>
                <w:rPr>
                  <w:rFonts w:ascii="Cambria Math" w:hAnsi="Cambria Math" w:cs="Segoe UI"/>
                  <w:color w:val="101214"/>
                  <w:szCs w:val="21"/>
                  <w:shd w:val="clear" w:color="auto" w:fill="FFFFFF"/>
                </w:rPr>
                <m:t>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e>
          </m:nary>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m:oMathPara>
    </w:p>
    <w:p w14:paraId="4008D0F0" w14:textId="381B8BC9"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hint="eastAsia"/>
          <w:color w:val="101214"/>
          <w:szCs w:val="21"/>
          <w:shd w:val="clear" w:color="auto" w:fill="FFFFFF"/>
        </w:rPr>
        <w:t>W</w:t>
      </w:r>
      <w:r w:rsidRPr="0019331A">
        <w:rPr>
          <w:rFonts w:ascii="Segoe UI" w:hAnsi="Segoe UI" w:cs="Segoe UI"/>
          <w:color w:val="101214"/>
          <w:szCs w:val="21"/>
          <w:shd w:val="clear" w:color="auto" w:fill="FFFFFF"/>
        </w:rPr>
        <w:t xml:space="preserve">here </w:t>
      </w:r>
      <m:oMath>
        <m:r>
          <w:rPr>
            <w:rFonts w:ascii="Cambria Math" w:hAnsi="Cambria Math" w:cs="Segoe UI"/>
            <w:color w:val="101214"/>
            <w:szCs w:val="21"/>
            <w:shd w:val="clear" w:color="auto" w:fill="FFFFFF"/>
          </w:rPr>
          <m:t>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represents the conditional probability density functions for </w:t>
      </w:r>
      <m:oMath>
        <m:r>
          <w:rPr>
            <w:rFonts w:ascii="Cambria Math" w:hAnsi="Cambria Math" w:cs="Segoe UI"/>
            <w:color w:val="101214"/>
            <w:szCs w:val="21"/>
            <w:shd w:val="clear" w:color="auto" w:fill="FFFFFF"/>
          </w:rPr>
          <m:t>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 xml:space="preserve">For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~N</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∆t,∆t</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e>
        </m:d>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,the </w:t>
      </w:r>
      <m:oMath>
        <m:r>
          <w:rPr>
            <w:rFonts w:ascii="Cambria Math" w:hAnsi="Cambria Math" w:cs="Segoe UI"/>
            <w:color w:val="101214"/>
            <w:szCs w:val="21"/>
            <w:shd w:val="clear" w:color="auto" w:fill="FFFFFF"/>
          </w:rPr>
          <m:t>f</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is a</w:t>
      </w:r>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normal distribution about expectation </w:t>
      </w:r>
      <m:oMath>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box>
          <m:boxPr>
            <m:opEmu m:val="1"/>
            <m:ctrlPr>
              <w:rPr>
                <w:rFonts w:ascii="Cambria Math" w:hAnsi="Cambria Math" w:cs="Segoe UI"/>
                <w:i/>
                <w:color w:val="101214"/>
                <w:szCs w:val="21"/>
                <w:shd w:val="clear" w:color="auto" w:fill="FFFFFF"/>
              </w:rPr>
            </m:ctrlPr>
          </m:boxPr>
          <m:e>
            <m:r>
              <w:rPr>
                <w:rFonts w:ascii="Cambria Math" w:hAnsi="Cambria Math" w:cs="Segoe UI"/>
                <w:color w:val="101214"/>
                <w:szCs w:val="21"/>
                <w:shd w:val="clear" w:color="auto" w:fill="FFFFFF"/>
              </w:rPr>
              <m:t>∶=β</m:t>
            </m:r>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ν-</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∆t</m:t>
            </m:r>
          </m:e>
        </m:box>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and </w:t>
      </w:r>
      <m:oMath>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box>
          <m:boxPr>
            <m:opEmu m:val="1"/>
            <m:ctrlPr>
              <w:rPr>
                <w:rFonts w:ascii="Cambria Math" w:hAnsi="Cambria Math" w:cs="Segoe UI"/>
                <w:i/>
                <w:color w:val="101214"/>
                <w:szCs w:val="21"/>
                <w:shd w:val="clear" w:color="auto" w:fill="FFFFFF"/>
              </w:rPr>
            </m:ctrlPr>
          </m:boxPr>
          <m:e>
            <m:r>
              <w:rPr>
                <w:rFonts w:ascii="Cambria Math" w:hAnsi="Cambria Math" w:cs="Segoe UI"/>
                <w:color w:val="101214"/>
                <w:szCs w:val="21"/>
                <w:shd w:val="clear" w:color="auto" w:fill="FFFFFF"/>
              </w:rPr>
              <m:t>∶=</m:t>
            </m:r>
          </m:e>
        </m:box>
        <m:r>
          <w:rPr>
            <w:rFonts w:ascii="Cambria Math" w:hAnsi="Cambria Math" w:cs="Segoe UI"/>
            <w:color w:val="101214"/>
            <w:szCs w:val="21"/>
            <w:shd w:val="clear" w:color="auto" w:fill="FFFFFF"/>
          </w:rPr>
          <m:t>∆t</m:t>
        </m:r>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δ</m:t>
            </m:r>
          </m:e>
          <m:sup>
            <m:r>
              <w:rPr>
                <w:rFonts w:ascii="Cambria Math" w:hAnsi="Cambria Math" w:cs="Segoe UI"/>
                <w:color w:val="101214"/>
                <w:szCs w:val="21"/>
                <w:shd w:val="clear" w:color="auto" w:fill="FFFFFF"/>
              </w:rPr>
              <m:t>2</m:t>
            </m:r>
          </m:sup>
        </m:sSup>
      </m:oMath>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 xml:space="preserve"> thus we can define:</w:t>
      </w:r>
    </w:p>
    <w:p w14:paraId="2D446513" w14:textId="77777777" w:rsidR="0019331A" w:rsidRPr="0019331A" w:rsidRDefault="0019331A" w:rsidP="0019331A">
      <w:pPr>
        <w:ind w:firstLineChars="100" w:firstLine="210"/>
        <w:jc w:val="right"/>
        <w:rPr>
          <w:rFonts w:ascii="Segoe UI" w:hAnsi="Segoe UI" w:cs="Segoe UI"/>
          <w:color w:val="101214"/>
          <w:szCs w:val="21"/>
          <w:shd w:val="clear" w:color="auto" w:fill="FFFFFF"/>
        </w:rPr>
      </w:pPr>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10)</w:t>
      </w:r>
    </w:p>
    <w:p w14:paraId="33E6543B" w14:textId="4DFD0CB8" w:rsidR="0019331A" w:rsidRPr="0019331A" w:rsidRDefault="00000000" w:rsidP="0019331A">
      <w:pPr>
        <w:ind w:firstLineChars="100" w:firstLine="210"/>
        <w:rPr>
          <w:rFonts w:ascii="Segoe UI" w:hAnsi="Segoe UI" w:cs="Segoe UI"/>
          <w:color w:val="101214"/>
          <w:szCs w:val="21"/>
          <w:shd w:val="clear" w:color="auto" w:fill="FFFFFF"/>
        </w:rPr>
      </w:pPr>
      <m:oMathPara>
        <m:oMath>
          <m:box>
            <m:boxPr>
              <m:opEmu m:val="1"/>
              <m:ctrlPr>
                <w:rPr>
                  <w:rFonts w:ascii="Cambria Math" w:hAnsi="Cambria Math" w:cs="Segoe UI"/>
                  <w:i/>
                  <w:color w:val="101214"/>
                  <w:szCs w:val="21"/>
                  <w:shd w:val="clear" w:color="auto" w:fill="FFFFFF"/>
                </w:rPr>
              </m:ctrlPr>
            </m:box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G</m:t>
                  </m:r>
                </m:e>
                <m:sub>
                  <m:r>
                    <w:rPr>
                      <w:rFonts w:ascii="Cambria Math" w:hAnsi="Cambria Math" w:cs="Segoe UI"/>
                      <w:color w:val="101214"/>
                      <w:szCs w:val="21"/>
                      <w:shd w:val="clear" w:color="auto" w:fill="FFFFFF"/>
                    </w:rPr>
                    <m:t>t</m:t>
                  </m:r>
                </m:sub>
              </m:sSub>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K,∆t,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d>
              <m:box>
                <m:boxPr>
                  <m:opEmu m:val="1"/>
                  <m:ctrlPr>
                    <w:rPr>
                      <w:rFonts w:ascii="Cambria Math" w:hAnsi="Cambria Math" w:cs="Segoe UI"/>
                      <w:i/>
                      <w:color w:val="101214"/>
                      <w:szCs w:val="21"/>
                      <w:shd w:val="clear" w:color="auto" w:fill="FFFFFF"/>
                    </w:rPr>
                  </m:ctrlPr>
                </m:boxPr>
                <m:e>
                  <m:r>
                    <w:rPr>
                      <w:rFonts w:ascii="Cambria Math" w:hAnsi="Cambria Math" w:cs="Segoe UI"/>
                      <w:color w:val="101214"/>
                      <w:szCs w:val="21"/>
                      <w:shd w:val="clear" w:color="auto" w:fill="FFFFFF"/>
                    </w:rPr>
                    <m:t>∶=</m:t>
                  </m:r>
                </m:e>
              </m:box>
              <m:r>
                <w:rPr>
                  <w:rFonts w:ascii="Cambria Math" w:hAnsi="Cambria Math" w:cs="Segoe UI"/>
                  <w:color w:val="101214"/>
                  <w:szCs w:val="21"/>
                  <w:shd w:val="clear" w:color="auto" w:fill="FFFFFF"/>
                </w:rPr>
                <m:t>P</m:t>
              </m:r>
            </m:e>
          </m:box>
          <m:d>
            <m:dPr>
              <m:begChr m:val="{"/>
              <m:endChr m:val="}"/>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&gt;K</m:t>
              </m:r>
            </m:e>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d>
          <m:r>
            <w:rPr>
              <w:rFonts w:ascii="Cambria Math" w:hAnsi="Cambria Math" w:cs="Segoe UI"/>
              <w:color w:val="101214"/>
              <w:szCs w:val="21"/>
              <w:shd w:val="clear" w:color="auto" w:fill="FFFFFF"/>
            </w:rPr>
            <m:t>=1-</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K</m:t>
              </m:r>
            </m:sup>
            <m:e>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1</m:t>
                  </m:r>
                </m:num>
                <m:den>
                  <m:rad>
                    <m:radPr>
                      <m:degHide m:val="1"/>
                      <m:ctrlPr>
                        <w:rPr>
                          <w:rFonts w:ascii="Cambria Math" w:hAnsi="Cambria Math" w:cs="Segoe UI"/>
                          <w:i/>
                          <w:color w:val="101214"/>
                          <w:szCs w:val="21"/>
                          <w:shd w:val="clear" w:color="auto" w:fill="FFFFFF"/>
                        </w:rPr>
                      </m:ctrlPr>
                    </m:radPr>
                    <m:deg/>
                    <m:e>
                      <m:r>
                        <w:rPr>
                          <w:rFonts w:ascii="Cambria Math" w:hAnsi="Cambria Math" w:cs="Segoe UI"/>
                          <w:color w:val="101214"/>
                          <w:szCs w:val="21"/>
                          <w:shd w:val="clear" w:color="auto" w:fill="FFFFFF"/>
                        </w:rPr>
                        <m:t>2π</m:t>
                      </m:r>
                    </m:e>
                  </m:rad>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den>
              </m:f>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e>
                          </m:d>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sup>
                          <m:r>
                            <w:rPr>
                              <w:rFonts w:ascii="Cambria Math" w:hAnsi="Cambria Math" w:cs="Segoe UI"/>
                              <w:color w:val="101214"/>
                              <w:szCs w:val="21"/>
                              <w:shd w:val="clear" w:color="auto" w:fill="FFFFFF"/>
                            </w:rPr>
                            <m:t>2</m:t>
                          </m:r>
                        </m:sup>
                      </m:sSup>
                    </m:den>
                  </m:f>
                </m:sup>
              </m:sSup>
            </m:e>
          </m:nary>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m:oMathPara>
    </w:p>
    <w:p w14:paraId="263A3C78" w14:textId="0A8586A9"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hint="eastAsia"/>
          <w:color w:val="101214"/>
          <w:szCs w:val="21"/>
          <w:shd w:val="clear" w:color="auto" w:fill="FFFFFF"/>
        </w:rPr>
        <w:t>W</w:t>
      </w:r>
      <w:r w:rsidRPr="0019331A">
        <w:rPr>
          <w:rFonts w:ascii="Segoe UI" w:hAnsi="Segoe UI" w:cs="Segoe UI"/>
          <w:color w:val="101214"/>
          <w:szCs w:val="21"/>
          <w:shd w:val="clear" w:color="auto" w:fill="FFFFFF"/>
        </w:rPr>
        <w:t xml:space="preserve">here </w:t>
      </w:r>
      <m:oMath>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d>
          <m:dPr>
            <m:ctrlPr>
              <w:rPr>
                <w:rFonts w:ascii="Cambria Math" w:hAnsi="Cambria Math" w:cs="Segoe UI"/>
                <w:i/>
                <w:color w:val="101214"/>
                <w:szCs w:val="21"/>
                <w:shd w:val="clear" w:color="auto" w:fill="FFFFFF"/>
              </w:rPr>
            </m:ctrlPr>
          </m:d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,∆t</m:t>
            </m:r>
          </m:e>
        </m:d>
      </m:oMath>
      <w:r w:rsidRPr="0019331A">
        <w:rPr>
          <w:rFonts w:ascii="Segoe UI" w:hAnsi="Segoe UI" w:cs="Segoe UI"/>
          <w:color w:val="101214"/>
          <w:szCs w:val="21"/>
          <w:shd w:val="clear" w:color="auto" w:fill="FFFFFF"/>
        </w:rPr>
        <w:t xml:space="preserve"> and </w:t>
      </w:r>
      <m:oMath>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∆t</m:t>
            </m:r>
          </m:e>
        </m:d>
      </m:oMath>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 xml:space="preserve"> thus:</w:t>
      </w:r>
    </w:p>
    <w:p w14:paraId="232E83B0" w14:textId="77777777" w:rsidR="0019331A" w:rsidRPr="0019331A" w:rsidRDefault="0019331A" w:rsidP="0019331A">
      <w:pPr>
        <w:ind w:firstLineChars="100" w:firstLine="210"/>
        <w:jc w:val="right"/>
        <w:rPr>
          <w:rFonts w:ascii="Segoe UI" w:hAnsi="Segoe UI" w:cs="Segoe UI"/>
          <w:color w:val="101214"/>
          <w:szCs w:val="21"/>
          <w:shd w:val="clear" w:color="auto" w:fill="FFFFFF"/>
        </w:rPr>
      </w:pPr>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11)</w:t>
      </w:r>
    </w:p>
    <w:p w14:paraId="4A7EC457" w14:textId="4C73AF06" w:rsidR="0019331A" w:rsidRPr="0019331A" w:rsidRDefault="00000000" w:rsidP="0019331A">
      <w:pPr>
        <w:ind w:firstLineChars="100" w:firstLine="210"/>
        <w:rPr>
          <w:rFonts w:ascii="Segoe UI" w:hAnsi="Segoe UI" w:cs="Segoe UI"/>
          <w:color w:val="101214"/>
          <w:szCs w:val="21"/>
          <w:shd w:val="clear" w:color="auto" w:fill="FFFFFF"/>
        </w:rPr>
      </w:pPr>
      <m:oMathPara>
        <m:oMathParaPr>
          <m:jc m:val="left"/>
        </m:oMathParaPr>
        <m:oMath>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G</m:t>
                  </m:r>
                </m:e>
                <m:sub>
                  <m:r>
                    <w:rPr>
                      <w:rFonts w:ascii="Cambria Math" w:hAnsi="Cambria Math" w:cs="Segoe UI"/>
                      <w:color w:val="101214"/>
                      <w:szCs w:val="21"/>
                      <w:shd w:val="clear" w:color="auto" w:fill="FFFFFF"/>
                    </w:rPr>
                    <m:t>t</m:t>
                  </m:r>
                </m:sub>
              </m:sSub>
            </m:num>
            <m:den>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den>
          </m:f>
          <m:r>
            <w:rPr>
              <w:rFonts w:ascii="Cambria Math" w:hAnsi="Cambria Math" w:cs="Segoe UI"/>
              <w:color w:val="101214"/>
              <w:szCs w:val="21"/>
              <w:shd w:val="clear" w:color="auto" w:fill="FFFFFF"/>
            </w:rPr>
            <m:t xml:space="preserve"> </m:t>
          </m:r>
        </m:oMath>
      </m:oMathPara>
    </w:p>
    <w:p w14:paraId="7C3F096E" w14:textId="683138CA" w:rsidR="0019331A" w:rsidRPr="0019331A" w:rsidRDefault="0019331A" w:rsidP="0019331A">
      <w:pPr>
        <w:ind w:firstLineChars="100" w:firstLine="210"/>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G</m:t>
                  </m:r>
                </m:e>
                <m:sub>
                  <m:r>
                    <w:rPr>
                      <w:rFonts w:ascii="Cambria Math" w:hAnsi="Cambria Math" w:cs="Segoe UI"/>
                      <w:color w:val="101214"/>
                      <w:szCs w:val="21"/>
                      <w:shd w:val="clear" w:color="auto" w:fill="FFFFFF"/>
                    </w:rPr>
                    <m:t>t</m:t>
                  </m:r>
                </m:sub>
              </m:sSub>
            </m:num>
            <m:den>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den>
          </m:f>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num>
            <m:den>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den>
          </m:f>
        </m:oMath>
      </m:oMathPara>
    </w:p>
    <w:p w14:paraId="1959BA46" w14:textId="2B1A956E" w:rsidR="0019331A" w:rsidRPr="0019331A" w:rsidRDefault="0019331A" w:rsidP="0019331A">
      <w:pPr>
        <w:ind w:firstLineChars="100" w:firstLine="210"/>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=β∆t</m:t>
          </m:r>
          <m:nary>
            <m:naryPr>
              <m:limLoc m:val="subSup"/>
              <m:subHide m:val="1"/>
              <m:ctrlPr>
                <w:rPr>
                  <w:rFonts w:ascii="Cambria Math" w:hAnsi="Cambria Math" w:cs="Segoe UI"/>
                  <w:i/>
                  <w:color w:val="101214"/>
                  <w:szCs w:val="21"/>
                  <w:shd w:val="clear" w:color="auto" w:fill="FFFFFF"/>
                </w:rPr>
              </m:ctrlPr>
            </m:naryPr>
            <m:sub/>
            <m:sup>
              <m:r>
                <w:rPr>
                  <w:rFonts w:ascii="Cambria Math" w:hAnsi="Cambria Math" w:cs="Segoe UI"/>
                  <w:color w:val="101214"/>
                  <w:szCs w:val="21"/>
                  <w:shd w:val="clear" w:color="auto" w:fill="FFFFFF"/>
                </w:rPr>
                <m:t>K</m:t>
              </m:r>
            </m:sup>
            <m:e>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num>
                <m:den>
                  <m:rad>
                    <m:radPr>
                      <m:degHide m:val="1"/>
                      <m:ctrlPr>
                        <w:rPr>
                          <w:rFonts w:ascii="Cambria Math" w:hAnsi="Cambria Math" w:cs="Segoe UI"/>
                          <w:i/>
                          <w:color w:val="101214"/>
                          <w:szCs w:val="21"/>
                          <w:shd w:val="clear" w:color="auto" w:fill="FFFFFF"/>
                        </w:rPr>
                      </m:ctrlPr>
                    </m:radPr>
                    <m:deg/>
                    <m:e>
                      <m:r>
                        <w:rPr>
                          <w:rFonts w:ascii="Cambria Math" w:hAnsi="Cambria Math" w:cs="Segoe UI"/>
                          <w:color w:val="101214"/>
                          <w:szCs w:val="21"/>
                          <w:shd w:val="clear" w:color="auto" w:fill="FFFFFF"/>
                        </w:rPr>
                        <m:t>2π</m:t>
                      </m:r>
                    </m:e>
                  </m:rad>
                  <m:sSup>
                    <m:sSupPr>
                      <m:ctrlPr>
                        <w:rPr>
                          <w:rFonts w:ascii="Cambria Math" w:hAnsi="Cambria Math" w:cs="Segoe UI"/>
                          <w:i/>
                          <w:color w:val="101214"/>
                          <w:szCs w:val="21"/>
                          <w:shd w:val="clear" w:color="auto" w:fill="FFFFFF"/>
                        </w:rPr>
                      </m:ctrlPr>
                    </m:sSupPr>
                    <m:e>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sup>
                      <m:r>
                        <w:rPr>
                          <w:rFonts w:ascii="Cambria Math" w:hAnsi="Cambria Math" w:cs="Segoe UI"/>
                          <w:color w:val="101214"/>
                          <w:szCs w:val="21"/>
                          <w:shd w:val="clear" w:color="auto" w:fill="FFFFFF"/>
                        </w:rPr>
                        <m:t>3</m:t>
                      </m:r>
                    </m:sup>
                  </m:sSup>
                </m:den>
              </m:f>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e>
                          </m:d>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sup>
                          <m:r>
                            <w:rPr>
                              <w:rFonts w:ascii="Cambria Math" w:hAnsi="Cambria Math" w:cs="Segoe UI"/>
                              <w:color w:val="101214"/>
                              <w:szCs w:val="21"/>
                              <w:shd w:val="clear" w:color="auto" w:fill="FFFFFF"/>
                            </w:rPr>
                            <m:t>2</m:t>
                          </m:r>
                        </m:sup>
                      </m:sSup>
                    </m:den>
                  </m:f>
                </m:sup>
              </m:sSup>
            </m:e>
          </m:nary>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m:oMathPara>
    </w:p>
    <w:p w14:paraId="224BC5E8" w14:textId="0AB69A37" w:rsidR="0019331A" w:rsidRPr="0019331A" w:rsidRDefault="0019331A" w:rsidP="0019331A">
      <w:pPr>
        <w:ind w:firstLineChars="100" w:firstLine="210"/>
        <w:rPr>
          <w:rFonts w:ascii="Segoe UI" w:hAnsi="Segoe UI" w:cs="Segoe UI"/>
          <w:color w:val="101214"/>
          <w:szCs w:val="21"/>
          <w:shd w:val="clear" w:color="auto" w:fill="FFFFFF"/>
        </w:rPr>
      </w:pPr>
      <m:oMathPara>
        <m:oMathParaPr>
          <m:jc m:val="left"/>
        </m:oMathParaPr>
        <m:oMath>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β∆t</m:t>
              </m:r>
            </m:num>
            <m:den>
              <m:rad>
                <m:radPr>
                  <m:degHide m:val="1"/>
                  <m:ctrlPr>
                    <w:rPr>
                      <w:rFonts w:ascii="Cambria Math" w:hAnsi="Cambria Math" w:cs="Segoe UI"/>
                      <w:i/>
                      <w:color w:val="101214"/>
                      <w:szCs w:val="21"/>
                      <w:shd w:val="clear" w:color="auto" w:fill="FFFFFF"/>
                    </w:rPr>
                  </m:ctrlPr>
                </m:radPr>
                <m:deg/>
                <m:e>
                  <m:r>
                    <w:rPr>
                      <w:rFonts w:ascii="Cambria Math" w:hAnsi="Cambria Math" w:cs="Segoe UI"/>
                      <w:color w:val="101214"/>
                      <w:szCs w:val="21"/>
                      <w:shd w:val="clear" w:color="auto" w:fill="FFFFFF"/>
                    </w:rPr>
                    <m:t>2π</m:t>
                  </m:r>
                </m:e>
              </m:rad>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den>
          </m:f>
          <m:sSup>
            <m:sSupPr>
              <m:ctrlPr>
                <w:rPr>
                  <w:rFonts w:ascii="Cambria Math" w:hAnsi="Cambria Math" w:cs="Segoe UI"/>
                  <w:i/>
                  <w:color w:val="101214"/>
                  <w:szCs w:val="21"/>
                  <w:shd w:val="clear" w:color="auto" w:fill="FFFFFF"/>
                </w:rPr>
              </m:ctrlPr>
            </m:sSupPr>
            <m:e>
              <m:r>
                <w:rPr>
                  <w:rFonts w:ascii="Cambria Math" w:hAnsi="Cambria Math" w:cs="Segoe UI"/>
                  <w:color w:val="101214"/>
                  <w:szCs w:val="21"/>
                  <w:shd w:val="clear" w:color="auto" w:fill="FFFFFF"/>
                </w:rPr>
                <m:t>e</m:t>
              </m:r>
            </m:e>
            <m:sup>
              <m:r>
                <w:rPr>
                  <w:rFonts w:ascii="Cambria Math" w:hAnsi="Cambria Math" w:cs="Segoe UI"/>
                  <w:color w:val="101214"/>
                  <w:szCs w:val="21"/>
                  <w:shd w:val="clear" w:color="auto" w:fill="FFFFFF"/>
                </w:rPr>
                <m:t>-</m:t>
              </m:r>
              <m:f>
                <m:fPr>
                  <m:ctrlPr>
                    <w:rPr>
                      <w:rFonts w:ascii="Cambria Math" w:hAnsi="Cambria Math" w:cs="Segoe UI"/>
                      <w:i/>
                      <w:color w:val="101214"/>
                      <w:szCs w:val="21"/>
                      <w:shd w:val="clear" w:color="auto" w:fill="FFFFFF"/>
                    </w:rPr>
                  </m:ctrlPr>
                </m:fPr>
                <m:num>
                  <m:sSup>
                    <m:sSupPr>
                      <m:ctrlPr>
                        <w:rPr>
                          <w:rFonts w:ascii="Cambria Math" w:hAnsi="Cambria Math" w:cs="Segoe UI"/>
                          <w:i/>
                          <w:color w:val="101214"/>
                          <w:szCs w:val="21"/>
                          <w:shd w:val="clear" w:color="auto" w:fill="FFFFFF"/>
                        </w:rPr>
                      </m:ctrlPr>
                    </m:sSupPr>
                    <m:e>
                      <m:d>
                        <m:dPr>
                          <m:ctrlPr>
                            <w:rPr>
                              <w:rFonts w:ascii="Cambria Math" w:hAnsi="Cambria Math" w:cs="Segoe UI"/>
                              <w:i/>
                              <w:color w:val="101214"/>
                              <w:szCs w:val="21"/>
                              <w:shd w:val="clear" w:color="auto" w:fill="FFFFFF"/>
                            </w:rPr>
                          </m:ctrlPr>
                        </m:dPr>
                        <m:e>
                          <m:r>
                            <w:rPr>
                              <w:rFonts w:ascii="Cambria Math" w:hAnsi="Cambria Math" w:cs="Segoe UI"/>
                              <w:color w:val="101214"/>
                              <w:szCs w:val="21"/>
                              <w:shd w:val="clear" w:color="auto" w:fill="FFFFFF"/>
                            </w:rPr>
                            <m:t>K-</m:t>
                          </m:r>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μ</m:t>
                              </m:r>
                            </m:e>
                          </m:acc>
                        </m:e>
                      </m:d>
                    </m:e>
                    <m:sup>
                      <m:r>
                        <w:rPr>
                          <w:rFonts w:ascii="Cambria Math" w:hAnsi="Cambria Math" w:cs="Segoe UI"/>
                          <w:color w:val="101214"/>
                          <w:szCs w:val="21"/>
                          <w:shd w:val="clear" w:color="auto" w:fill="FFFFFF"/>
                        </w:rPr>
                        <m:t>2</m:t>
                      </m:r>
                    </m:sup>
                  </m:sSup>
                </m:num>
                <m:den>
                  <m:r>
                    <w:rPr>
                      <w:rFonts w:ascii="Cambria Math" w:hAnsi="Cambria Math" w:cs="Segoe UI"/>
                      <w:color w:val="101214"/>
                      <w:szCs w:val="21"/>
                      <w:shd w:val="clear" w:color="auto" w:fill="FFFFFF"/>
                    </w:rPr>
                    <m:t>2</m:t>
                  </m:r>
                  <m:sSup>
                    <m:sSupPr>
                      <m:ctrlPr>
                        <w:rPr>
                          <w:rFonts w:ascii="Cambria Math" w:hAnsi="Cambria Math" w:cs="Segoe UI"/>
                          <w:i/>
                          <w:color w:val="101214"/>
                          <w:szCs w:val="21"/>
                          <w:shd w:val="clear" w:color="auto" w:fill="FFFFFF"/>
                        </w:rPr>
                      </m:ctrlPr>
                    </m:sSupPr>
                    <m:e>
                      <m:acc>
                        <m:accPr>
                          <m:chr m:val="̃"/>
                          <m:ctrlPr>
                            <w:rPr>
                              <w:rFonts w:ascii="Cambria Math" w:hAnsi="Cambria Math" w:cs="Segoe UI"/>
                              <w:i/>
                              <w:color w:val="101214"/>
                              <w:szCs w:val="21"/>
                              <w:shd w:val="clear" w:color="auto" w:fill="FFFFFF"/>
                            </w:rPr>
                          </m:ctrlPr>
                        </m:accPr>
                        <m:e>
                          <m:r>
                            <w:rPr>
                              <w:rFonts w:ascii="Cambria Math" w:hAnsi="Cambria Math" w:cs="Segoe UI"/>
                              <w:color w:val="101214"/>
                              <w:szCs w:val="21"/>
                              <w:shd w:val="clear" w:color="auto" w:fill="FFFFFF"/>
                            </w:rPr>
                            <m:t>σ</m:t>
                          </m:r>
                        </m:e>
                      </m:acc>
                    </m:e>
                    <m:sup>
                      <m:r>
                        <w:rPr>
                          <w:rFonts w:ascii="Cambria Math" w:hAnsi="Cambria Math" w:cs="Segoe UI"/>
                          <w:color w:val="101214"/>
                          <w:szCs w:val="21"/>
                          <w:shd w:val="clear" w:color="auto" w:fill="FFFFFF"/>
                        </w:rPr>
                        <m:t>2</m:t>
                      </m:r>
                    </m:sup>
                  </m:sSup>
                </m:den>
              </m:f>
            </m:sup>
          </m:sSup>
        </m:oMath>
      </m:oMathPara>
    </w:p>
    <w:p w14:paraId="4FF40AC8" w14:textId="3D5B1B4B" w:rsidR="0019331A" w:rsidRPr="0019331A" w:rsidRDefault="0019331A" w:rsidP="0019331A">
      <w:pPr>
        <w:ind w:firstLineChars="100" w:firstLine="210"/>
        <w:rPr>
          <w:rFonts w:ascii="Segoe UI" w:hAnsi="Segoe UI" w:cs="Segoe UI"/>
          <w:color w:val="101214"/>
          <w:szCs w:val="21"/>
          <w:shd w:val="clear" w:color="auto" w:fill="FFFFFF"/>
        </w:rPr>
      </w:pPr>
      <w:r w:rsidRPr="0019331A">
        <w:rPr>
          <w:rFonts w:ascii="Segoe UI" w:hAnsi="Segoe UI" w:cs="Segoe UI"/>
          <w:color w:val="101214"/>
          <w:szCs w:val="21"/>
          <w:shd w:val="clear" w:color="auto" w:fill="FFFFFF"/>
        </w:rPr>
        <w:t>Obviously,</w:t>
      </w:r>
      <w:r w:rsidRPr="0019331A">
        <w:rPr>
          <w:rFonts w:ascii="Segoe UI" w:hAnsi="Segoe UI" w:cs="Segoe UI"/>
          <w:i/>
          <w:color w:val="101214"/>
          <w:szCs w:val="21"/>
          <w:shd w:val="clear" w:color="auto" w:fill="FFFFFF"/>
        </w:rPr>
        <w:t xml:space="preserve"> </w:t>
      </w:r>
      <m:oMath>
        <m:f>
          <m:fPr>
            <m:ctrlPr>
              <w:rPr>
                <w:rFonts w:ascii="Cambria Math" w:hAnsi="Cambria Math" w:cs="Segoe UI"/>
                <w:i/>
                <w:color w:val="101214"/>
                <w:szCs w:val="21"/>
                <w:shd w:val="clear" w:color="auto" w:fill="FFFFFF"/>
              </w:rPr>
            </m:ctrlPr>
          </m:fPr>
          <m:num>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G</m:t>
                </m:r>
              </m:e>
              <m:sub>
                <m:r>
                  <w:rPr>
                    <w:rFonts w:ascii="Cambria Math" w:hAnsi="Cambria Math" w:cs="Segoe UI"/>
                    <w:color w:val="101214"/>
                    <w:szCs w:val="21"/>
                    <w:shd w:val="clear" w:color="auto" w:fill="FFFFFF"/>
                  </w:rPr>
                  <m:t>t</m:t>
                </m:r>
              </m:sub>
            </m:sSub>
          </m:num>
          <m:den>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den>
        </m:f>
        <m:r>
          <w:rPr>
            <w:rFonts w:ascii="Cambria Math" w:hAnsi="Cambria Math" w:cs="Segoe UI"/>
            <w:color w:val="101214"/>
            <w:szCs w:val="21"/>
            <w:shd w:val="clear" w:color="auto" w:fill="FFFFFF"/>
          </w:rPr>
          <m:t>&lt;0</m:t>
        </m:r>
      </m:oMath>
      <w:r w:rsidRPr="0019331A">
        <w:rPr>
          <w:rFonts w:ascii="Segoe UI" w:hAnsi="Segoe UI" w:cs="Segoe UI" w:hint="eastAsia"/>
          <w:color w:val="101214"/>
          <w:szCs w:val="21"/>
          <w:shd w:val="clear" w:color="auto" w:fill="FFFFFF"/>
        </w:rPr>
        <w:t>,</w:t>
      </w:r>
      <w:r w:rsidRPr="0019331A">
        <w:rPr>
          <w:rFonts w:ascii="Segoe UI" w:hAnsi="Segoe UI" w:cs="Segoe UI"/>
          <w:color w:val="101214"/>
          <w:szCs w:val="21"/>
          <w:shd w:val="clear" w:color="auto" w:fill="FFFFFF"/>
        </w:rPr>
        <w:t xml:space="preserve"> this means the probability that </w:t>
      </w:r>
      <m:oMath>
        <m:r>
          <w:rPr>
            <w:rFonts w:ascii="Cambria Math" w:hAnsi="Cambria Math" w:cs="Segoe UI"/>
            <w:color w:val="101214"/>
            <w:szCs w:val="21"/>
            <w:shd w:val="clear" w:color="auto" w:fill="FFFFFF"/>
          </w:rPr>
          <m:t>∆</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higher than </w:t>
      </w:r>
      <m:oMath>
        <m:r>
          <w:rPr>
            <w:rFonts w:ascii="Cambria Math" w:hAnsi="Cambria Math" w:cs="Segoe UI"/>
            <w:color w:val="101214"/>
            <w:szCs w:val="21"/>
            <w:shd w:val="clear" w:color="auto" w:fill="FFFFFF"/>
          </w:rPr>
          <m:t>K</m:t>
        </m:r>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conditional on the specified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 xml:space="preserve">will decrease when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Pr="0019331A">
        <w:rPr>
          <w:rFonts w:ascii="Segoe UI" w:hAnsi="Segoe UI" w:cs="Segoe UI" w:hint="eastAsia"/>
          <w:color w:val="101214"/>
          <w:szCs w:val="21"/>
          <w:shd w:val="clear" w:color="auto" w:fill="FFFFFF"/>
        </w:rPr>
        <w:t xml:space="preserve"> </w:t>
      </w:r>
      <w:r w:rsidRPr="0019331A">
        <w:rPr>
          <w:rFonts w:ascii="Segoe UI" w:hAnsi="Segoe UI" w:cs="Segoe UI"/>
          <w:color w:val="101214"/>
          <w:szCs w:val="21"/>
          <w:shd w:val="clear" w:color="auto" w:fill="FFFFFF"/>
        </w:rPr>
        <w:t>increases higher.</w:t>
      </w:r>
    </w:p>
    <w:p w14:paraId="6D54D1C1" w14:textId="1A2FEDCD" w:rsidR="00763AF4" w:rsidRPr="0019331A" w:rsidRDefault="00763AF4" w:rsidP="00AA3F48">
      <w:pPr>
        <w:ind w:firstLineChars="100" w:firstLine="210"/>
        <w:rPr>
          <w:rFonts w:ascii="Segoe UI" w:hAnsi="Segoe UI" w:cs="Segoe UI"/>
          <w:color w:val="101214"/>
          <w:szCs w:val="21"/>
          <w:shd w:val="clear" w:color="auto" w:fill="FFFFFF"/>
        </w:rPr>
      </w:pPr>
    </w:p>
    <w:p w14:paraId="12B1BEAF" w14:textId="47ECEABC" w:rsidR="00763AF4" w:rsidRDefault="00763AF4" w:rsidP="00AA3F48">
      <w:pPr>
        <w:ind w:firstLineChars="100" w:firstLine="210"/>
        <w:rPr>
          <w:rFonts w:ascii="Segoe UI" w:hAnsi="Segoe UI" w:cs="Segoe UI"/>
          <w:color w:val="101214"/>
          <w:szCs w:val="21"/>
          <w:shd w:val="clear" w:color="auto" w:fill="FFFFFF"/>
        </w:rPr>
      </w:pPr>
    </w:p>
    <w:p w14:paraId="66F5F9BF" w14:textId="77777777" w:rsidR="00763AF4" w:rsidRDefault="00763AF4" w:rsidP="00AA3F48">
      <w:pPr>
        <w:ind w:firstLineChars="100" w:firstLine="210"/>
        <w:rPr>
          <w:rFonts w:ascii="Segoe UI" w:hAnsi="Segoe UI" w:cs="Segoe UI"/>
          <w:color w:val="101214"/>
          <w:szCs w:val="21"/>
          <w:shd w:val="clear" w:color="auto" w:fill="FFFFFF"/>
        </w:rPr>
      </w:pPr>
    </w:p>
    <w:p w14:paraId="1EC5EE4E" w14:textId="77777777" w:rsidR="00A47DA5" w:rsidRPr="00A47DA5" w:rsidRDefault="00A47DA5" w:rsidP="00AA3F48">
      <w:pPr>
        <w:ind w:firstLineChars="100" w:firstLine="210"/>
        <w:rPr>
          <w:rFonts w:ascii="Segoe UI" w:hAnsi="Segoe UI" w:cs="Segoe UI"/>
          <w:color w:val="101214"/>
          <w:szCs w:val="21"/>
          <w:shd w:val="clear" w:color="auto" w:fill="FFFFFF"/>
        </w:rPr>
      </w:pPr>
    </w:p>
    <w:p w14:paraId="68DEBAC5" w14:textId="77777777" w:rsidR="006355D4" w:rsidRDefault="006355D4" w:rsidP="00AA3F48">
      <w:pPr>
        <w:ind w:firstLineChars="100" w:firstLine="210"/>
        <w:rPr>
          <w:rFonts w:ascii="Segoe UI" w:hAnsi="Segoe UI" w:cs="Segoe UI"/>
          <w:color w:val="101214"/>
          <w:szCs w:val="21"/>
          <w:shd w:val="clear" w:color="auto" w:fill="FFFFFF"/>
        </w:rPr>
      </w:pPr>
    </w:p>
    <w:p w14:paraId="550B580F" w14:textId="77777777" w:rsidR="006355D4" w:rsidRDefault="006355D4" w:rsidP="00AA3F48">
      <w:pPr>
        <w:ind w:firstLineChars="100" w:firstLine="210"/>
        <w:rPr>
          <w:rFonts w:ascii="Segoe UI" w:hAnsi="Segoe UI" w:cs="Segoe UI"/>
          <w:color w:val="101214"/>
          <w:szCs w:val="21"/>
          <w:shd w:val="clear" w:color="auto" w:fill="FFFFFF"/>
        </w:rPr>
      </w:pPr>
    </w:p>
    <w:p w14:paraId="7A248152" w14:textId="77777777" w:rsidR="006355D4" w:rsidRDefault="006355D4" w:rsidP="00AA3F48">
      <w:pPr>
        <w:ind w:firstLineChars="100" w:firstLine="210"/>
        <w:rPr>
          <w:rFonts w:ascii="Segoe UI" w:hAnsi="Segoe UI" w:cs="Segoe UI"/>
          <w:color w:val="101214"/>
          <w:szCs w:val="21"/>
          <w:shd w:val="clear" w:color="auto" w:fill="FFFFFF"/>
        </w:rPr>
      </w:pPr>
    </w:p>
    <w:p w14:paraId="4BC2DFBE" w14:textId="77777777" w:rsidR="006355D4" w:rsidRDefault="006355D4" w:rsidP="000230CE">
      <w:pPr>
        <w:rPr>
          <w:rFonts w:ascii="Segoe UI" w:hAnsi="Segoe UI" w:cs="Segoe UI"/>
          <w:color w:val="101214"/>
          <w:szCs w:val="21"/>
          <w:shd w:val="clear" w:color="auto" w:fill="FFFFFF"/>
        </w:rPr>
      </w:pPr>
    </w:p>
    <w:p w14:paraId="590359CE" w14:textId="77777777" w:rsidR="006355D4" w:rsidRDefault="006355D4" w:rsidP="000230CE">
      <w:pPr>
        <w:rPr>
          <w:rFonts w:ascii="Segoe UI" w:hAnsi="Segoe UI" w:cs="Segoe UI"/>
          <w:color w:val="101214"/>
          <w:szCs w:val="21"/>
          <w:shd w:val="clear" w:color="auto" w:fill="FFFFFF"/>
        </w:rPr>
      </w:pPr>
    </w:p>
    <w:p w14:paraId="3F0CA536" w14:textId="77777777" w:rsidR="006355D4" w:rsidRDefault="006355D4" w:rsidP="000230CE">
      <w:pPr>
        <w:rPr>
          <w:rFonts w:ascii="Segoe UI" w:hAnsi="Segoe UI" w:cs="Segoe UI"/>
          <w:color w:val="101214"/>
          <w:szCs w:val="21"/>
          <w:shd w:val="clear" w:color="auto" w:fill="FFFFFF"/>
        </w:rPr>
      </w:pPr>
    </w:p>
    <w:p w14:paraId="7DD44A13" w14:textId="0229E9C7" w:rsidR="00192F4D" w:rsidRPr="00AA3F48" w:rsidRDefault="00192F4D" w:rsidP="00192F4D"/>
    <w:p w14:paraId="5227C72F" w14:textId="5B113049" w:rsidR="009A218D" w:rsidRDefault="009A218D" w:rsidP="00192F4D"/>
    <w:p w14:paraId="3D765509" w14:textId="7FA8FF0D" w:rsidR="009A218D" w:rsidRDefault="009A218D" w:rsidP="00192F4D"/>
    <w:p w14:paraId="114D8C30" w14:textId="6707C7A8" w:rsidR="009A218D" w:rsidRDefault="009A218D" w:rsidP="00192F4D"/>
    <w:p w14:paraId="3083570B" w14:textId="39AF00C3" w:rsidR="009A218D" w:rsidRDefault="009A218D" w:rsidP="00192F4D"/>
    <w:p w14:paraId="09BD026C" w14:textId="3312AAF3" w:rsidR="009A218D" w:rsidRDefault="009A218D" w:rsidP="00192F4D"/>
    <w:p w14:paraId="6E34EB37" w14:textId="77777777" w:rsidR="009A218D" w:rsidRPr="00192F4D" w:rsidRDefault="009A218D" w:rsidP="00192F4D"/>
    <w:p w14:paraId="77C6DDEF" w14:textId="40807D57" w:rsidR="00192F4D" w:rsidRDefault="00192F4D" w:rsidP="00192F4D">
      <w:pPr>
        <w:pStyle w:val="1"/>
      </w:pPr>
      <w:r>
        <w:rPr>
          <w:rFonts w:hint="eastAsia"/>
        </w:rPr>
        <w:t>样本与变量</w:t>
      </w:r>
    </w:p>
    <w:p w14:paraId="1C555849" w14:textId="5444B197" w:rsidR="0083215E" w:rsidRDefault="0083215E" w:rsidP="0083215E"/>
    <w:p w14:paraId="6A5DCAD7" w14:textId="2B3B83E8" w:rsidR="00F81A6C" w:rsidRDefault="00F81A6C" w:rsidP="0083215E"/>
    <w:p w14:paraId="2540210B" w14:textId="28405A98" w:rsidR="00F81A6C" w:rsidRDefault="00F81A6C" w:rsidP="0083215E"/>
    <w:p w14:paraId="47E04A84" w14:textId="029786DE" w:rsidR="00F81A6C" w:rsidRDefault="00F81A6C" w:rsidP="0083215E"/>
    <w:p w14:paraId="0A1DAF1F" w14:textId="2FD3DBC8" w:rsidR="00F81A6C" w:rsidRDefault="00F81A6C" w:rsidP="0083215E"/>
    <w:p w14:paraId="6DA355DF" w14:textId="2E222EE2" w:rsidR="00F81A6C" w:rsidRDefault="00F81A6C" w:rsidP="0083215E"/>
    <w:p w14:paraId="706D4E51" w14:textId="2C627ECD" w:rsidR="00F81A6C" w:rsidRDefault="00F81A6C" w:rsidP="0083215E"/>
    <w:p w14:paraId="59A73E3C" w14:textId="000B73BE" w:rsidR="00F81A6C" w:rsidRDefault="00F81A6C" w:rsidP="0083215E"/>
    <w:p w14:paraId="526401BC" w14:textId="61A36E99" w:rsidR="00F81A6C" w:rsidRDefault="00F81A6C" w:rsidP="0083215E"/>
    <w:p w14:paraId="55D6E13C" w14:textId="2F8BAC17" w:rsidR="00F81A6C" w:rsidRDefault="00F81A6C" w:rsidP="0083215E"/>
    <w:p w14:paraId="1C55BA69" w14:textId="77777777" w:rsidR="00F81A6C" w:rsidRPr="0083215E" w:rsidRDefault="00F81A6C" w:rsidP="0083215E">
      <w:pPr>
        <w:rPr>
          <w:rFonts w:hint="eastAsia"/>
        </w:rPr>
      </w:pPr>
    </w:p>
    <w:p w14:paraId="01F4831F" w14:textId="3C4D6802" w:rsidR="00192F4D" w:rsidRDefault="00192F4D" w:rsidP="00192F4D">
      <w:pPr>
        <w:pStyle w:val="1"/>
      </w:pPr>
      <w:r>
        <w:rPr>
          <w:rFonts w:hint="eastAsia"/>
        </w:rPr>
        <w:t>实证检验</w:t>
      </w:r>
    </w:p>
    <w:p w14:paraId="009BE97A" w14:textId="1F2393A6" w:rsidR="00472BF3" w:rsidRDefault="00472BF3" w:rsidP="00472BF3">
      <w:pPr>
        <w:pStyle w:val="2"/>
      </w:pPr>
      <w:bookmarkStart w:id="16" w:name="OLE_LINK1"/>
      <w:r>
        <w:rPr>
          <w:rFonts w:hint="eastAsia"/>
        </w:rPr>
        <w:t>M</w:t>
      </w:r>
      <w:r>
        <w:t>ean Reversion</w:t>
      </w:r>
      <w:bookmarkEnd w:id="16"/>
      <w:r>
        <w:t xml:space="preserve"> of Volatility</w:t>
      </w:r>
    </w:p>
    <w:p w14:paraId="352416A1" w14:textId="77777777" w:rsidR="0039179A" w:rsidRPr="0039179A" w:rsidRDefault="00B90876" w:rsidP="0039179A">
      <w:pPr>
        <w:spacing w:line="360" w:lineRule="auto"/>
        <w:ind w:firstLineChars="200" w:firstLine="440"/>
        <w:rPr>
          <w:sz w:val="22"/>
          <w:szCs w:val="24"/>
        </w:rPr>
      </w:pPr>
      <w:r w:rsidRPr="0039179A">
        <w:rPr>
          <w:rFonts w:hint="eastAsia"/>
          <w:sz w:val="22"/>
          <w:szCs w:val="24"/>
        </w:rPr>
        <w:t>波动率回复强度与</w:t>
      </w:r>
      <w:proofErr w:type="gramStart"/>
      <w:r w:rsidRPr="0039179A">
        <w:rPr>
          <w:rFonts w:hint="eastAsia"/>
          <w:sz w:val="22"/>
          <w:szCs w:val="24"/>
        </w:rPr>
        <w:t>个</w:t>
      </w:r>
      <w:proofErr w:type="gramEnd"/>
      <w:r w:rsidRPr="0039179A">
        <w:rPr>
          <w:rFonts w:hint="eastAsia"/>
          <w:sz w:val="22"/>
          <w:szCs w:val="24"/>
        </w:rPr>
        <w:t>股本</w:t>
      </w:r>
      <w:proofErr w:type="gramStart"/>
      <w:r w:rsidRPr="0039179A">
        <w:rPr>
          <w:rFonts w:hint="eastAsia"/>
          <w:sz w:val="22"/>
          <w:szCs w:val="24"/>
        </w:rPr>
        <w:t>身特征</w:t>
      </w:r>
      <w:proofErr w:type="gramEnd"/>
      <w:r w:rsidRPr="0039179A">
        <w:rPr>
          <w:rFonts w:hint="eastAsia"/>
          <w:sz w:val="22"/>
          <w:szCs w:val="24"/>
        </w:rPr>
        <w:t>密切相关，包括个股的资产规模、盈利能力和成长能力等。</w:t>
      </w:r>
      <w:r w:rsidR="0039179A" w:rsidRPr="0039179A">
        <w:rPr>
          <w:rFonts w:hint="eastAsia"/>
          <w:sz w:val="22"/>
          <w:szCs w:val="24"/>
        </w:rPr>
        <w:t>在对期权样本数据进行分位数分组时，如果所依据的个股财务特征不同，那么波动率的均值回复表现是否又会有所不同？本文选择账面市值比、现金流量方差、</w:t>
      </w:r>
      <w:r w:rsidR="0039179A" w:rsidRPr="0039179A">
        <w:rPr>
          <w:rFonts w:hint="eastAsia"/>
          <w:sz w:val="22"/>
          <w:szCs w:val="24"/>
        </w:rPr>
        <w:lastRenderedPageBreak/>
        <w:t>总资产、总负债等重要指标作为样本数据的分组依据，然后在各个分位数小组中使用过去波动率的变化对未来波动率的回复状态进行回归，最终结果如表一所示。同时为了研究在计算波动率时的时间跨度是否会对运行结果有影响，本文将时间跨度分别选择为</w:t>
      </w:r>
      <w:r w:rsidR="0039179A" w:rsidRPr="0039179A">
        <w:rPr>
          <w:sz w:val="22"/>
          <w:szCs w:val="24"/>
        </w:rPr>
        <w:t>10天</w:t>
      </w:r>
      <w:r w:rsidR="0039179A" w:rsidRPr="0039179A">
        <w:rPr>
          <w:rFonts w:hint="eastAsia"/>
          <w:sz w:val="22"/>
          <w:szCs w:val="24"/>
        </w:rPr>
        <w:t>、</w:t>
      </w:r>
      <w:r w:rsidR="0039179A" w:rsidRPr="0039179A">
        <w:rPr>
          <w:sz w:val="22"/>
          <w:szCs w:val="24"/>
        </w:rPr>
        <w:t>30天</w:t>
      </w:r>
      <w:r w:rsidR="0039179A" w:rsidRPr="0039179A">
        <w:rPr>
          <w:rFonts w:hint="eastAsia"/>
          <w:sz w:val="22"/>
          <w:szCs w:val="24"/>
        </w:rPr>
        <w:t>和</w:t>
      </w:r>
      <w:r w:rsidR="0039179A" w:rsidRPr="0039179A">
        <w:rPr>
          <w:sz w:val="22"/>
          <w:szCs w:val="24"/>
        </w:rPr>
        <w:t>90天</w:t>
      </w:r>
      <w:r w:rsidR="0039179A" w:rsidRPr="0039179A">
        <w:rPr>
          <w:rFonts w:hint="eastAsia"/>
          <w:sz w:val="22"/>
          <w:szCs w:val="24"/>
        </w:rPr>
        <w:t>。为了检验时间跨度选择的稳健性，本文在研究中选取了从</w:t>
      </w:r>
      <w:r w:rsidR="0039179A" w:rsidRPr="0039179A">
        <w:rPr>
          <w:sz w:val="22"/>
          <w:szCs w:val="24"/>
        </w:rPr>
        <w:t>5到100天的</w:t>
      </w:r>
      <w:r w:rsidR="0039179A" w:rsidRPr="0039179A">
        <w:rPr>
          <w:rFonts w:hint="eastAsia"/>
          <w:sz w:val="22"/>
          <w:szCs w:val="24"/>
        </w:rPr>
        <w:t>所有时间跨度进行回归拟合，并确认研究结果稳健。考虑到论文的篇幅限制，表</w:t>
      </w:r>
      <w:r w:rsidR="0039179A" w:rsidRPr="0039179A">
        <w:rPr>
          <w:sz w:val="22"/>
          <w:szCs w:val="24"/>
        </w:rPr>
        <w:t>1</w:t>
      </w:r>
      <w:r w:rsidR="0039179A" w:rsidRPr="0039179A">
        <w:rPr>
          <w:rFonts w:hint="eastAsia"/>
          <w:sz w:val="22"/>
          <w:szCs w:val="24"/>
        </w:rPr>
        <w:t>仅仅</w:t>
      </w:r>
      <w:r w:rsidR="0039179A" w:rsidRPr="0039179A">
        <w:rPr>
          <w:sz w:val="22"/>
          <w:szCs w:val="24"/>
        </w:rPr>
        <w:t>展示10天30天和90天</w:t>
      </w:r>
      <w:r w:rsidR="0039179A" w:rsidRPr="0039179A">
        <w:rPr>
          <w:rFonts w:hint="eastAsia"/>
          <w:sz w:val="22"/>
          <w:szCs w:val="24"/>
        </w:rPr>
        <w:t>。</w:t>
      </w:r>
    </w:p>
    <w:p w14:paraId="4484E898" w14:textId="2ED68B3D" w:rsidR="0039179A" w:rsidRDefault="0039179A" w:rsidP="0039179A">
      <w:pPr>
        <w:spacing w:line="360" w:lineRule="auto"/>
        <w:ind w:firstLineChars="200" w:firstLine="440"/>
        <w:rPr>
          <w:sz w:val="22"/>
          <w:szCs w:val="24"/>
        </w:rPr>
      </w:pPr>
      <w:r w:rsidRPr="0039179A">
        <w:rPr>
          <w:rFonts w:hint="eastAsia"/>
          <w:sz w:val="22"/>
          <w:szCs w:val="24"/>
        </w:rPr>
        <w:t>整体来看，波动</w:t>
      </w:r>
      <w:proofErr w:type="gramStart"/>
      <w:r w:rsidRPr="0039179A">
        <w:rPr>
          <w:rFonts w:hint="eastAsia"/>
          <w:sz w:val="22"/>
          <w:szCs w:val="24"/>
        </w:rPr>
        <w:t>率具有</w:t>
      </w:r>
      <w:proofErr w:type="gramEnd"/>
      <w:r w:rsidRPr="0039179A">
        <w:rPr>
          <w:rFonts w:hint="eastAsia"/>
          <w:sz w:val="22"/>
          <w:szCs w:val="24"/>
        </w:rPr>
        <w:t>明显的均值回复特征。大部分回归结果的t</w:t>
      </w:r>
      <w:r w:rsidRPr="0039179A">
        <w:rPr>
          <w:sz w:val="22"/>
          <w:szCs w:val="24"/>
        </w:rPr>
        <w:t>值</w:t>
      </w:r>
      <w:r w:rsidRPr="0039179A">
        <w:rPr>
          <w:rFonts w:hint="eastAsia"/>
          <w:sz w:val="22"/>
          <w:szCs w:val="24"/>
        </w:rPr>
        <w:t>都在</w:t>
      </w:r>
      <w:r w:rsidRPr="0039179A">
        <w:rPr>
          <w:sz w:val="22"/>
          <w:szCs w:val="24"/>
        </w:rPr>
        <w:t>2.5</w:t>
      </w:r>
      <w:r w:rsidRPr="0039179A">
        <w:rPr>
          <w:rFonts w:hint="eastAsia"/>
          <w:sz w:val="22"/>
          <w:szCs w:val="24"/>
        </w:rPr>
        <w:t>和</w:t>
      </w:r>
      <w:r w:rsidRPr="0039179A">
        <w:rPr>
          <w:sz w:val="22"/>
          <w:szCs w:val="24"/>
        </w:rPr>
        <w:t>3.5之间</w:t>
      </w:r>
      <w:r w:rsidRPr="0039179A">
        <w:rPr>
          <w:rFonts w:hint="eastAsia"/>
          <w:sz w:val="22"/>
          <w:szCs w:val="24"/>
        </w:rPr>
        <w:t>,这表明回归系数具有极强的显著性。而拟合优度大部分回归结果都在</w:t>
      </w:r>
      <w:r w:rsidRPr="0039179A">
        <w:rPr>
          <w:sz w:val="22"/>
          <w:szCs w:val="24"/>
        </w:rPr>
        <w:t>60%</w:t>
      </w:r>
      <w:r w:rsidRPr="0039179A">
        <w:rPr>
          <w:rFonts w:hint="eastAsia"/>
          <w:sz w:val="22"/>
          <w:szCs w:val="24"/>
        </w:rPr>
        <w:t>到</w:t>
      </w:r>
      <w:r w:rsidRPr="0039179A">
        <w:rPr>
          <w:sz w:val="22"/>
          <w:szCs w:val="24"/>
        </w:rPr>
        <w:t>80%</w:t>
      </w:r>
      <w:r w:rsidRPr="0039179A">
        <w:rPr>
          <w:rFonts w:hint="eastAsia"/>
          <w:sz w:val="22"/>
          <w:szCs w:val="24"/>
        </w:rPr>
        <w:t>，这说明各个回归方程具有较高的回归质量。在时间跨度为</w:t>
      </w:r>
      <w:r w:rsidRPr="0039179A">
        <w:rPr>
          <w:sz w:val="22"/>
          <w:szCs w:val="24"/>
        </w:rPr>
        <w:t>90天的</w:t>
      </w:r>
      <w:r w:rsidRPr="0039179A">
        <w:rPr>
          <w:rFonts w:hint="eastAsia"/>
          <w:sz w:val="22"/>
          <w:szCs w:val="24"/>
        </w:rPr>
        <w:t>右栏中，账面市值比所对应的回归结果拟合优度为</w:t>
      </w:r>
      <w:r w:rsidRPr="0039179A">
        <w:rPr>
          <w:sz w:val="22"/>
          <w:szCs w:val="24"/>
        </w:rPr>
        <w:t>79.7%</w:t>
      </w:r>
      <w:r w:rsidRPr="0039179A">
        <w:rPr>
          <w:rFonts w:hint="eastAsia"/>
          <w:sz w:val="22"/>
          <w:szCs w:val="24"/>
        </w:rPr>
        <w:t>，而现金流量方差所对应的拟合优度甚至达到</w:t>
      </w:r>
      <w:r w:rsidRPr="0039179A">
        <w:rPr>
          <w:sz w:val="22"/>
          <w:szCs w:val="24"/>
        </w:rPr>
        <w:t>99%</w:t>
      </w:r>
      <w:r w:rsidRPr="0039179A">
        <w:rPr>
          <w:rFonts w:hint="eastAsia"/>
          <w:sz w:val="22"/>
          <w:szCs w:val="24"/>
        </w:rPr>
        <w:t>。这都可以充分说明，波动率的均值回复在金融市场上是显著存在的。回归结果的系数均为正值，这说明刚过去的波动</w:t>
      </w:r>
      <w:proofErr w:type="gramStart"/>
      <w:r w:rsidRPr="0039179A">
        <w:rPr>
          <w:rFonts w:hint="eastAsia"/>
          <w:sz w:val="22"/>
          <w:szCs w:val="24"/>
        </w:rPr>
        <w:t>率发生</w:t>
      </w:r>
      <w:proofErr w:type="gramEnd"/>
      <w:r w:rsidRPr="0039179A">
        <w:rPr>
          <w:rFonts w:hint="eastAsia"/>
          <w:sz w:val="22"/>
          <w:szCs w:val="24"/>
        </w:rPr>
        <w:t>较大的变化时，未来的波动率必然会出现相反的变化，这也就是所谓的波动率均值回复特征。大部分回归系数均为2到3，这说明每当过去的波动率变化一单位，未来的波动率平均反方向变化2到3个单位。</w:t>
      </w:r>
    </w:p>
    <w:p w14:paraId="77A85F66" w14:textId="47E56525" w:rsidR="0039179A" w:rsidRDefault="0039179A" w:rsidP="0039179A">
      <w:pPr>
        <w:spacing w:line="360" w:lineRule="auto"/>
        <w:rPr>
          <w:sz w:val="22"/>
          <w:szCs w:val="24"/>
        </w:rPr>
      </w:pPr>
    </w:p>
    <w:p w14:paraId="4666275D" w14:textId="5800FC57" w:rsidR="0039179A" w:rsidRDefault="0039179A" w:rsidP="0039179A">
      <w:pPr>
        <w:spacing w:line="360" w:lineRule="auto"/>
        <w:rPr>
          <w:sz w:val="22"/>
          <w:szCs w:val="24"/>
        </w:rPr>
      </w:pPr>
    </w:p>
    <w:p w14:paraId="38DD827A" w14:textId="24E3593D" w:rsidR="0039179A" w:rsidRDefault="0039179A" w:rsidP="0039179A">
      <w:pPr>
        <w:spacing w:line="360" w:lineRule="auto"/>
        <w:rPr>
          <w:sz w:val="22"/>
          <w:szCs w:val="24"/>
        </w:rPr>
      </w:pPr>
    </w:p>
    <w:p w14:paraId="40E3479C" w14:textId="6A3F0C54" w:rsidR="0039179A" w:rsidRDefault="0039179A" w:rsidP="0039179A">
      <w:pPr>
        <w:spacing w:line="360" w:lineRule="auto"/>
        <w:rPr>
          <w:sz w:val="22"/>
          <w:szCs w:val="24"/>
        </w:rPr>
      </w:pPr>
    </w:p>
    <w:p w14:paraId="0FC8D87F" w14:textId="27263BC8" w:rsidR="0039179A" w:rsidRDefault="0039179A" w:rsidP="0039179A">
      <w:pPr>
        <w:spacing w:line="360" w:lineRule="auto"/>
        <w:rPr>
          <w:sz w:val="22"/>
          <w:szCs w:val="24"/>
        </w:rPr>
      </w:pPr>
    </w:p>
    <w:p w14:paraId="00D0319D" w14:textId="4E0C123A" w:rsidR="0039179A" w:rsidRDefault="0039179A" w:rsidP="0039179A">
      <w:pPr>
        <w:spacing w:line="360" w:lineRule="auto"/>
        <w:rPr>
          <w:sz w:val="22"/>
          <w:szCs w:val="24"/>
        </w:rPr>
      </w:pPr>
    </w:p>
    <w:p w14:paraId="40240BC5" w14:textId="41E45B8F" w:rsidR="0039179A" w:rsidRDefault="0039179A" w:rsidP="0039179A">
      <w:pPr>
        <w:spacing w:line="360" w:lineRule="auto"/>
        <w:rPr>
          <w:sz w:val="22"/>
          <w:szCs w:val="24"/>
        </w:rPr>
      </w:pPr>
    </w:p>
    <w:p w14:paraId="7099525D" w14:textId="77777777" w:rsidR="0039179A" w:rsidRPr="0039179A" w:rsidRDefault="0039179A" w:rsidP="0039179A">
      <w:pPr>
        <w:spacing w:line="360" w:lineRule="auto"/>
        <w:rPr>
          <w:sz w:val="22"/>
          <w:szCs w:val="24"/>
        </w:rPr>
      </w:pPr>
    </w:p>
    <w:tbl>
      <w:tblPr>
        <w:tblW w:w="10803" w:type="dxa"/>
        <w:jc w:val="center"/>
        <w:tblLook w:val="04A0" w:firstRow="1" w:lastRow="0" w:firstColumn="1" w:lastColumn="0" w:noHBand="0" w:noVBand="1"/>
      </w:tblPr>
      <w:tblGrid>
        <w:gridCol w:w="1695"/>
        <w:gridCol w:w="1012"/>
        <w:gridCol w:w="1012"/>
        <w:gridCol w:w="1012"/>
        <w:gridCol w:w="1012"/>
        <w:gridCol w:w="1012"/>
        <w:gridCol w:w="1012"/>
        <w:gridCol w:w="1012"/>
        <w:gridCol w:w="1012"/>
        <w:gridCol w:w="1012"/>
      </w:tblGrid>
      <w:tr w:rsidR="0039179A" w:rsidRPr="00EB68DA" w14:paraId="65FEE77E" w14:textId="77777777" w:rsidTr="00C4275C">
        <w:trPr>
          <w:trHeight w:val="285"/>
          <w:jc w:val="center"/>
        </w:trPr>
        <w:tc>
          <w:tcPr>
            <w:tcW w:w="10803" w:type="dxa"/>
            <w:gridSpan w:val="10"/>
            <w:tcBorders>
              <w:top w:val="nil"/>
              <w:left w:val="nil"/>
              <w:bottom w:val="single" w:sz="4" w:space="0" w:color="auto"/>
              <w:right w:val="nil"/>
            </w:tcBorders>
            <w:shd w:val="clear" w:color="auto" w:fill="auto"/>
            <w:noWrap/>
            <w:vAlign w:val="bottom"/>
            <w:hideMark/>
          </w:tcPr>
          <w:p w14:paraId="37D448F0" w14:textId="77777777" w:rsidR="0039179A" w:rsidRPr="00EB68DA" w:rsidRDefault="0039179A" w:rsidP="00C4275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Ta</w:t>
            </w:r>
            <w:r>
              <w:rPr>
                <w:rFonts w:ascii="等线" w:eastAsia="等线" w:hAnsi="等线" w:cs="宋体"/>
                <w:color w:val="000000"/>
                <w:kern w:val="0"/>
                <w:sz w:val="22"/>
              </w:rPr>
              <w:t>ble 1 Regression Results of Mean Reversion</w:t>
            </w:r>
          </w:p>
        </w:tc>
      </w:tr>
      <w:tr w:rsidR="0039179A" w:rsidRPr="00EB68DA" w14:paraId="53D8E645" w14:textId="77777777" w:rsidTr="00C4275C">
        <w:trPr>
          <w:trHeight w:val="285"/>
          <w:jc w:val="center"/>
        </w:trPr>
        <w:tc>
          <w:tcPr>
            <w:tcW w:w="1695" w:type="dxa"/>
            <w:tcBorders>
              <w:top w:val="nil"/>
              <w:left w:val="nil"/>
              <w:bottom w:val="nil"/>
              <w:right w:val="nil"/>
            </w:tcBorders>
            <w:shd w:val="clear" w:color="auto" w:fill="auto"/>
            <w:noWrap/>
            <w:hideMark/>
          </w:tcPr>
          <w:p w14:paraId="7F03B179" w14:textId="2046011D" w:rsidR="0039179A" w:rsidRPr="00EB68DA" w:rsidRDefault="00267511" w:rsidP="00C4275C">
            <w:pPr>
              <w:widowControl/>
              <w:jc w:val="center"/>
              <w:rPr>
                <w:rFonts w:ascii="等线" w:eastAsia="等线" w:hAnsi="等线" w:cs="宋体"/>
                <w:b/>
                <w:bCs/>
                <w:color w:val="000000"/>
                <w:kern w:val="0"/>
                <w:sz w:val="22"/>
              </w:rPr>
            </w:pPr>
            <w:r w:rsidRPr="00EB68DA">
              <w:rPr>
                <w:rFonts w:ascii="等线" w:eastAsia="等线" w:hAnsi="等线" w:cs="宋体"/>
                <w:b/>
                <w:bCs/>
                <w:color w:val="000000"/>
                <w:kern w:val="0"/>
                <w:sz w:val="22"/>
              </w:rPr>
              <w:t>W</w:t>
            </w:r>
            <w:r w:rsidR="0039179A" w:rsidRPr="00EB68DA">
              <w:rPr>
                <w:rFonts w:ascii="等线" w:eastAsia="等线" w:hAnsi="等线" w:cs="宋体" w:hint="eastAsia"/>
                <w:b/>
                <w:bCs/>
                <w:color w:val="000000"/>
                <w:kern w:val="0"/>
                <w:sz w:val="22"/>
              </w:rPr>
              <w:t>indows</w:t>
            </w:r>
          </w:p>
        </w:tc>
        <w:tc>
          <w:tcPr>
            <w:tcW w:w="3036" w:type="dxa"/>
            <w:gridSpan w:val="3"/>
            <w:tcBorders>
              <w:top w:val="single" w:sz="4" w:space="0" w:color="auto"/>
              <w:left w:val="nil"/>
              <w:bottom w:val="nil"/>
              <w:right w:val="nil"/>
            </w:tcBorders>
            <w:shd w:val="clear" w:color="auto" w:fill="auto"/>
            <w:noWrap/>
            <w:hideMark/>
          </w:tcPr>
          <w:p w14:paraId="4BBC73F4"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10</w:t>
            </w:r>
          </w:p>
        </w:tc>
        <w:tc>
          <w:tcPr>
            <w:tcW w:w="3036" w:type="dxa"/>
            <w:gridSpan w:val="3"/>
            <w:tcBorders>
              <w:top w:val="single" w:sz="4" w:space="0" w:color="auto"/>
              <w:left w:val="nil"/>
              <w:bottom w:val="nil"/>
              <w:right w:val="nil"/>
            </w:tcBorders>
            <w:shd w:val="clear" w:color="auto" w:fill="auto"/>
            <w:noWrap/>
            <w:hideMark/>
          </w:tcPr>
          <w:p w14:paraId="17B9415E"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30</w:t>
            </w:r>
          </w:p>
        </w:tc>
        <w:tc>
          <w:tcPr>
            <w:tcW w:w="3036" w:type="dxa"/>
            <w:gridSpan w:val="3"/>
            <w:tcBorders>
              <w:top w:val="single" w:sz="4" w:space="0" w:color="auto"/>
              <w:left w:val="nil"/>
              <w:bottom w:val="nil"/>
              <w:right w:val="nil"/>
            </w:tcBorders>
            <w:shd w:val="clear" w:color="auto" w:fill="auto"/>
            <w:noWrap/>
            <w:hideMark/>
          </w:tcPr>
          <w:p w14:paraId="390D71F0"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90</w:t>
            </w:r>
          </w:p>
        </w:tc>
      </w:tr>
      <w:tr w:rsidR="0039179A" w:rsidRPr="00EB68DA" w14:paraId="509ECA2F" w14:textId="77777777" w:rsidTr="00C4275C">
        <w:trPr>
          <w:trHeight w:val="285"/>
          <w:jc w:val="center"/>
        </w:trPr>
        <w:tc>
          <w:tcPr>
            <w:tcW w:w="1695" w:type="dxa"/>
            <w:tcBorders>
              <w:top w:val="nil"/>
              <w:left w:val="nil"/>
              <w:bottom w:val="single" w:sz="4" w:space="0" w:color="auto"/>
              <w:right w:val="nil"/>
            </w:tcBorders>
            <w:shd w:val="clear" w:color="auto" w:fill="auto"/>
            <w:noWrap/>
            <w:hideMark/>
          </w:tcPr>
          <w:p w14:paraId="4306B5FD"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 xml:space="preserve">　</w:t>
            </w:r>
          </w:p>
        </w:tc>
        <w:tc>
          <w:tcPr>
            <w:tcW w:w="1012" w:type="dxa"/>
            <w:tcBorders>
              <w:top w:val="nil"/>
              <w:left w:val="nil"/>
              <w:bottom w:val="single" w:sz="4" w:space="0" w:color="auto"/>
              <w:right w:val="nil"/>
            </w:tcBorders>
            <w:shd w:val="clear" w:color="auto" w:fill="auto"/>
            <w:noWrap/>
            <w:hideMark/>
          </w:tcPr>
          <w:p w14:paraId="73808B57" w14:textId="77777777" w:rsidR="0039179A" w:rsidRPr="00EB68DA" w:rsidRDefault="0039179A" w:rsidP="00C4275C">
            <w:pPr>
              <w:widowControl/>
              <w:jc w:val="center"/>
              <w:rPr>
                <w:rFonts w:ascii="等线" w:eastAsia="等线" w:hAnsi="等线" w:cs="宋体"/>
                <w:b/>
                <w:bCs/>
                <w:color w:val="000000"/>
                <w:kern w:val="0"/>
                <w:sz w:val="22"/>
              </w:rPr>
            </w:pPr>
            <w:proofErr w:type="spellStart"/>
            <w:r w:rsidRPr="00EB68DA">
              <w:rPr>
                <w:rFonts w:ascii="等线" w:eastAsia="等线" w:hAnsi="等线" w:cs="宋体" w:hint="eastAsia"/>
                <w:b/>
                <w:bCs/>
                <w:color w:val="000000"/>
                <w:kern w:val="0"/>
                <w:sz w:val="22"/>
              </w:rPr>
              <w:t>coef</w:t>
            </w:r>
            <w:proofErr w:type="spellEnd"/>
          </w:p>
        </w:tc>
        <w:tc>
          <w:tcPr>
            <w:tcW w:w="1012" w:type="dxa"/>
            <w:tcBorders>
              <w:top w:val="nil"/>
              <w:left w:val="nil"/>
              <w:bottom w:val="single" w:sz="4" w:space="0" w:color="auto"/>
              <w:right w:val="nil"/>
            </w:tcBorders>
            <w:shd w:val="clear" w:color="auto" w:fill="auto"/>
            <w:noWrap/>
            <w:hideMark/>
          </w:tcPr>
          <w:p w14:paraId="256E800B"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t</w:t>
            </w:r>
          </w:p>
        </w:tc>
        <w:tc>
          <w:tcPr>
            <w:tcW w:w="1012" w:type="dxa"/>
            <w:tcBorders>
              <w:top w:val="nil"/>
              <w:left w:val="nil"/>
              <w:bottom w:val="single" w:sz="4" w:space="0" w:color="auto"/>
              <w:right w:val="nil"/>
            </w:tcBorders>
            <w:shd w:val="clear" w:color="auto" w:fill="auto"/>
            <w:noWrap/>
            <w:hideMark/>
          </w:tcPr>
          <w:p w14:paraId="1B32EE28"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R</w:t>
            </w:r>
          </w:p>
        </w:tc>
        <w:tc>
          <w:tcPr>
            <w:tcW w:w="1012" w:type="dxa"/>
            <w:tcBorders>
              <w:top w:val="nil"/>
              <w:left w:val="nil"/>
              <w:bottom w:val="single" w:sz="4" w:space="0" w:color="auto"/>
              <w:right w:val="nil"/>
            </w:tcBorders>
            <w:shd w:val="clear" w:color="auto" w:fill="auto"/>
            <w:noWrap/>
            <w:hideMark/>
          </w:tcPr>
          <w:p w14:paraId="0BE724F0" w14:textId="77777777" w:rsidR="0039179A" w:rsidRPr="00EB68DA" w:rsidRDefault="0039179A" w:rsidP="00C4275C">
            <w:pPr>
              <w:widowControl/>
              <w:jc w:val="center"/>
              <w:rPr>
                <w:rFonts w:ascii="等线" w:eastAsia="等线" w:hAnsi="等线" w:cs="宋体"/>
                <w:b/>
                <w:bCs/>
                <w:color w:val="000000"/>
                <w:kern w:val="0"/>
                <w:sz w:val="22"/>
              </w:rPr>
            </w:pPr>
            <w:proofErr w:type="spellStart"/>
            <w:r w:rsidRPr="00EB68DA">
              <w:rPr>
                <w:rFonts w:ascii="等线" w:eastAsia="等线" w:hAnsi="等线" w:cs="宋体" w:hint="eastAsia"/>
                <w:b/>
                <w:bCs/>
                <w:color w:val="000000"/>
                <w:kern w:val="0"/>
                <w:sz w:val="22"/>
              </w:rPr>
              <w:t>coef</w:t>
            </w:r>
            <w:proofErr w:type="spellEnd"/>
          </w:p>
        </w:tc>
        <w:tc>
          <w:tcPr>
            <w:tcW w:w="1012" w:type="dxa"/>
            <w:tcBorders>
              <w:top w:val="nil"/>
              <w:left w:val="nil"/>
              <w:bottom w:val="single" w:sz="4" w:space="0" w:color="auto"/>
              <w:right w:val="nil"/>
            </w:tcBorders>
            <w:shd w:val="clear" w:color="auto" w:fill="auto"/>
            <w:noWrap/>
            <w:hideMark/>
          </w:tcPr>
          <w:p w14:paraId="3D80CBB4"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t</w:t>
            </w:r>
          </w:p>
        </w:tc>
        <w:tc>
          <w:tcPr>
            <w:tcW w:w="1012" w:type="dxa"/>
            <w:tcBorders>
              <w:top w:val="nil"/>
              <w:left w:val="nil"/>
              <w:bottom w:val="single" w:sz="4" w:space="0" w:color="auto"/>
              <w:right w:val="nil"/>
            </w:tcBorders>
            <w:shd w:val="clear" w:color="auto" w:fill="auto"/>
            <w:noWrap/>
            <w:hideMark/>
          </w:tcPr>
          <w:p w14:paraId="11137AEE"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R</w:t>
            </w:r>
          </w:p>
        </w:tc>
        <w:tc>
          <w:tcPr>
            <w:tcW w:w="1012" w:type="dxa"/>
            <w:tcBorders>
              <w:top w:val="nil"/>
              <w:left w:val="nil"/>
              <w:bottom w:val="single" w:sz="4" w:space="0" w:color="auto"/>
              <w:right w:val="nil"/>
            </w:tcBorders>
            <w:shd w:val="clear" w:color="auto" w:fill="auto"/>
            <w:noWrap/>
            <w:hideMark/>
          </w:tcPr>
          <w:p w14:paraId="335FBB54" w14:textId="77777777" w:rsidR="0039179A" w:rsidRPr="00EB68DA" w:rsidRDefault="0039179A" w:rsidP="00C4275C">
            <w:pPr>
              <w:widowControl/>
              <w:jc w:val="center"/>
              <w:rPr>
                <w:rFonts w:ascii="等线" w:eastAsia="等线" w:hAnsi="等线" w:cs="宋体"/>
                <w:b/>
                <w:bCs/>
                <w:color w:val="000000"/>
                <w:kern w:val="0"/>
                <w:sz w:val="22"/>
              </w:rPr>
            </w:pPr>
            <w:proofErr w:type="spellStart"/>
            <w:r w:rsidRPr="00EB68DA">
              <w:rPr>
                <w:rFonts w:ascii="等线" w:eastAsia="等线" w:hAnsi="等线" w:cs="宋体" w:hint="eastAsia"/>
                <w:b/>
                <w:bCs/>
                <w:color w:val="000000"/>
                <w:kern w:val="0"/>
                <w:sz w:val="22"/>
              </w:rPr>
              <w:t>coef</w:t>
            </w:r>
            <w:proofErr w:type="spellEnd"/>
          </w:p>
        </w:tc>
        <w:tc>
          <w:tcPr>
            <w:tcW w:w="1012" w:type="dxa"/>
            <w:tcBorders>
              <w:top w:val="nil"/>
              <w:left w:val="nil"/>
              <w:bottom w:val="single" w:sz="4" w:space="0" w:color="auto"/>
              <w:right w:val="nil"/>
            </w:tcBorders>
            <w:shd w:val="clear" w:color="auto" w:fill="auto"/>
            <w:noWrap/>
            <w:hideMark/>
          </w:tcPr>
          <w:p w14:paraId="7AA24833"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t</w:t>
            </w:r>
          </w:p>
        </w:tc>
        <w:tc>
          <w:tcPr>
            <w:tcW w:w="1012" w:type="dxa"/>
            <w:tcBorders>
              <w:top w:val="nil"/>
              <w:left w:val="nil"/>
              <w:bottom w:val="single" w:sz="4" w:space="0" w:color="auto"/>
              <w:right w:val="nil"/>
            </w:tcBorders>
            <w:shd w:val="clear" w:color="auto" w:fill="auto"/>
            <w:noWrap/>
            <w:hideMark/>
          </w:tcPr>
          <w:p w14:paraId="3EB8BFB1"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R</w:t>
            </w:r>
          </w:p>
        </w:tc>
      </w:tr>
      <w:tr w:rsidR="0039179A" w:rsidRPr="00EB68DA" w14:paraId="3B76B52D" w14:textId="77777777" w:rsidTr="00C4275C">
        <w:trPr>
          <w:trHeight w:val="285"/>
          <w:jc w:val="center"/>
        </w:trPr>
        <w:tc>
          <w:tcPr>
            <w:tcW w:w="1695" w:type="dxa"/>
            <w:tcBorders>
              <w:top w:val="nil"/>
              <w:left w:val="nil"/>
              <w:bottom w:val="nil"/>
              <w:right w:val="nil"/>
            </w:tcBorders>
            <w:shd w:val="clear" w:color="auto" w:fill="auto"/>
            <w:noWrap/>
            <w:hideMark/>
          </w:tcPr>
          <w:p w14:paraId="76BF4197" w14:textId="3DD52CF6" w:rsidR="0039179A" w:rsidRPr="00EB68DA" w:rsidRDefault="00267511" w:rsidP="00C4275C">
            <w:pPr>
              <w:widowControl/>
              <w:jc w:val="center"/>
              <w:rPr>
                <w:rFonts w:ascii="等线" w:eastAsia="等线" w:hAnsi="等线" w:cs="宋体"/>
                <w:b/>
                <w:bCs/>
                <w:color w:val="000000"/>
                <w:kern w:val="0"/>
                <w:sz w:val="22"/>
              </w:rPr>
            </w:pPr>
            <w:r w:rsidRPr="00EB68DA">
              <w:rPr>
                <w:rFonts w:ascii="等线" w:eastAsia="等线" w:hAnsi="等线" w:cs="宋体"/>
                <w:b/>
                <w:bCs/>
                <w:color w:val="000000"/>
                <w:kern w:val="0"/>
                <w:sz w:val="22"/>
              </w:rPr>
              <w:t>F</w:t>
            </w:r>
            <w:r w:rsidR="0039179A" w:rsidRPr="00EB68DA">
              <w:rPr>
                <w:rFonts w:ascii="等线" w:eastAsia="等线" w:hAnsi="等线" w:cs="宋体" w:hint="eastAsia"/>
                <w:b/>
                <w:bCs/>
                <w:color w:val="000000"/>
                <w:kern w:val="0"/>
                <w:sz w:val="22"/>
              </w:rPr>
              <w:t>irm</w:t>
            </w:r>
          </w:p>
        </w:tc>
        <w:tc>
          <w:tcPr>
            <w:tcW w:w="1012" w:type="dxa"/>
            <w:tcBorders>
              <w:top w:val="nil"/>
              <w:left w:val="nil"/>
              <w:bottom w:val="nil"/>
              <w:right w:val="nil"/>
            </w:tcBorders>
            <w:shd w:val="clear" w:color="auto" w:fill="auto"/>
            <w:noWrap/>
            <w:vAlign w:val="bottom"/>
            <w:hideMark/>
          </w:tcPr>
          <w:p w14:paraId="224439DD" w14:textId="77777777" w:rsidR="0039179A" w:rsidRPr="00EB68DA" w:rsidRDefault="0039179A" w:rsidP="00C4275C">
            <w:pPr>
              <w:widowControl/>
              <w:jc w:val="center"/>
              <w:rPr>
                <w:rFonts w:ascii="等线" w:eastAsia="等线" w:hAnsi="等线" w:cs="宋体"/>
                <w:b/>
                <w:bCs/>
                <w:color w:val="000000"/>
                <w:kern w:val="0"/>
                <w:sz w:val="22"/>
              </w:rPr>
            </w:pPr>
          </w:p>
        </w:tc>
        <w:tc>
          <w:tcPr>
            <w:tcW w:w="1012" w:type="dxa"/>
            <w:tcBorders>
              <w:top w:val="nil"/>
              <w:left w:val="nil"/>
              <w:bottom w:val="nil"/>
              <w:right w:val="nil"/>
            </w:tcBorders>
            <w:shd w:val="clear" w:color="auto" w:fill="auto"/>
            <w:noWrap/>
            <w:vAlign w:val="bottom"/>
            <w:hideMark/>
          </w:tcPr>
          <w:p w14:paraId="2E6C9E71"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18070FA6"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61F0086D"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5080357B"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6190A17F"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049081F9"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36D6D219" w14:textId="77777777" w:rsidR="0039179A" w:rsidRPr="00EB68DA" w:rsidRDefault="0039179A" w:rsidP="00C4275C">
            <w:pPr>
              <w:widowControl/>
              <w:jc w:val="left"/>
              <w:rPr>
                <w:rFonts w:ascii="Times New Roman" w:eastAsia="Times New Roman" w:hAnsi="Times New Roman" w:cs="Times New Roman"/>
                <w:kern w:val="0"/>
                <w:sz w:val="20"/>
                <w:szCs w:val="20"/>
              </w:rPr>
            </w:pPr>
          </w:p>
        </w:tc>
        <w:tc>
          <w:tcPr>
            <w:tcW w:w="1012" w:type="dxa"/>
            <w:tcBorders>
              <w:top w:val="nil"/>
              <w:left w:val="nil"/>
              <w:bottom w:val="nil"/>
              <w:right w:val="nil"/>
            </w:tcBorders>
            <w:shd w:val="clear" w:color="auto" w:fill="auto"/>
            <w:noWrap/>
            <w:vAlign w:val="bottom"/>
            <w:hideMark/>
          </w:tcPr>
          <w:p w14:paraId="6A46DC1A" w14:textId="77777777" w:rsidR="0039179A" w:rsidRPr="00EB68DA" w:rsidRDefault="0039179A" w:rsidP="00C4275C">
            <w:pPr>
              <w:widowControl/>
              <w:jc w:val="left"/>
              <w:rPr>
                <w:rFonts w:ascii="Times New Roman" w:eastAsia="Times New Roman" w:hAnsi="Times New Roman" w:cs="Times New Roman"/>
                <w:kern w:val="0"/>
                <w:sz w:val="20"/>
                <w:szCs w:val="20"/>
              </w:rPr>
            </w:pPr>
          </w:p>
        </w:tc>
      </w:tr>
      <w:tr w:rsidR="0039179A" w:rsidRPr="00EB68DA" w14:paraId="5F469A0E" w14:textId="77777777" w:rsidTr="00C4275C">
        <w:trPr>
          <w:trHeight w:val="285"/>
          <w:jc w:val="center"/>
        </w:trPr>
        <w:tc>
          <w:tcPr>
            <w:tcW w:w="1695" w:type="dxa"/>
            <w:tcBorders>
              <w:top w:val="nil"/>
              <w:left w:val="nil"/>
              <w:bottom w:val="nil"/>
              <w:right w:val="nil"/>
            </w:tcBorders>
            <w:shd w:val="clear" w:color="auto" w:fill="auto"/>
            <w:noWrap/>
            <w:hideMark/>
          </w:tcPr>
          <w:p w14:paraId="5411501F"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BM</w:t>
            </w:r>
          </w:p>
        </w:tc>
        <w:tc>
          <w:tcPr>
            <w:tcW w:w="1012" w:type="dxa"/>
            <w:tcBorders>
              <w:top w:val="nil"/>
              <w:left w:val="nil"/>
              <w:bottom w:val="nil"/>
              <w:right w:val="nil"/>
            </w:tcBorders>
            <w:shd w:val="clear" w:color="auto" w:fill="auto"/>
            <w:noWrap/>
            <w:vAlign w:val="bottom"/>
            <w:hideMark/>
          </w:tcPr>
          <w:p w14:paraId="373B87C2"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2.948</w:t>
            </w:r>
          </w:p>
        </w:tc>
        <w:tc>
          <w:tcPr>
            <w:tcW w:w="1012" w:type="dxa"/>
            <w:tcBorders>
              <w:top w:val="nil"/>
              <w:left w:val="nil"/>
              <w:bottom w:val="nil"/>
              <w:right w:val="nil"/>
            </w:tcBorders>
            <w:shd w:val="clear" w:color="auto" w:fill="auto"/>
            <w:noWrap/>
            <w:vAlign w:val="bottom"/>
            <w:hideMark/>
          </w:tcPr>
          <w:p w14:paraId="01D3F6C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1.948</w:t>
            </w:r>
          </w:p>
        </w:tc>
        <w:tc>
          <w:tcPr>
            <w:tcW w:w="1012" w:type="dxa"/>
            <w:tcBorders>
              <w:top w:val="nil"/>
              <w:left w:val="nil"/>
              <w:bottom w:val="nil"/>
              <w:right w:val="nil"/>
            </w:tcBorders>
            <w:shd w:val="clear" w:color="auto" w:fill="auto"/>
            <w:noWrap/>
            <w:vAlign w:val="bottom"/>
            <w:hideMark/>
          </w:tcPr>
          <w:p w14:paraId="3BAF9101"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0.542</w:t>
            </w:r>
          </w:p>
        </w:tc>
        <w:tc>
          <w:tcPr>
            <w:tcW w:w="1012" w:type="dxa"/>
            <w:tcBorders>
              <w:top w:val="nil"/>
              <w:left w:val="nil"/>
              <w:bottom w:val="nil"/>
              <w:right w:val="nil"/>
            </w:tcBorders>
            <w:shd w:val="clear" w:color="auto" w:fill="auto"/>
            <w:noWrap/>
            <w:vAlign w:val="bottom"/>
            <w:hideMark/>
          </w:tcPr>
          <w:p w14:paraId="595AA33D"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2.734</w:t>
            </w:r>
          </w:p>
        </w:tc>
        <w:tc>
          <w:tcPr>
            <w:tcW w:w="1012" w:type="dxa"/>
            <w:tcBorders>
              <w:top w:val="nil"/>
              <w:left w:val="nil"/>
              <w:bottom w:val="nil"/>
              <w:right w:val="nil"/>
            </w:tcBorders>
            <w:shd w:val="clear" w:color="auto" w:fill="auto"/>
            <w:noWrap/>
            <w:vAlign w:val="bottom"/>
            <w:hideMark/>
          </w:tcPr>
          <w:p w14:paraId="05353DC5"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2.086</w:t>
            </w:r>
          </w:p>
        </w:tc>
        <w:tc>
          <w:tcPr>
            <w:tcW w:w="1012" w:type="dxa"/>
            <w:tcBorders>
              <w:top w:val="nil"/>
              <w:left w:val="nil"/>
              <w:bottom w:val="nil"/>
              <w:right w:val="nil"/>
            </w:tcBorders>
            <w:shd w:val="clear" w:color="auto" w:fill="auto"/>
            <w:noWrap/>
            <w:vAlign w:val="bottom"/>
            <w:hideMark/>
          </w:tcPr>
          <w:p w14:paraId="668F638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0.752</w:t>
            </w:r>
          </w:p>
        </w:tc>
        <w:tc>
          <w:tcPr>
            <w:tcW w:w="1012" w:type="dxa"/>
            <w:tcBorders>
              <w:top w:val="nil"/>
              <w:left w:val="nil"/>
              <w:bottom w:val="nil"/>
              <w:right w:val="nil"/>
            </w:tcBorders>
            <w:shd w:val="clear" w:color="auto" w:fill="auto"/>
            <w:noWrap/>
            <w:vAlign w:val="bottom"/>
            <w:hideMark/>
          </w:tcPr>
          <w:p w14:paraId="25EA8F15"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2.273</w:t>
            </w:r>
          </w:p>
        </w:tc>
        <w:tc>
          <w:tcPr>
            <w:tcW w:w="1012" w:type="dxa"/>
            <w:tcBorders>
              <w:top w:val="nil"/>
              <w:left w:val="nil"/>
              <w:bottom w:val="nil"/>
              <w:right w:val="nil"/>
            </w:tcBorders>
            <w:shd w:val="clear" w:color="auto" w:fill="auto"/>
            <w:noWrap/>
            <w:vAlign w:val="bottom"/>
            <w:hideMark/>
          </w:tcPr>
          <w:p w14:paraId="327FEC53"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3.353</w:t>
            </w:r>
          </w:p>
        </w:tc>
        <w:tc>
          <w:tcPr>
            <w:tcW w:w="1012" w:type="dxa"/>
            <w:tcBorders>
              <w:top w:val="nil"/>
              <w:left w:val="nil"/>
              <w:bottom w:val="nil"/>
              <w:right w:val="nil"/>
            </w:tcBorders>
            <w:shd w:val="clear" w:color="auto" w:fill="auto"/>
            <w:noWrap/>
            <w:vAlign w:val="bottom"/>
            <w:hideMark/>
          </w:tcPr>
          <w:p w14:paraId="709A01D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0.797</w:t>
            </w:r>
          </w:p>
        </w:tc>
      </w:tr>
      <w:tr w:rsidR="0039179A" w:rsidRPr="00EB68DA" w14:paraId="5FCABF3B" w14:textId="77777777" w:rsidTr="00C4275C">
        <w:trPr>
          <w:trHeight w:val="285"/>
          <w:jc w:val="center"/>
        </w:trPr>
        <w:tc>
          <w:tcPr>
            <w:tcW w:w="1695" w:type="dxa"/>
            <w:tcBorders>
              <w:top w:val="nil"/>
              <w:left w:val="nil"/>
              <w:bottom w:val="nil"/>
              <w:right w:val="nil"/>
            </w:tcBorders>
            <w:shd w:val="clear" w:color="auto" w:fill="auto"/>
            <w:noWrap/>
            <w:hideMark/>
          </w:tcPr>
          <w:p w14:paraId="32910765"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CFV</w:t>
            </w:r>
          </w:p>
        </w:tc>
        <w:tc>
          <w:tcPr>
            <w:tcW w:w="1012" w:type="dxa"/>
            <w:tcBorders>
              <w:top w:val="nil"/>
              <w:left w:val="nil"/>
              <w:bottom w:val="nil"/>
              <w:right w:val="nil"/>
            </w:tcBorders>
            <w:shd w:val="clear" w:color="auto" w:fill="auto"/>
            <w:noWrap/>
            <w:vAlign w:val="bottom"/>
            <w:hideMark/>
          </w:tcPr>
          <w:p w14:paraId="00D56E49"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2.941</w:t>
            </w:r>
          </w:p>
        </w:tc>
        <w:tc>
          <w:tcPr>
            <w:tcW w:w="1012" w:type="dxa"/>
            <w:tcBorders>
              <w:top w:val="nil"/>
              <w:left w:val="nil"/>
              <w:bottom w:val="nil"/>
              <w:right w:val="nil"/>
            </w:tcBorders>
            <w:shd w:val="clear" w:color="auto" w:fill="auto"/>
            <w:noWrap/>
            <w:vAlign w:val="bottom"/>
            <w:hideMark/>
          </w:tcPr>
          <w:p w14:paraId="16F489A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3.606</w:t>
            </w:r>
          </w:p>
        </w:tc>
        <w:tc>
          <w:tcPr>
            <w:tcW w:w="1012" w:type="dxa"/>
            <w:tcBorders>
              <w:top w:val="nil"/>
              <w:left w:val="nil"/>
              <w:bottom w:val="nil"/>
              <w:right w:val="nil"/>
            </w:tcBorders>
            <w:shd w:val="clear" w:color="auto" w:fill="auto"/>
            <w:noWrap/>
            <w:vAlign w:val="bottom"/>
            <w:hideMark/>
          </w:tcPr>
          <w:p w14:paraId="3E51F981"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0.783</w:t>
            </w:r>
          </w:p>
        </w:tc>
        <w:tc>
          <w:tcPr>
            <w:tcW w:w="1012" w:type="dxa"/>
            <w:tcBorders>
              <w:top w:val="nil"/>
              <w:left w:val="nil"/>
              <w:bottom w:val="nil"/>
              <w:right w:val="nil"/>
            </w:tcBorders>
            <w:shd w:val="clear" w:color="auto" w:fill="auto"/>
            <w:noWrap/>
            <w:vAlign w:val="bottom"/>
            <w:hideMark/>
          </w:tcPr>
          <w:p w14:paraId="69DD986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2.737</w:t>
            </w:r>
          </w:p>
        </w:tc>
        <w:tc>
          <w:tcPr>
            <w:tcW w:w="1012" w:type="dxa"/>
            <w:tcBorders>
              <w:top w:val="nil"/>
              <w:left w:val="nil"/>
              <w:bottom w:val="nil"/>
              <w:right w:val="nil"/>
            </w:tcBorders>
            <w:shd w:val="clear" w:color="auto" w:fill="auto"/>
            <w:noWrap/>
            <w:vAlign w:val="bottom"/>
            <w:hideMark/>
          </w:tcPr>
          <w:p w14:paraId="752D6590"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3.572</w:t>
            </w:r>
          </w:p>
        </w:tc>
        <w:tc>
          <w:tcPr>
            <w:tcW w:w="1012" w:type="dxa"/>
            <w:tcBorders>
              <w:top w:val="nil"/>
              <w:left w:val="nil"/>
              <w:bottom w:val="nil"/>
              <w:right w:val="nil"/>
            </w:tcBorders>
            <w:shd w:val="clear" w:color="auto" w:fill="auto"/>
            <w:noWrap/>
            <w:vAlign w:val="bottom"/>
            <w:hideMark/>
          </w:tcPr>
          <w:p w14:paraId="699E289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0.467</w:t>
            </w:r>
          </w:p>
        </w:tc>
        <w:tc>
          <w:tcPr>
            <w:tcW w:w="1012" w:type="dxa"/>
            <w:tcBorders>
              <w:top w:val="nil"/>
              <w:left w:val="nil"/>
              <w:bottom w:val="nil"/>
              <w:right w:val="nil"/>
            </w:tcBorders>
            <w:shd w:val="clear" w:color="auto" w:fill="auto"/>
            <w:noWrap/>
            <w:vAlign w:val="bottom"/>
            <w:hideMark/>
          </w:tcPr>
          <w:p w14:paraId="73881C9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2.497</w:t>
            </w:r>
          </w:p>
        </w:tc>
        <w:tc>
          <w:tcPr>
            <w:tcW w:w="1012" w:type="dxa"/>
            <w:tcBorders>
              <w:top w:val="nil"/>
              <w:left w:val="nil"/>
              <w:bottom w:val="nil"/>
              <w:right w:val="nil"/>
            </w:tcBorders>
            <w:shd w:val="clear" w:color="auto" w:fill="auto"/>
            <w:noWrap/>
            <w:vAlign w:val="bottom"/>
            <w:hideMark/>
          </w:tcPr>
          <w:p w14:paraId="47BECB9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3.376</w:t>
            </w:r>
          </w:p>
        </w:tc>
        <w:tc>
          <w:tcPr>
            <w:tcW w:w="1012" w:type="dxa"/>
            <w:tcBorders>
              <w:top w:val="nil"/>
              <w:left w:val="nil"/>
              <w:bottom w:val="nil"/>
              <w:right w:val="nil"/>
            </w:tcBorders>
            <w:shd w:val="clear" w:color="auto" w:fill="auto"/>
            <w:noWrap/>
            <w:vAlign w:val="bottom"/>
            <w:hideMark/>
          </w:tcPr>
          <w:p w14:paraId="7D9532C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0.99</w:t>
            </w:r>
          </w:p>
        </w:tc>
      </w:tr>
      <w:tr w:rsidR="0039179A" w:rsidRPr="00EB68DA" w14:paraId="048A0F70" w14:textId="77777777" w:rsidTr="00C4275C">
        <w:trPr>
          <w:trHeight w:val="285"/>
          <w:jc w:val="center"/>
        </w:trPr>
        <w:tc>
          <w:tcPr>
            <w:tcW w:w="1695" w:type="dxa"/>
            <w:tcBorders>
              <w:top w:val="nil"/>
              <w:left w:val="nil"/>
              <w:bottom w:val="nil"/>
              <w:right w:val="nil"/>
            </w:tcBorders>
            <w:shd w:val="clear" w:color="auto" w:fill="auto"/>
            <w:noWrap/>
            <w:hideMark/>
          </w:tcPr>
          <w:p w14:paraId="001735D8"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GK</w:t>
            </w:r>
          </w:p>
        </w:tc>
        <w:tc>
          <w:tcPr>
            <w:tcW w:w="1012" w:type="dxa"/>
            <w:tcBorders>
              <w:top w:val="nil"/>
              <w:left w:val="nil"/>
              <w:bottom w:val="nil"/>
              <w:right w:val="nil"/>
            </w:tcBorders>
            <w:shd w:val="clear" w:color="auto" w:fill="auto"/>
            <w:noWrap/>
            <w:vAlign w:val="bottom"/>
            <w:hideMark/>
          </w:tcPr>
          <w:p w14:paraId="1579592B"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3.251</w:t>
            </w:r>
          </w:p>
        </w:tc>
        <w:tc>
          <w:tcPr>
            <w:tcW w:w="1012" w:type="dxa"/>
            <w:tcBorders>
              <w:top w:val="nil"/>
              <w:left w:val="nil"/>
              <w:bottom w:val="nil"/>
              <w:right w:val="nil"/>
            </w:tcBorders>
            <w:shd w:val="clear" w:color="auto" w:fill="auto"/>
            <w:noWrap/>
            <w:vAlign w:val="bottom"/>
            <w:hideMark/>
          </w:tcPr>
          <w:p w14:paraId="6B5E74D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2.116</w:t>
            </w:r>
          </w:p>
        </w:tc>
        <w:tc>
          <w:tcPr>
            <w:tcW w:w="1012" w:type="dxa"/>
            <w:tcBorders>
              <w:top w:val="nil"/>
              <w:left w:val="nil"/>
              <w:bottom w:val="nil"/>
              <w:right w:val="nil"/>
            </w:tcBorders>
            <w:shd w:val="clear" w:color="auto" w:fill="auto"/>
            <w:noWrap/>
            <w:vAlign w:val="bottom"/>
            <w:hideMark/>
          </w:tcPr>
          <w:p w14:paraId="21B5B97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0.626</w:t>
            </w:r>
          </w:p>
        </w:tc>
        <w:tc>
          <w:tcPr>
            <w:tcW w:w="1012" w:type="dxa"/>
            <w:tcBorders>
              <w:top w:val="nil"/>
              <w:left w:val="nil"/>
              <w:bottom w:val="nil"/>
              <w:right w:val="nil"/>
            </w:tcBorders>
            <w:shd w:val="clear" w:color="auto" w:fill="auto"/>
            <w:noWrap/>
            <w:vAlign w:val="bottom"/>
            <w:hideMark/>
          </w:tcPr>
          <w:p w14:paraId="5398CBA4"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2.903</w:t>
            </w:r>
          </w:p>
        </w:tc>
        <w:tc>
          <w:tcPr>
            <w:tcW w:w="1012" w:type="dxa"/>
            <w:tcBorders>
              <w:top w:val="nil"/>
              <w:left w:val="nil"/>
              <w:bottom w:val="nil"/>
              <w:right w:val="nil"/>
            </w:tcBorders>
            <w:shd w:val="clear" w:color="auto" w:fill="auto"/>
            <w:noWrap/>
            <w:vAlign w:val="bottom"/>
            <w:hideMark/>
          </w:tcPr>
          <w:p w14:paraId="27C9425F"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3.183</w:t>
            </w:r>
          </w:p>
        </w:tc>
        <w:tc>
          <w:tcPr>
            <w:tcW w:w="1012" w:type="dxa"/>
            <w:tcBorders>
              <w:top w:val="nil"/>
              <w:left w:val="nil"/>
              <w:bottom w:val="nil"/>
              <w:right w:val="nil"/>
            </w:tcBorders>
            <w:shd w:val="clear" w:color="auto" w:fill="auto"/>
            <w:noWrap/>
            <w:vAlign w:val="bottom"/>
            <w:hideMark/>
          </w:tcPr>
          <w:p w14:paraId="6F0410A6"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0.22</w:t>
            </w:r>
          </w:p>
        </w:tc>
        <w:tc>
          <w:tcPr>
            <w:tcW w:w="1012" w:type="dxa"/>
            <w:tcBorders>
              <w:top w:val="nil"/>
              <w:left w:val="nil"/>
              <w:bottom w:val="nil"/>
              <w:right w:val="nil"/>
            </w:tcBorders>
            <w:shd w:val="clear" w:color="auto" w:fill="auto"/>
            <w:noWrap/>
            <w:vAlign w:val="bottom"/>
            <w:hideMark/>
          </w:tcPr>
          <w:p w14:paraId="09FF9DD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2.593</w:t>
            </w:r>
          </w:p>
        </w:tc>
        <w:tc>
          <w:tcPr>
            <w:tcW w:w="1012" w:type="dxa"/>
            <w:tcBorders>
              <w:top w:val="nil"/>
              <w:left w:val="nil"/>
              <w:bottom w:val="nil"/>
              <w:right w:val="nil"/>
            </w:tcBorders>
            <w:shd w:val="clear" w:color="auto" w:fill="auto"/>
            <w:noWrap/>
            <w:vAlign w:val="bottom"/>
            <w:hideMark/>
          </w:tcPr>
          <w:p w14:paraId="2E577D40"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3.006</w:t>
            </w:r>
          </w:p>
        </w:tc>
        <w:tc>
          <w:tcPr>
            <w:tcW w:w="1012" w:type="dxa"/>
            <w:tcBorders>
              <w:top w:val="nil"/>
              <w:left w:val="nil"/>
              <w:bottom w:val="nil"/>
              <w:right w:val="nil"/>
            </w:tcBorders>
            <w:shd w:val="clear" w:color="auto" w:fill="auto"/>
            <w:noWrap/>
            <w:vAlign w:val="bottom"/>
            <w:hideMark/>
          </w:tcPr>
          <w:p w14:paraId="6D6CDDE8"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0.672</w:t>
            </w:r>
          </w:p>
        </w:tc>
      </w:tr>
      <w:tr w:rsidR="0039179A" w:rsidRPr="00EB68DA" w14:paraId="3B409C0D" w14:textId="77777777" w:rsidTr="00C4275C">
        <w:trPr>
          <w:trHeight w:val="285"/>
          <w:jc w:val="center"/>
        </w:trPr>
        <w:tc>
          <w:tcPr>
            <w:tcW w:w="1695" w:type="dxa"/>
            <w:tcBorders>
              <w:top w:val="nil"/>
              <w:left w:val="nil"/>
              <w:bottom w:val="nil"/>
              <w:right w:val="nil"/>
            </w:tcBorders>
            <w:shd w:val="clear" w:color="auto" w:fill="auto"/>
            <w:noWrap/>
            <w:hideMark/>
          </w:tcPr>
          <w:p w14:paraId="3F7EDC6E"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ROA</w:t>
            </w:r>
          </w:p>
        </w:tc>
        <w:tc>
          <w:tcPr>
            <w:tcW w:w="1012" w:type="dxa"/>
            <w:tcBorders>
              <w:top w:val="nil"/>
              <w:left w:val="nil"/>
              <w:bottom w:val="nil"/>
              <w:right w:val="nil"/>
            </w:tcBorders>
            <w:shd w:val="clear" w:color="auto" w:fill="auto"/>
            <w:noWrap/>
            <w:vAlign w:val="bottom"/>
            <w:hideMark/>
          </w:tcPr>
          <w:p w14:paraId="00DB5044"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3.49</w:t>
            </w:r>
          </w:p>
        </w:tc>
        <w:tc>
          <w:tcPr>
            <w:tcW w:w="1012" w:type="dxa"/>
            <w:tcBorders>
              <w:top w:val="nil"/>
              <w:left w:val="nil"/>
              <w:bottom w:val="nil"/>
              <w:right w:val="nil"/>
            </w:tcBorders>
            <w:shd w:val="clear" w:color="auto" w:fill="auto"/>
            <w:noWrap/>
            <w:vAlign w:val="bottom"/>
            <w:hideMark/>
          </w:tcPr>
          <w:p w14:paraId="78A2EE2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2.621</w:t>
            </w:r>
          </w:p>
        </w:tc>
        <w:tc>
          <w:tcPr>
            <w:tcW w:w="1012" w:type="dxa"/>
            <w:tcBorders>
              <w:top w:val="nil"/>
              <w:left w:val="nil"/>
              <w:bottom w:val="nil"/>
              <w:right w:val="nil"/>
            </w:tcBorders>
            <w:shd w:val="clear" w:color="auto" w:fill="auto"/>
            <w:noWrap/>
            <w:vAlign w:val="bottom"/>
            <w:hideMark/>
          </w:tcPr>
          <w:p w14:paraId="1D9864B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0.686</w:t>
            </w:r>
          </w:p>
        </w:tc>
        <w:tc>
          <w:tcPr>
            <w:tcW w:w="1012" w:type="dxa"/>
            <w:tcBorders>
              <w:top w:val="nil"/>
              <w:left w:val="nil"/>
              <w:bottom w:val="nil"/>
              <w:right w:val="nil"/>
            </w:tcBorders>
            <w:shd w:val="clear" w:color="auto" w:fill="auto"/>
            <w:noWrap/>
            <w:vAlign w:val="bottom"/>
            <w:hideMark/>
          </w:tcPr>
          <w:p w14:paraId="7A5D2F46"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3.208</w:t>
            </w:r>
          </w:p>
        </w:tc>
        <w:tc>
          <w:tcPr>
            <w:tcW w:w="1012" w:type="dxa"/>
            <w:tcBorders>
              <w:top w:val="nil"/>
              <w:left w:val="nil"/>
              <w:bottom w:val="nil"/>
              <w:right w:val="nil"/>
            </w:tcBorders>
            <w:shd w:val="clear" w:color="auto" w:fill="auto"/>
            <w:noWrap/>
            <w:vAlign w:val="bottom"/>
            <w:hideMark/>
          </w:tcPr>
          <w:p w14:paraId="63EB8C5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2.561</w:t>
            </w:r>
          </w:p>
        </w:tc>
        <w:tc>
          <w:tcPr>
            <w:tcW w:w="1012" w:type="dxa"/>
            <w:tcBorders>
              <w:top w:val="nil"/>
              <w:left w:val="nil"/>
              <w:bottom w:val="nil"/>
              <w:right w:val="nil"/>
            </w:tcBorders>
            <w:shd w:val="clear" w:color="auto" w:fill="auto"/>
            <w:noWrap/>
            <w:vAlign w:val="bottom"/>
            <w:hideMark/>
          </w:tcPr>
          <w:p w14:paraId="5E74900B"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0.692</w:t>
            </w:r>
          </w:p>
        </w:tc>
        <w:tc>
          <w:tcPr>
            <w:tcW w:w="1012" w:type="dxa"/>
            <w:tcBorders>
              <w:top w:val="nil"/>
              <w:left w:val="nil"/>
              <w:bottom w:val="nil"/>
              <w:right w:val="nil"/>
            </w:tcBorders>
            <w:shd w:val="clear" w:color="auto" w:fill="auto"/>
            <w:noWrap/>
            <w:vAlign w:val="bottom"/>
            <w:hideMark/>
          </w:tcPr>
          <w:p w14:paraId="38C6E20B"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2.847</w:t>
            </w:r>
          </w:p>
        </w:tc>
        <w:tc>
          <w:tcPr>
            <w:tcW w:w="1012" w:type="dxa"/>
            <w:tcBorders>
              <w:top w:val="nil"/>
              <w:left w:val="nil"/>
              <w:bottom w:val="nil"/>
              <w:right w:val="nil"/>
            </w:tcBorders>
            <w:shd w:val="clear" w:color="auto" w:fill="auto"/>
            <w:noWrap/>
            <w:vAlign w:val="bottom"/>
            <w:hideMark/>
          </w:tcPr>
          <w:p w14:paraId="40DA96FD"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3.473</w:t>
            </w:r>
          </w:p>
        </w:tc>
        <w:tc>
          <w:tcPr>
            <w:tcW w:w="1012" w:type="dxa"/>
            <w:tcBorders>
              <w:top w:val="nil"/>
              <w:left w:val="nil"/>
              <w:bottom w:val="nil"/>
              <w:right w:val="nil"/>
            </w:tcBorders>
            <w:shd w:val="clear" w:color="auto" w:fill="auto"/>
            <w:noWrap/>
            <w:vAlign w:val="bottom"/>
            <w:hideMark/>
          </w:tcPr>
          <w:p w14:paraId="1CDF3D55"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0.489</w:t>
            </w:r>
          </w:p>
        </w:tc>
      </w:tr>
      <w:tr w:rsidR="0039179A" w:rsidRPr="00EB68DA" w14:paraId="3254C7B0" w14:textId="77777777" w:rsidTr="00C4275C">
        <w:trPr>
          <w:trHeight w:val="285"/>
          <w:jc w:val="center"/>
        </w:trPr>
        <w:tc>
          <w:tcPr>
            <w:tcW w:w="1695" w:type="dxa"/>
            <w:tcBorders>
              <w:top w:val="nil"/>
              <w:left w:val="nil"/>
              <w:bottom w:val="nil"/>
              <w:right w:val="nil"/>
            </w:tcBorders>
            <w:shd w:val="clear" w:color="auto" w:fill="auto"/>
            <w:noWrap/>
            <w:hideMark/>
          </w:tcPr>
          <w:p w14:paraId="38AF8513"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TEF</w:t>
            </w:r>
          </w:p>
        </w:tc>
        <w:tc>
          <w:tcPr>
            <w:tcW w:w="1012" w:type="dxa"/>
            <w:tcBorders>
              <w:top w:val="nil"/>
              <w:left w:val="nil"/>
              <w:bottom w:val="nil"/>
              <w:right w:val="nil"/>
            </w:tcBorders>
            <w:shd w:val="clear" w:color="auto" w:fill="auto"/>
            <w:noWrap/>
            <w:vAlign w:val="bottom"/>
            <w:hideMark/>
          </w:tcPr>
          <w:p w14:paraId="40910863"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2.989</w:t>
            </w:r>
          </w:p>
        </w:tc>
        <w:tc>
          <w:tcPr>
            <w:tcW w:w="1012" w:type="dxa"/>
            <w:tcBorders>
              <w:top w:val="nil"/>
              <w:left w:val="nil"/>
              <w:bottom w:val="nil"/>
              <w:right w:val="nil"/>
            </w:tcBorders>
            <w:shd w:val="clear" w:color="auto" w:fill="auto"/>
            <w:noWrap/>
            <w:vAlign w:val="bottom"/>
            <w:hideMark/>
          </w:tcPr>
          <w:p w14:paraId="16FB99A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3.587</w:t>
            </w:r>
          </w:p>
        </w:tc>
        <w:tc>
          <w:tcPr>
            <w:tcW w:w="1012" w:type="dxa"/>
            <w:tcBorders>
              <w:top w:val="nil"/>
              <w:left w:val="nil"/>
              <w:bottom w:val="nil"/>
              <w:right w:val="nil"/>
            </w:tcBorders>
            <w:shd w:val="clear" w:color="auto" w:fill="auto"/>
            <w:noWrap/>
            <w:vAlign w:val="bottom"/>
            <w:hideMark/>
          </w:tcPr>
          <w:p w14:paraId="4D436846"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0.901</w:t>
            </w:r>
          </w:p>
        </w:tc>
        <w:tc>
          <w:tcPr>
            <w:tcW w:w="1012" w:type="dxa"/>
            <w:tcBorders>
              <w:top w:val="nil"/>
              <w:left w:val="nil"/>
              <w:bottom w:val="nil"/>
              <w:right w:val="nil"/>
            </w:tcBorders>
            <w:shd w:val="clear" w:color="auto" w:fill="auto"/>
            <w:noWrap/>
            <w:vAlign w:val="bottom"/>
            <w:hideMark/>
          </w:tcPr>
          <w:p w14:paraId="2E042AE2"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2.764</w:t>
            </w:r>
          </w:p>
        </w:tc>
        <w:tc>
          <w:tcPr>
            <w:tcW w:w="1012" w:type="dxa"/>
            <w:tcBorders>
              <w:top w:val="nil"/>
              <w:left w:val="nil"/>
              <w:bottom w:val="nil"/>
              <w:right w:val="nil"/>
            </w:tcBorders>
            <w:shd w:val="clear" w:color="auto" w:fill="auto"/>
            <w:noWrap/>
            <w:vAlign w:val="bottom"/>
            <w:hideMark/>
          </w:tcPr>
          <w:p w14:paraId="70EDF7B1"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2.318</w:t>
            </w:r>
          </w:p>
        </w:tc>
        <w:tc>
          <w:tcPr>
            <w:tcW w:w="1012" w:type="dxa"/>
            <w:tcBorders>
              <w:top w:val="nil"/>
              <w:left w:val="nil"/>
              <w:bottom w:val="nil"/>
              <w:right w:val="nil"/>
            </w:tcBorders>
            <w:shd w:val="clear" w:color="auto" w:fill="auto"/>
            <w:noWrap/>
            <w:vAlign w:val="bottom"/>
            <w:hideMark/>
          </w:tcPr>
          <w:p w14:paraId="74442819"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0.093</w:t>
            </w:r>
          </w:p>
        </w:tc>
        <w:tc>
          <w:tcPr>
            <w:tcW w:w="1012" w:type="dxa"/>
            <w:tcBorders>
              <w:top w:val="nil"/>
              <w:left w:val="nil"/>
              <w:bottom w:val="nil"/>
              <w:right w:val="nil"/>
            </w:tcBorders>
            <w:shd w:val="clear" w:color="auto" w:fill="auto"/>
            <w:noWrap/>
            <w:vAlign w:val="bottom"/>
            <w:hideMark/>
          </w:tcPr>
          <w:p w14:paraId="75C34F60"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2.43</w:t>
            </w:r>
          </w:p>
        </w:tc>
        <w:tc>
          <w:tcPr>
            <w:tcW w:w="1012" w:type="dxa"/>
            <w:tcBorders>
              <w:top w:val="nil"/>
              <w:left w:val="nil"/>
              <w:bottom w:val="nil"/>
              <w:right w:val="nil"/>
            </w:tcBorders>
            <w:shd w:val="clear" w:color="auto" w:fill="auto"/>
            <w:noWrap/>
            <w:vAlign w:val="bottom"/>
            <w:hideMark/>
          </w:tcPr>
          <w:p w14:paraId="60C8FF4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2.339</w:t>
            </w:r>
          </w:p>
        </w:tc>
        <w:tc>
          <w:tcPr>
            <w:tcW w:w="1012" w:type="dxa"/>
            <w:tcBorders>
              <w:top w:val="nil"/>
              <w:left w:val="nil"/>
              <w:bottom w:val="nil"/>
              <w:right w:val="nil"/>
            </w:tcBorders>
            <w:shd w:val="clear" w:color="auto" w:fill="auto"/>
            <w:noWrap/>
            <w:vAlign w:val="bottom"/>
            <w:hideMark/>
          </w:tcPr>
          <w:p w14:paraId="19F6F655"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0.396</w:t>
            </w:r>
          </w:p>
        </w:tc>
      </w:tr>
      <w:tr w:rsidR="0039179A" w:rsidRPr="00EB68DA" w14:paraId="3BB84236" w14:textId="77777777" w:rsidTr="00C4275C">
        <w:trPr>
          <w:trHeight w:val="285"/>
          <w:jc w:val="center"/>
        </w:trPr>
        <w:tc>
          <w:tcPr>
            <w:tcW w:w="1695" w:type="dxa"/>
            <w:tcBorders>
              <w:top w:val="nil"/>
              <w:left w:val="nil"/>
              <w:bottom w:val="nil"/>
              <w:right w:val="nil"/>
            </w:tcBorders>
            <w:shd w:val="clear" w:color="auto" w:fill="auto"/>
            <w:noWrap/>
            <w:hideMark/>
          </w:tcPr>
          <w:p w14:paraId="797D763D" w14:textId="77777777" w:rsidR="0039179A" w:rsidRPr="00EB68DA" w:rsidRDefault="0039179A" w:rsidP="00C4275C">
            <w:pPr>
              <w:widowControl/>
              <w:jc w:val="center"/>
              <w:rPr>
                <w:rFonts w:ascii="等线" w:eastAsia="等线" w:hAnsi="等线" w:cs="宋体"/>
                <w:b/>
                <w:bCs/>
                <w:color w:val="000000"/>
                <w:kern w:val="0"/>
                <w:sz w:val="22"/>
              </w:rPr>
            </w:pPr>
            <w:r w:rsidRPr="00EB68DA">
              <w:rPr>
                <w:rFonts w:ascii="等线" w:eastAsia="等线" w:hAnsi="等线" w:cs="宋体" w:hint="eastAsia"/>
                <w:b/>
                <w:bCs/>
                <w:color w:val="000000"/>
                <w:kern w:val="0"/>
                <w:sz w:val="22"/>
              </w:rPr>
              <w:t>ZS</w:t>
            </w:r>
          </w:p>
        </w:tc>
        <w:tc>
          <w:tcPr>
            <w:tcW w:w="1012" w:type="dxa"/>
            <w:tcBorders>
              <w:top w:val="nil"/>
              <w:left w:val="nil"/>
              <w:bottom w:val="nil"/>
              <w:right w:val="nil"/>
            </w:tcBorders>
            <w:shd w:val="clear" w:color="auto" w:fill="auto"/>
            <w:noWrap/>
            <w:vAlign w:val="bottom"/>
            <w:hideMark/>
          </w:tcPr>
          <w:p w14:paraId="5D2DF10D"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3.311</w:t>
            </w:r>
          </w:p>
        </w:tc>
        <w:tc>
          <w:tcPr>
            <w:tcW w:w="1012" w:type="dxa"/>
            <w:tcBorders>
              <w:top w:val="nil"/>
              <w:left w:val="nil"/>
              <w:bottom w:val="nil"/>
              <w:right w:val="nil"/>
            </w:tcBorders>
            <w:shd w:val="clear" w:color="auto" w:fill="auto"/>
            <w:noWrap/>
            <w:vAlign w:val="bottom"/>
            <w:hideMark/>
          </w:tcPr>
          <w:p w14:paraId="46857955"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3.274</w:t>
            </w:r>
          </w:p>
        </w:tc>
        <w:tc>
          <w:tcPr>
            <w:tcW w:w="1012" w:type="dxa"/>
            <w:tcBorders>
              <w:top w:val="nil"/>
              <w:left w:val="nil"/>
              <w:bottom w:val="nil"/>
              <w:right w:val="nil"/>
            </w:tcBorders>
            <w:shd w:val="clear" w:color="auto" w:fill="auto"/>
            <w:noWrap/>
            <w:vAlign w:val="bottom"/>
            <w:hideMark/>
          </w:tcPr>
          <w:p w14:paraId="098C842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0.874</w:t>
            </w:r>
          </w:p>
        </w:tc>
        <w:tc>
          <w:tcPr>
            <w:tcW w:w="1012" w:type="dxa"/>
            <w:tcBorders>
              <w:top w:val="nil"/>
              <w:left w:val="nil"/>
              <w:bottom w:val="nil"/>
              <w:right w:val="nil"/>
            </w:tcBorders>
            <w:shd w:val="clear" w:color="auto" w:fill="auto"/>
            <w:noWrap/>
            <w:vAlign w:val="bottom"/>
            <w:hideMark/>
          </w:tcPr>
          <w:p w14:paraId="6EB69093"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w:t>
            </w:r>
          </w:p>
        </w:tc>
        <w:tc>
          <w:tcPr>
            <w:tcW w:w="1012" w:type="dxa"/>
            <w:tcBorders>
              <w:top w:val="nil"/>
              <w:left w:val="nil"/>
              <w:bottom w:val="nil"/>
              <w:right w:val="nil"/>
            </w:tcBorders>
            <w:shd w:val="clear" w:color="auto" w:fill="auto"/>
            <w:noWrap/>
            <w:vAlign w:val="bottom"/>
            <w:hideMark/>
          </w:tcPr>
          <w:p w14:paraId="6CD55162"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3.11</w:t>
            </w:r>
          </w:p>
        </w:tc>
        <w:tc>
          <w:tcPr>
            <w:tcW w:w="1012" w:type="dxa"/>
            <w:tcBorders>
              <w:top w:val="nil"/>
              <w:left w:val="nil"/>
              <w:bottom w:val="nil"/>
              <w:right w:val="nil"/>
            </w:tcBorders>
            <w:shd w:val="clear" w:color="auto" w:fill="auto"/>
            <w:noWrap/>
            <w:vAlign w:val="bottom"/>
            <w:hideMark/>
          </w:tcPr>
          <w:p w14:paraId="4EA011B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0.786</w:t>
            </w:r>
          </w:p>
        </w:tc>
        <w:tc>
          <w:tcPr>
            <w:tcW w:w="1012" w:type="dxa"/>
            <w:tcBorders>
              <w:top w:val="nil"/>
              <w:left w:val="nil"/>
              <w:bottom w:val="nil"/>
              <w:right w:val="nil"/>
            </w:tcBorders>
            <w:shd w:val="clear" w:color="auto" w:fill="auto"/>
            <w:noWrap/>
            <w:vAlign w:val="bottom"/>
            <w:hideMark/>
          </w:tcPr>
          <w:p w14:paraId="6DD46FB8"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2.65</w:t>
            </w:r>
          </w:p>
        </w:tc>
        <w:tc>
          <w:tcPr>
            <w:tcW w:w="1012" w:type="dxa"/>
            <w:tcBorders>
              <w:top w:val="nil"/>
              <w:left w:val="nil"/>
              <w:bottom w:val="nil"/>
              <w:right w:val="nil"/>
            </w:tcBorders>
            <w:shd w:val="clear" w:color="auto" w:fill="auto"/>
            <w:noWrap/>
            <w:vAlign w:val="bottom"/>
            <w:hideMark/>
          </w:tcPr>
          <w:p w14:paraId="09CEE8A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2.801</w:t>
            </w:r>
          </w:p>
        </w:tc>
        <w:tc>
          <w:tcPr>
            <w:tcW w:w="1012" w:type="dxa"/>
            <w:tcBorders>
              <w:top w:val="nil"/>
              <w:left w:val="nil"/>
              <w:bottom w:val="nil"/>
              <w:right w:val="nil"/>
            </w:tcBorders>
            <w:shd w:val="clear" w:color="auto" w:fill="auto"/>
            <w:noWrap/>
            <w:vAlign w:val="bottom"/>
            <w:hideMark/>
          </w:tcPr>
          <w:p w14:paraId="61C0C7A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0.712</w:t>
            </w:r>
          </w:p>
        </w:tc>
      </w:tr>
      <w:tr w:rsidR="0039179A" w:rsidRPr="00EB68DA" w14:paraId="424A82B4" w14:textId="77777777" w:rsidTr="00C4275C">
        <w:trPr>
          <w:trHeight w:val="285"/>
          <w:jc w:val="center"/>
        </w:trPr>
        <w:tc>
          <w:tcPr>
            <w:tcW w:w="1695" w:type="dxa"/>
            <w:tcBorders>
              <w:top w:val="nil"/>
              <w:left w:val="nil"/>
              <w:bottom w:val="nil"/>
              <w:right w:val="nil"/>
            </w:tcBorders>
            <w:shd w:val="clear" w:color="auto" w:fill="auto"/>
            <w:noWrap/>
            <w:hideMark/>
          </w:tcPr>
          <w:p w14:paraId="26D0E4B7" w14:textId="0038350A" w:rsidR="0039179A" w:rsidRPr="00EB68DA" w:rsidRDefault="00267511" w:rsidP="00C4275C">
            <w:pPr>
              <w:widowControl/>
              <w:jc w:val="center"/>
              <w:rPr>
                <w:rFonts w:ascii="等线" w:eastAsia="等线" w:hAnsi="等线" w:cs="宋体"/>
                <w:b/>
                <w:bCs/>
                <w:color w:val="000000"/>
                <w:kern w:val="0"/>
                <w:sz w:val="22"/>
              </w:rPr>
            </w:pPr>
            <w:r w:rsidRPr="00EB68DA">
              <w:rPr>
                <w:rFonts w:ascii="等线" w:eastAsia="等线" w:hAnsi="等线" w:cs="宋体"/>
                <w:b/>
                <w:bCs/>
                <w:color w:val="000000"/>
                <w:kern w:val="0"/>
                <w:sz w:val="22"/>
              </w:rPr>
              <w:t>A</w:t>
            </w:r>
            <w:r w:rsidR="0039179A" w:rsidRPr="00EB68DA">
              <w:rPr>
                <w:rFonts w:ascii="等线" w:eastAsia="等线" w:hAnsi="等线" w:cs="宋体" w:hint="eastAsia"/>
                <w:b/>
                <w:bCs/>
                <w:color w:val="000000"/>
                <w:kern w:val="0"/>
                <w:sz w:val="22"/>
              </w:rPr>
              <w:t>ssets</w:t>
            </w:r>
          </w:p>
        </w:tc>
        <w:tc>
          <w:tcPr>
            <w:tcW w:w="1012" w:type="dxa"/>
            <w:tcBorders>
              <w:top w:val="nil"/>
              <w:left w:val="nil"/>
              <w:bottom w:val="nil"/>
              <w:right w:val="nil"/>
            </w:tcBorders>
            <w:shd w:val="clear" w:color="auto" w:fill="auto"/>
            <w:noWrap/>
            <w:vAlign w:val="bottom"/>
            <w:hideMark/>
          </w:tcPr>
          <w:p w14:paraId="36E304D1"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3.393</w:t>
            </w:r>
          </w:p>
        </w:tc>
        <w:tc>
          <w:tcPr>
            <w:tcW w:w="1012" w:type="dxa"/>
            <w:tcBorders>
              <w:top w:val="nil"/>
              <w:left w:val="nil"/>
              <w:bottom w:val="nil"/>
              <w:right w:val="nil"/>
            </w:tcBorders>
            <w:shd w:val="clear" w:color="auto" w:fill="auto"/>
            <w:noWrap/>
            <w:vAlign w:val="bottom"/>
            <w:hideMark/>
          </w:tcPr>
          <w:p w14:paraId="3E3C9294"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3.146</w:t>
            </w:r>
          </w:p>
        </w:tc>
        <w:tc>
          <w:tcPr>
            <w:tcW w:w="1012" w:type="dxa"/>
            <w:tcBorders>
              <w:top w:val="nil"/>
              <w:left w:val="nil"/>
              <w:bottom w:val="nil"/>
              <w:right w:val="nil"/>
            </w:tcBorders>
            <w:shd w:val="clear" w:color="auto" w:fill="auto"/>
            <w:noWrap/>
            <w:vAlign w:val="bottom"/>
            <w:hideMark/>
          </w:tcPr>
          <w:p w14:paraId="34D00AA3"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0.624</w:t>
            </w:r>
          </w:p>
        </w:tc>
        <w:tc>
          <w:tcPr>
            <w:tcW w:w="1012" w:type="dxa"/>
            <w:tcBorders>
              <w:top w:val="nil"/>
              <w:left w:val="nil"/>
              <w:bottom w:val="nil"/>
              <w:right w:val="nil"/>
            </w:tcBorders>
            <w:shd w:val="clear" w:color="auto" w:fill="auto"/>
            <w:noWrap/>
            <w:vAlign w:val="bottom"/>
            <w:hideMark/>
          </w:tcPr>
          <w:p w14:paraId="2C34E502"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3.289</w:t>
            </w:r>
          </w:p>
        </w:tc>
        <w:tc>
          <w:tcPr>
            <w:tcW w:w="1012" w:type="dxa"/>
            <w:tcBorders>
              <w:top w:val="nil"/>
              <w:left w:val="nil"/>
              <w:bottom w:val="nil"/>
              <w:right w:val="nil"/>
            </w:tcBorders>
            <w:shd w:val="clear" w:color="auto" w:fill="auto"/>
            <w:noWrap/>
            <w:vAlign w:val="bottom"/>
            <w:hideMark/>
          </w:tcPr>
          <w:p w14:paraId="044256BF"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3.259</w:t>
            </w:r>
          </w:p>
        </w:tc>
        <w:tc>
          <w:tcPr>
            <w:tcW w:w="1012" w:type="dxa"/>
            <w:tcBorders>
              <w:top w:val="nil"/>
              <w:left w:val="nil"/>
              <w:bottom w:val="nil"/>
              <w:right w:val="nil"/>
            </w:tcBorders>
            <w:shd w:val="clear" w:color="auto" w:fill="auto"/>
            <w:noWrap/>
            <w:vAlign w:val="bottom"/>
            <w:hideMark/>
          </w:tcPr>
          <w:p w14:paraId="000688C6"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0.742</w:t>
            </w:r>
          </w:p>
        </w:tc>
        <w:tc>
          <w:tcPr>
            <w:tcW w:w="1012" w:type="dxa"/>
            <w:tcBorders>
              <w:top w:val="nil"/>
              <w:left w:val="nil"/>
              <w:bottom w:val="nil"/>
              <w:right w:val="nil"/>
            </w:tcBorders>
            <w:shd w:val="clear" w:color="auto" w:fill="auto"/>
            <w:noWrap/>
            <w:vAlign w:val="bottom"/>
            <w:hideMark/>
          </w:tcPr>
          <w:p w14:paraId="15B9CDED"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2.884</w:t>
            </w:r>
          </w:p>
        </w:tc>
        <w:tc>
          <w:tcPr>
            <w:tcW w:w="1012" w:type="dxa"/>
            <w:tcBorders>
              <w:top w:val="nil"/>
              <w:left w:val="nil"/>
              <w:bottom w:val="nil"/>
              <w:right w:val="nil"/>
            </w:tcBorders>
            <w:shd w:val="clear" w:color="auto" w:fill="auto"/>
            <w:noWrap/>
            <w:vAlign w:val="bottom"/>
            <w:hideMark/>
          </w:tcPr>
          <w:p w14:paraId="141DC735"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3.703</w:t>
            </w:r>
          </w:p>
        </w:tc>
        <w:tc>
          <w:tcPr>
            <w:tcW w:w="1012" w:type="dxa"/>
            <w:tcBorders>
              <w:top w:val="nil"/>
              <w:left w:val="nil"/>
              <w:bottom w:val="nil"/>
              <w:right w:val="nil"/>
            </w:tcBorders>
            <w:shd w:val="clear" w:color="auto" w:fill="auto"/>
            <w:noWrap/>
            <w:vAlign w:val="bottom"/>
            <w:hideMark/>
          </w:tcPr>
          <w:p w14:paraId="556FEFA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0.802</w:t>
            </w:r>
          </w:p>
        </w:tc>
      </w:tr>
      <w:tr w:rsidR="0039179A" w:rsidRPr="00EB68DA" w14:paraId="10F1E948" w14:textId="77777777" w:rsidTr="00C4275C">
        <w:trPr>
          <w:trHeight w:val="285"/>
          <w:jc w:val="center"/>
        </w:trPr>
        <w:tc>
          <w:tcPr>
            <w:tcW w:w="1695" w:type="dxa"/>
            <w:tcBorders>
              <w:top w:val="nil"/>
              <w:left w:val="nil"/>
              <w:bottom w:val="nil"/>
              <w:right w:val="nil"/>
            </w:tcBorders>
            <w:shd w:val="clear" w:color="auto" w:fill="auto"/>
            <w:noWrap/>
            <w:hideMark/>
          </w:tcPr>
          <w:p w14:paraId="3F850643" w14:textId="47F5566A" w:rsidR="0039179A" w:rsidRPr="00EB68DA" w:rsidRDefault="00267511" w:rsidP="00C4275C">
            <w:pPr>
              <w:widowControl/>
              <w:jc w:val="center"/>
              <w:rPr>
                <w:rFonts w:ascii="等线" w:eastAsia="等线" w:hAnsi="等线" w:cs="宋体"/>
                <w:b/>
                <w:bCs/>
                <w:color w:val="000000"/>
                <w:kern w:val="0"/>
                <w:sz w:val="22"/>
              </w:rPr>
            </w:pPr>
            <w:r w:rsidRPr="00EB68DA">
              <w:rPr>
                <w:rFonts w:ascii="等线" w:eastAsia="等线" w:hAnsi="等线" w:cs="宋体"/>
                <w:b/>
                <w:bCs/>
                <w:color w:val="000000"/>
                <w:kern w:val="0"/>
                <w:sz w:val="22"/>
              </w:rPr>
              <w:t>C</w:t>
            </w:r>
            <w:r w:rsidR="0039179A" w:rsidRPr="00EB68DA">
              <w:rPr>
                <w:rFonts w:ascii="等线" w:eastAsia="等线" w:hAnsi="等线" w:cs="宋体" w:hint="eastAsia"/>
                <w:b/>
                <w:bCs/>
                <w:color w:val="000000"/>
                <w:kern w:val="0"/>
                <w:sz w:val="22"/>
              </w:rPr>
              <w:t>ash</w:t>
            </w:r>
          </w:p>
        </w:tc>
        <w:tc>
          <w:tcPr>
            <w:tcW w:w="1012" w:type="dxa"/>
            <w:tcBorders>
              <w:top w:val="nil"/>
              <w:left w:val="nil"/>
              <w:bottom w:val="nil"/>
              <w:right w:val="nil"/>
            </w:tcBorders>
            <w:shd w:val="clear" w:color="auto" w:fill="auto"/>
            <w:noWrap/>
            <w:vAlign w:val="bottom"/>
            <w:hideMark/>
          </w:tcPr>
          <w:p w14:paraId="6D4E0E21"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3.074</w:t>
            </w:r>
          </w:p>
        </w:tc>
        <w:tc>
          <w:tcPr>
            <w:tcW w:w="1012" w:type="dxa"/>
            <w:tcBorders>
              <w:top w:val="nil"/>
              <w:left w:val="nil"/>
              <w:bottom w:val="nil"/>
              <w:right w:val="nil"/>
            </w:tcBorders>
            <w:shd w:val="clear" w:color="auto" w:fill="auto"/>
            <w:noWrap/>
            <w:vAlign w:val="bottom"/>
            <w:hideMark/>
          </w:tcPr>
          <w:p w14:paraId="6681075D"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4.455</w:t>
            </w:r>
          </w:p>
        </w:tc>
        <w:tc>
          <w:tcPr>
            <w:tcW w:w="1012" w:type="dxa"/>
            <w:tcBorders>
              <w:top w:val="nil"/>
              <w:left w:val="nil"/>
              <w:bottom w:val="nil"/>
              <w:right w:val="nil"/>
            </w:tcBorders>
            <w:shd w:val="clear" w:color="auto" w:fill="auto"/>
            <w:noWrap/>
            <w:vAlign w:val="bottom"/>
            <w:hideMark/>
          </w:tcPr>
          <w:p w14:paraId="7F0472E4"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0.686</w:t>
            </w:r>
          </w:p>
        </w:tc>
        <w:tc>
          <w:tcPr>
            <w:tcW w:w="1012" w:type="dxa"/>
            <w:tcBorders>
              <w:top w:val="nil"/>
              <w:left w:val="nil"/>
              <w:bottom w:val="nil"/>
              <w:right w:val="nil"/>
            </w:tcBorders>
            <w:shd w:val="clear" w:color="auto" w:fill="auto"/>
            <w:noWrap/>
            <w:vAlign w:val="bottom"/>
            <w:hideMark/>
          </w:tcPr>
          <w:p w14:paraId="68B89B8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2.851</w:t>
            </w:r>
          </w:p>
        </w:tc>
        <w:tc>
          <w:tcPr>
            <w:tcW w:w="1012" w:type="dxa"/>
            <w:tcBorders>
              <w:top w:val="nil"/>
              <w:left w:val="nil"/>
              <w:bottom w:val="nil"/>
              <w:right w:val="nil"/>
            </w:tcBorders>
            <w:shd w:val="clear" w:color="auto" w:fill="auto"/>
            <w:noWrap/>
            <w:vAlign w:val="bottom"/>
            <w:hideMark/>
          </w:tcPr>
          <w:p w14:paraId="0D343A7B"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2.565</w:t>
            </w:r>
          </w:p>
        </w:tc>
        <w:tc>
          <w:tcPr>
            <w:tcW w:w="1012" w:type="dxa"/>
            <w:tcBorders>
              <w:top w:val="nil"/>
              <w:left w:val="nil"/>
              <w:bottom w:val="nil"/>
              <w:right w:val="nil"/>
            </w:tcBorders>
            <w:shd w:val="clear" w:color="auto" w:fill="auto"/>
            <w:noWrap/>
            <w:vAlign w:val="bottom"/>
            <w:hideMark/>
          </w:tcPr>
          <w:p w14:paraId="27B43463"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0.514</w:t>
            </w:r>
          </w:p>
        </w:tc>
        <w:tc>
          <w:tcPr>
            <w:tcW w:w="1012" w:type="dxa"/>
            <w:tcBorders>
              <w:top w:val="nil"/>
              <w:left w:val="nil"/>
              <w:bottom w:val="nil"/>
              <w:right w:val="nil"/>
            </w:tcBorders>
            <w:shd w:val="clear" w:color="auto" w:fill="auto"/>
            <w:noWrap/>
            <w:vAlign w:val="bottom"/>
            <w:hideMark/>
          </w:tcPr>
          <w:p w14:paraId="474A7A2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2.459</w:t>
            </w:r>
          </w:p>
        </w:tc>
        <w:tc>
          <w:tcPr>
            <w:tcW w:w="1012" w:type="dxa"/>
            <w:tcBorders>
              <w:top w:val="nil"/>
              <w:left w:val="nil"/>
              <w:bottom w:val="nil"/>
              <w:right w:val="nil"/>
            </w:tcBorders>
            <w:shd w:val="clear" w:color="auto" w:fill="auto"/>
            <w:noWrap/>
            <w:vAlign w:val="bottom"/>
            <w:hideMark/>
          </w:tcPr>
          <w:p w14:paraId="0F3E03B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3.709</w:t>
            </w:r>
          </w:p>
        </w:tc>
        <w:tc>
          <w:tcPr>
            <w:tcW w:w="1012" w:type="dxa"/>
            <w:tcBorders>
              <w:top w:val="nil"/>
              <w:left w:val="nil"/>
              <w:bottom w:val="nil"/>
              <w:right w:val="nil"/>
            </w:tcBorders>
            <w:shd w:val="clear" w:color="auto" w:fill="auto"/>
            <w:noWrap/>
            <w:vAlign w:val="bottom"/>
            <w:hideMark/>
          </w:tcPr>
          <w:p w14:paraId="59223902"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0.641</w:t>
            </w:r>
          </w:p>
        </w:tc>
      </w:tr>
      <w:tr w:rsidR="0039179A" w:rsidRPr="00EB68DA" w14:paraId="1E893350" w14:textId="77777777" w:rsidTr="00C4275C">
        <w:trPr>
          <w:trHeight w:val="285"/>
          <w:jc w:val="center"/>
        </w:trPr>
        <w:tc>
          <w:tcPr>
            <w:tcW w:w="1695" w:type="dxa"/>
            <w:tcBorders>
              <w:top w:val="nil"/>
              <w:left w:val="nil"/>
              <w:bottom w:val="nil"/>
              <w:right w:val="nil"/>
            </w:tcBorders>
            <w:shd w:val="clear" w:color="auto" w:fill="auto"/>
            <w:noWrap/>
            <w:hideMark/>
          </w:tcPr>
          <w:p w14:paraId="2B8F23AF" w14:textId="444EA349" w:rsidR="0039179A" w:rsidRPr="00EB68DA" w:rsidRDefault="00267511" w:rsidP="00C4275C">
            <w:pPr>
              <w:widowControl/>
              <w:jc w:val="center"/>
              <w:rPr>
                <w:rFonts w:ascii="等线" w:eastAsia="等线" w:hAnsi="等线" w:cs="宋体"/>
                <w:b/>
                <w:bCs/>
                <w:color w:val="000000"/>
                <w:kern w:val="0"/>
                <w:sz w:val="22"/>
              </w:rPr>
            </w:pPr>
            <w:r w:rsidRPr="00EB68DA">
              <w:rPr>
                <w:rFonts w:ascii="等线" w:eastAsia="等线" w:hAnsi="等线" w:cs="宋体"/>
                <w:b/>
                <w:bCs/>
                <w:color w:val="000000"/>
                <w:kern w:val="0"/>
                <w:sz w:val="22"/>
              </w:rPr>
              <w:lastRenderedPageBreak/>
              <w:t>D</w:t>
            </w:r>
            <w:r w:rsidR="0039179A" w:rsidRPr="00EB68DA">
              <w:rPr>
                <w:rFonts w:ascii="等线" w:eastAsia="等线" w:hAnsi="等线" w:cs="宋体" w:hint="eastAsia"/>
                <w:b/>
                <w:bCs/>
                <w:color w:val="000000"/>
                <w:kern w:val="0"/>
                <w:sz w:val="22"/>
              </w:rPr>
              <w:t>ebt</w:t>
            </w:r>
          </w:p>
        </w:tc>
        <w:tc>
          <w:tcPr>
            <w:tcW w:w="1012" w:type="dxa"/>
            <w:tcBorders>
              <w:top w:val="nil"/>
              <w:left w:val="nil"/>
              <w:bottom w:val="nil"/>
              <w:right w:val="nil"/>
            </w:tcBorders>
            <w:shd w:val="clear" w:color="auto" w:fill="auto"/>
            <w:noWrap/>
            <w:vAlign w:val="bottom"/>
            <w:hideMark/>
          </w:tcPr>
          <w:p w14:paraId="2D58B0B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3.136</w:t>
            </w:r>
          </w:p>
        </w:tc>
        <w:tc>
          <w:tcPr>
            <w:tcW w:w="1012" w:type="dxa"/>
            <w:tcBorders>
              <w:top w:val="nil"/>
              <w:left w:val="nil"/>
              <w:bottom w:val="nil"/>
              <w:right w:val="nil"/>
            </w:tcBorders>
            <w:shd w:val="clear" w:color="auto" w:fill="auto"/>
            <w:noWrap/>
            <w:vAlign w:val="bottom"/>
            <w:hideMark/>
          </w:tcPr>
          <w:p w14:paraId="3E80228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2.736</w:t>
            </w:r>
          </w:p>
        </w:tc>
        <w:tc>
          <w:tcPr>
            <w:tcW w:w="1012" w:type="dxa"/>
            <w:tcBorders>
              <w:top w:val="nil"/>
              <w:left w:val="nil"/>
              <w:bottom w:val="nil"/>
              <w:right w:val="nil"/>
            </w:tcBorders>
            <w:shd w:val="clear" w:color="auto" w:fill="auto"/>
            <w:noWrap/>
            <w:vAlign w:val="bottom"/>
            <w:hideMark/>
          </w:tcPr>
          <w:p w14:paraId="54B9DB9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0.375</w:t>
            </w:r>
          </w:p>
        </w:tc>
        <w:tc>
          <w:tcPr>
            <w:tcW w:w="1012" w:type="dxa"/>
            <w:tcBorders>
              <w:top w:val="nil"/>
              <w:left w:val="nil"/>
              <w:bottom w:val="nil"/>
              <w:right w:val="nil"/>
            </w:tcBorders>
            <w:shd w:val="clear" w:color="auto" w:fill="auto"/>
            <w:noWrap/>
            <w:vAlign w:val="bottom"/>
            <w:hideMark/>
          </w:tcPr>
          <w:p w14:paraId="792A8A1E"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2.874</w:t>
            </w:r>
          </w:p>
        </w:tc>
        <w:tc>
          <w:tcPr>
            <w:tcW w:w="1012" w:type="dxa"/>
            <w:tcBorders>
              <w:top w:val="nil"/>
              <w:left w:val="nil"/>
              <w:bottom w:val="nil"/>
              <w:right w:val="nil"/>
            </w:tcBorders>
            <w:shd w:val="clear" w:color="auto" w:fill="auto"/>
            <w:noWrap/>
            <w:vAlign w:val="bottom"/>
            <w:hideMark/>
          </w:tcPr>
          <w:p w14:paraId="7001A5AB"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2.76</w:t>
            </w:r>
          </w:p>
        </w:tc>
        <w:tc>
          <w:tcPr>
            <w:tcW w:w="1012" w:type="dxa"/>
            <w:tcBorders>
              <w:top w:val="nil"/>
              <w:left w:val="nil"/>
              <w:bottom w:val="nil"/>
              <w:right w:val="nil"/>
            </w:tcBorders>
            <w:shd w:val="clear" w:color="auto" w:fill="auto"/>
            <w:noWrap/>
            <w:vAlign w:val="bottom"/>
            <w:hideMark/>
          </w:tcPr>
          <w:p w14:paraId="0A3D8C3B"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0.76</w:t>
            </w:r>
          </w:p>
        </w:tc>
        <w:tc>
          <w:tcPr>
            <w:tcW w:w="1012" w:type="dxa"/>
            <w:tcBorders>
              <w:top w:val="nil"/>
              <w:left w:val="nil"/>
              <w:bottom w:val="nil"/>
              <w:right w:val="nil"/>
            </w:tcBorders>
            <w:shd w:val="clear" w:color="auto" w:fill="auto"/>
            <w:noWrap/>
            <w:vAlign w:val="bottom"/>
            <w:hideMark/>
          </w:tcPr>
          <w:p w14:paraId="763977B1"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2.536</w:t>
            </w:r>
          </w:p>
        </w:tc>
        <w:tc>
          <w:tcPr>
            <w:tcW w:w="1012" w:type="dxa"/>
            <w:tcBorders>
              <w:top w:val="nil"/>
              <w:left w:val="nil"/>
              <w:bottom w:val="nil"/>
              <w:right w:val="nil"/>
            </w:tcBorders>
            <w:shd w:val="clear" w:color="auto" w:fill="auto"/>
            <w:noWrap/>
            <w:vAlign w:val="bottom"/>
            <w:hideMark/>
          </w:tcPr>
          <w:p w14:paraId="15B1AD5A"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2.474</w:t>
            </w:r>
          </w:p>
        </w:tc>
        <w:tc>
          <w:tcPr>
            <w:tcW w:w="1012" w:type="dxa"/>
            <w:tcBorders>
              <w:top w:val="nil"/>
              <w:left w:val="nil"/>
              <w:bottom w:val="nil"/>
              <w:right w:val="nil"/>
            </w:tcBorders>
            <w:shd w:val="clear" w:color="auto" w:fill="auto"/>
            <w:noWrap/>
            <w:vAlign w:val="bottom"/>
            <w:hideMark/>
          </w:tcPr>
          <w:p w14:paraId="5C540679"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0.552</w:t>
            </w:r>
          </w:p>
        </w:tc>
      </w:tr>
      <w:tr w:rsidR="0039179A" w:rsidRPr="00EB68DA" w14:paraId="41F6A9A2" w14:textId="77777777" w:rsidTr="00C4275C">
        <w:trPr>
          <w:trHeight w:val="285"/>
          <w:jc w:val="center"/>
        </w:trPr>
        <w:tc>
          <w:tcPr>
            <w:tcW w:w="1695" w:type="dxa"/>
            <w:tcBorders>
              <w:top w:val="nil"/>
              <w:left w:val="nil"/>
              <w:bottom w:val="single" w:sz="4" w:space="0" w:color="auto"/>
              <w:right w:val="nil"/>
            </w:tcBorders>
            <w:shd w:val="clear" w:color="auto" w:fill="auto"/>
            <w:noWrap/>
            <w:hideMark/>
          </w:tcPr>
          <w:p w14:paraId="1082585C" w14:textId="2B5C3939" w:rsidR="0039179A" w:rsidRPr="00EB68DA" w:rsidRDefault="00267511" w:rsidP="00C4275C">
            <w:pPr>
              <w:widowControl/>
              <w:jc w:val="center"/>
              <w:rPr>
                <w:rFonts w:ascii="等线" w:eastAsia="等线" w:hAnsi="等线" w:cs="宋体"/>
                <w:b/>
                <w:bCs/>
                <w:color w:val="000000"/>
                <w:kern w:val="0"/>
                <w:sz w:val="22"/>
              </w:rPr>
            </w:pPr>
            <w:r>
              <w:rPr>
                <w:rFonts w:ascii="等线" w:eastAsia="等线" w:hAnsi="等线" w:cs="宋体"/>
                <w:b/>
                <w:bCs/>
                <w:color w:val="000000"/>
                <w:kern w:val="0"/>
                <w:sz w:val="22"/>
              </w:rPr>
              <w:t>C</w:t>
            </w:r>
            <w:r w:rsidR="0039179A">
              <w:rPr>
                <w:rFonts w:ascii="等线" w:eastAsia="等线" w:hAnsi="等线" w:cs="宋体"/>
                <w:b/>
                <w:bCs/>
                <w:color w:val="000000"/>
                <w:kern w:val="0"/>
                <w:sz w:val="22"/>
              </w:rPr>
              <w:t>ost</w:t>
            </w:r>
          </w:p>
        </w:tc>
        <w:tc>
          <w:tcPr>
            <w:tcW w:w="1012" w:type="dxa"/>
            <w:tcBorders>
              <w:top w:val="nil"/>
              <w:left w:val="nil"/>
              <w:bottom w:val="single" w:sz="4" w:space="0" w:color="auto"/>
              <w:right w:val="nil"/>
            </w:tcBorders>
            <w:shd w:val="clear" w:color="auto" w:fill="auto"/>
            <w:noWrap/>
            <w:vAlign w:val="bottom"/>
            <w:hideMark/>
          </w:tcPr>
          <w:p w14:paraId="73848228"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2.778</w:t>
            </w:r>
          </w:p>
        </w:tc>
        <w:tc>
          <w:tcPr>
            <w:tcW w:w="1012" w:type="dxa"/>
            <w:tcBorders>
              <w:top w:val="nil"/>
              <w:left w:val="nil"/>
              <w:bottom w:val="single" w:sz="4" w:space="0" w:color="auto"/>
              <w:right w:val="nil"/>
            </w:tcBorders>
            <w:shd w:val="clear" w:color="auto" w:fill="auto"/>
            <w:noWrap/>
            <w:vAlign w:val="bottom"/>
            <w:hideMark/>
          </w:tcPr>
          <w:p w14:paraId="3D823656"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2.931</w:t>
            </w:r>
          </w:p>
        </w:tc>
        <w:tc>
          <w:tcPr>
            <w:tcW w:w="1012" w:type="dxa"/>
            <w:tcBorders>
              <w:top w:val="nil"/>
              <w:left w:val="nil"/>
              <w:bottom w:val="single" w:sz="4" w:space="0" w:color="auto"/>
              <w:right w:val="nil"/>
            </w:tcBorders>
            <w:shd w:val="clear" w:color="auto" w:fill="auto"/>
            <w:noWrap/>
            <w:vAlign w:val="bottom"/>
            <w:hideMark/>
          </w:tcPr>
          <w:p w14:paraId="476B5A2F"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0.752</w:t>
            </w:r>
          </w:p>
        </w:tc>
        <w:tc>
          <w:tcPr>
            <w:tcW w:w="1012" w:type="dxa"/>
            <w:tcBorders>
              <w:top w:val="nil"/>
              <w:left w:val="nil"/>
              <w:bottom w:val="single" w:sz="4" w:space="0" w:color="auto"/>
              <w:right w:val="nil"/>
            </w:tcBorders>
            <w:shd w:val="clear" w:color="auto" w:fill="auto"/>
            <w:noWrap/>
            <w:vAlign w:val="bottom"/>
            <w:hideMark/>
          </w:tcPr>
          <w:p w14:paraId="7C6F87D9"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2.479</w:t>
            </w:r>
          </w:p>
        </w:tc>
        <w:tc>
          <w:tcPr>
            <w:tcW w:w="1012" w:type="dxa"/>
            <w:tcBorders>
              <w:top w:val="nil"/>
              <w:left w:val="nil"/>
              <w:bottom w:val="single" w:sz="4" w:space="0" w:color="auto"/>
              <w:right w:val="nil"/>
            </w:tcBorders>
            <w:shd w:val="clear" w:color="auto" w:fill="auto"/>
            <w:noWrap/>
            <w:vAlign w:val="bottom"/>
            <w:hideMark/>
          </w:tcPr>
          <w:p w14:paraId="5DBB9AA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2.776</w:t>
            </w:r>
          </w:p>
        </w:tc>
        <w:tc>
          <w:tcPr>
            <w:tcW w:w="1012" w:type="dxa"/>
            <w:tcBorders>
              <w:top w:val="nil"/>
              <w:left w:val="nil"/>
              <w:bottom w:val="single" w:sz="4" w:space="0" w:color="auto"/>
              <w:right w:val="nil"/>
            </w:tcBorders>
            <w:shd w:val="clear" w:color="auto" w:fill="auto"/>
            <w:noWrap/>
            <w:vAlign w:val="bottom"/>
            <w:hideMark/>
          </w:tcPr>
          <w:p w14:paraId="0129A8A8"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0.651</w:t>
            </w:r>
          </w:p>
        </w:tc>
        <w:tc>
          <w:tcPr>
            <w:tcW w:w="1012" w:type="dxa"/>
            <w:tcBorders>
              <w:top w:val="nil"/>
              <w:left w:val="nil"/>
              <w:bottom w:val="single" w:sz="4" w:space="0" w:color="auto"/>
              <w:right w:val="nil"/>
            </w:tcBorders>
            <w:shd w:val="clear" w:color="auto" w:fill="auto"/>
            <w:noWrap/>
            <w:vAlign w:val="bottom"/>
            <w:hideMark/>
          </w:tcPr>
          <w:p w14:paraId="3637E549"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2.278</w:t>
            </w:r>
          </w:p>
        </w:tc>
        <w:tc>
          <w:tcPr>
            <w:tcW w:w="1012" w:type="dxa"/>
            <w:tcBorders>
              <w:top w:val="nil"/>
              <w:left w:val="nil"/>
              <w:bottom w:val="single" w:sz="4" w:space="0" w:color="auto"/>
              <w:right w:val="nil"/>
            </w:tcBorders>
            <w:shd w:val="clear" w:color="auto" w:fill="auto"/>
            <w:noWrap/>
            <w:vAlign w:val="bottom"/>
            <w:hideMark/>
          </w:tcPr>
          <w:p w14:paraId="1963FA77"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3.089</w:t>
            </w:r>
          </w:p>
        </w:tc>
        <w:tc>
          <w:tcPr>
            <w:tcW w:w="1012" w:type="dxa"/>
            <w:tcBorders>
              <w:top w:val="nil"/>
              <w:left w:val="nil"/>
              <w:bottom w:val="single" w:sz="4" w:space="0" w:color="auto"/>
              <w:right w:val="nil"/>
            </w:tcBorders>
            <w:shd w:val="clear" w:color="auto" w:fill="auto"/>
            <w:noWrap/>
            <w:vAlign w:val="bottom"/>
            <w:hideMark/>
          </w:tcPr>
          <w:p w14:paraId="2B8C571C" w14:textId="77777777" w:rsidR="0039179A" w:rsidRPr="00EB68DA" w:rsidRDefault="0039179A" w:rsidP="00C4275C">
            <w:pPr>
              <w:widowControl/>
              <w:jc w:val="right"/>
              <w:rPr>
                <w:rFonts w:ascii="等线" w:eastAsia="等线" w:hAnsi="等线" w:cs="宋体"/>
                <w:color w:val="000000"/>
                <w:kern w:val="0"/>
                <w:sz w:val="22"/>
              </w:rPr>
            </w:pPr>
            <w:r w:rsidRPr="00EB68DA">
              <w:rPr>
                <w:rFonts w:ascii="等线" w:eastAsia="等线" w:hAnsi="等线" w:cs="宋体" w:hint="eastAsia"/>
                <w:color w:val="000000"/>
                <w:kern w:val="0"/>
                <w:sz w:val="22"/>
              </w:rPr>
              <w:t>0.674</w:t>
            </w:r>
          </w:p>
        </w:tc>
      </w:tr>
    </w:tbl>
    <w:p w14:paraId="4A44433D" w14:textId="77777777" w:rsidR="0039179A" w:rsidRPr="0039179A" w:rsidRDefault="0039179A" w:rsidP="0039179A">
      <w:pPr>
        <w:spacing w:line="360" w:lineRule="auto"/>
      </w:pPr>
    </w:p>
    <w:p w14:paraId="39DBDB59" w14:textId="77777777" w:rsidR="0039179A" w:rsidRPr="0039179A" w:rsidRDefault="0039179A" w:rsidP="0039179A">
      <w:pPr>
        <w:spacing w:line="360" w:lineRule="auto"/>
        <w:rPr>
          <w:sz w:val="22"/>
          <w:szCs w:val="24"/>
        </w:rPr>
      </w:pPr>
      <w:r w:rsidRPr="0039179A">
        <w:rPr>
          <w:rFonts w:hint="eastAsia"/>
          <w:sz w:val="22"/>
          <w:szCs w:val="24"/>
        </w:rPr>
        <w:t>当时间跨度为</w:t>
      </w:r>
      <w:r w:rsidRPr="0039179A">
        <w:rPr>
          <w:sz w:val="22"/>
          <w:szCs w:val="24"/>
        </w:rPr>
        <w:t>10个交易日</w:t>
      </w:r>
      <w:r w:rsidRPr="0039179A">
        <w:rPr>
          <w:rFonts w:hint="eastAsia"/>
          <w:sz w:val="22"/>
          <w:szCs w:val="24"/>
        </w:rPr>
        <w:t>，回归系数整体最高，均接近3。</w:t>
      </w:r>
      <w:r w:rsidRPr="0039179A">
        <w:rPr>
          <w:sz w:val="22"/>
          <w:szCs w:val="24"/>
        </w:rPr>
        <w:t>ROA的回归系数</w:t>
      </w:r>
      <w:r w:rsidRPr="0039179A">
        <w:rPr>
          <w:rFonts w:hint="eastAsia"/>
          <w:sz w:val="22"/>
          <w:szCs w:val="24"/>
        </w:rPr>
        <w:t>为</w:t>
      </w:r>
      <w:r w:rsidRPr="0039179A">
        <w:rPr>
          <w:sz w:val="22"/>
          <w:szCs w:val="24"/>
        </w:rPr>
        <w:t>3.49</w:t>
      </w:r>
      <w:r w:rsidRPr="0039179A">
        <w:rPr>
          <w:rFonts w:hint="eastAsia"/>
          <w:sz w:val="22"/>
          <w:szCs w:val="24"/>
        </w:rPr>
        <w:t>，在这一列中属于最高值，这也就意味着对于盈利能力水平</w:t>
      </w:r>
      <w:r w:rsidRPr="0039179A">
        <w:rPr>
          <w:sz w:val="22"/>
          <w:szCs w:val="24"/>
        </w:rPr>
        <w:t>ROA</w:t>
      </w:r>
      <w:r w:rsidRPr="0039179A">
        <w:rPr>
          <w:rFonts w:hint="eastAsia"/>
          <w:sz w:val="22"/>
          <w:szCs w:val="24"/>
        </w:rPr>
        <w:t>较高的公司，他们的个股期权隐含波动</w:t>
      </w:r>
      <w:proofErr w:type="gramStart"/>
      <w:r w:rsidRPr="0039179A">
        <w:rPr>
          <w:rFonts w:hint="eastAsia"/>
          <w:sz w:val="22"/>
          <w:szCs w:val="24"/>
        </w:rPr>
        <w:t>率具有</w:t>
      </w:r>
      <w:proofErr w:type="gramEnd"/>
      <w:r w:rsidRPr="0039179A">
        <w:rPr>
          <w:rFonts w:hint="eastAsia"/>
          <w:sz w:val="22"/>
          <w:szCs w:val="24"/>
        </w:rPr>
        <w:t>极强的均值回复能力。如果过去的波动率变化为一单位，那么未来的平均波动率反向回复可以达到</w:t>
      </w:r>
      <w:r w:rsidRPr="0039179A">
        <w:rPr>
          <w:sz w:val="22"/>
          <w:szCs w:val="24"/>
        </w:rPr>
        <w:t>3.49个单位</w:t>
      </w:r>
      <w:r w:rsidRPr="0039179A">
        <w:rPr>
          <w:rFonts w:hint="eastAsia"/>
          <w:sz w:val="22"/>
          <w:szCs w:val="24"/>
        </w:rPr>
        <w:t>。</w:t>
      </w:r>
      <w:r w:rsidRPr="0039179A">
        <w:rPr>
          <w:sz w:val="22"/>
          <w:szCs w:val="24"/>
        </w:rPr>
        <w:t>ROA</w:t>
      </w:r>
      <w:r w:rsidRPr="0039179A">
        <w:rPr>
          <w:rFonts w:hint="eastAsia"/>
          <w:sz w:val="22"/>
          <w:szCs w:val="24"/>
        </w:rPr>
        <w:t>较高意味着该公司具有较强的盈利能力，而这表明该公司具有较强的成长能力，显然会得到金融市场投资者的青睐。如果他的波动率较高，那么他的期权价值也会较高，而这会吸引金融市场空头来卖出他的期权。随着期权空头势力的增强，期权价格又会慢慢被压下去，</w:t>
      </w:r>
      <w:proofErr w:type="gramStart"/>
      <w:r w:rsidRPr="0039179A">
        <w:rPr>
          <w:rFonts w:hint="eastAsia"/>
          <w:sz w:val="22"/>
          <w:szCs w:val="24"/>
        </w:rPr>
        <w:t>进而其</w:t>
      </w:r>
      <w:proofErr w:type="gramEnd"/>
      <w:r w:rsidRPr="0039179A">
        <w:rPr>
          <w:rFonts w:hint="eastAsia"/>
          <w:sz w:val="22"/>
          <w:szCs w:val="24"/>
        </w:rPr>
        <w:t>隐含波动</w:t>
      </w:r>
      <w:proofErr w:type="gramStart"/>
      <w:r w:rsidRPr="0039179A">
        <w:rPr>
          <w:rFonts w:hint="eastAsia"/>
          <w:sz w:val="22"/>
          <w:szCs w:val="24"/>
        </w:rPr>
        <w:t>率同样</w:t>
      </w:r>
      <w:proofErr w:type="gramEnd"/>
      <w:r w:rsidRPr="0039179A">
        <w:rPr>
          <w:rFonts w:hint="eastAsia"/>
          <w:sz w:val="22"/>
          <w:szCs w:val="24"/>
        </w:rPr>
        <w:t>会下降。如果它的波动率较低，作为优质的成长性公司，他的未来期望价值会吸引金融市场的多头来投资，同时他的看涨期权也会被多头投资者以低价购入。而这些行动会持续的抬升他的期权价值，进而提升它的隐含波动率。在这一列中，经营成本较高的公司具有较差的均值回复能力，并且它的回归系数仅为</w:t>
      </w:r>
      <w:r w:rsidRPr="0039179A">
        <w:rPr>
          <w:sz w:val="22"/>
          <w:szCs w:val="24"/>
        </w:rPr>
        <w:t>2.778</w:t>
      </w:r>
      <w:r w:rsidRPr="0039179A">
        <w:rPr>
          <w:rFonts w:hint="eastAsia"/>
          <w:sz w:val="22"/>
          <w:szCs w:val="24"/>
        </w:rPr>
        <w:t>。如果公司的经营成本过高，那么他未来的发展能力必然会被限制。</w:t>
      </w:r>
    </w:p>
    <w:p w14:paraId="427AADCA" w14:textId="53799D23" w:rsidR="0039179A" w:rsidRPr="0039179A" w:rsidRDefault="0039179A" w:rsidP="0039179A">
      <w:pPr>
        <w:spacing w:line="360" w:lineRule="auto"/>
        <w:ind w:firstLineChars="200" w:firstLine="440"/>
        <w:rPr>
          <w:sz w:val="22"/>
          <w:szCs w:val="24"/>
        </w:rPr>
      </w:pPr>
      <w:r w:rsidRPr="0039179A">
        <w:rPr>
          <w:rFonts w:hint="eastAsia"/>
          <w:sz w:val="22"/>
          <w:szCs w:val="24"/>
        </w:rPr>
        <w:t>而当时间跨度为</w:t>
      </w:r>
      <w:r w:rsidRPr="0039179A">
        <w:rPr>
          <w:sz w:val="22"/>
          <w:szCs w:val="24"/>
        </w:rPr>
        <w:t>30个交易日时</w:t>
      </w:r>
      <w:r w:rsidRPr="0039179A">
        <w:rPr>
          <w:rFonts w:hint="eastAsia"/>
          <w:sz w:val="22"/>
          <w:szCs w:val="24"/>
        </w:rPr>
        <w:t>，波动率均值回复的回归系数相比于</w:t>
      </w:r>
      <w:r w:rsidRPr="0039179A">
        <w:rPr>
          <w:sz w:val="22"/>
          <w:szCs w:val="24"/>
        </w:rPr>
        <w:t>10个交易日时</w:t>
      </w:r>
      <w:r w:rsidRPr="0039179A">
        <w:rPr>
          <w:rFonts w:hint="eastAsia"/>
          <w:sz w:val="22"/>
          <w:szCs w:val="24"/>
        </w:rPr>
        <w:t>显然有所下降。其中现金流量方差的回归系数下降为</w:t>
      </w:r>
      <w:r w:rsidRPr="0039179A">
        <w:rPr>
          <w:sz w:val="22"/>
          <w:szCs w:val="24"/>
        </w:rPr>
        <w:t>2.737</w:t>
      </w:r>
      <w:r w:rsidRPr="0039179A">
        <w:rPr>
          <w:rFonts w:hint="eastAsia"/>
          <w:sz w:val="22"/>
          <w:szCs w:val="24"/>
        </w:rPr>
        <w:t>，而资产的回归系数下降为</w:t>
      </w:r>
      <w:r w:rsidRPr="0039179A">
        <w:rPr>
          <w:sz w:val="22"/>
          <w:szCs w:val="24"/>
        </w:rPr>
        <w:t>3.289</w:t>
      </w:r>
      <w:r w:rsidRPr="0039179A">
        <w:rPr>
          <w:rFonts w:hint="eastAsia"/>
          <w:sz w:val="22"/>
          <w:szCs w:val="24"/>
        </w:rPr>
        <w:t>。由于时间跨度的拉长，进入市场上消息的及时性和有效性不断下降，因此他们对波动率的影响也会有所减弱。但是此时</w:t>
      </w:r>
      <w:r w:rsidR="00187552">
        <w:rPr>
          <w:sz w:val="22"/>
          <w:szCs w:val="24"/>
        </w:rPr>
        <w:t>R</w:t>
      </w:r>
      <w:r w:rsidRPr="0039179A">
        <w:rPr>
          <w:sz w:val="22"/>
          <w:szCs w:val="24"/>
        </w:rPr>
        <w:t>OA的回归系数</w:t>
      </w:r>
      <w:r w:rsidRPr="0039179A">
        <w:rPr>
          <w:rFonts w:hint="eastAsia"/>
          <w:sz w:val="22"/>
          <w:szCs w:val="24"/>
        </w:rPr>
        <w:t>依然在这一列中属于最高值</w:t>
      </w:r>
      <w:r w:rsidRPr="0039179A">
        <w:rPr>
          <w:sz w:val="22"/>
          <w:szCs w:val="24"/>
        </w:rPr>
        <w:t>3.208</w:t>
      </w:r>
      <w:r w:rsidRPr="0039179A">
        <w:rPr>
          <w:rFonts w:hint="eastAsia"/>
          <w:sz w:val="22"/>
          <w:szCs w:val="24"/>
        </w:rPr>
        <w:t>，这说明公司的盈利能力对均值恢复的影响具有较强的稳健性。</w:t>
      </w:r>
    </w:p>
    <w:p w14:paraId="32E402A6" w14:textId="7769EAA8" w:rsidR="00EB68DA" w:rsidRPr="0039179A" w:rsidRDefault="00EB68DA" w:rsidP="0039179A">
      <w:pPr>
        <w:spacing w:line="360" w:lineRule="auto"/>
      </w:pPr>
    </w:p>
    <w:p w14:paraId="59138A6C" w14:textId="5DB246F2" w:rsidR="00EB68DA" w:rsidRDefault="00EB68DA" w:rsidP="00EB68DA"/>
    <w:p w14:paraId="1B589978" w14:textId="3104451F" w:rsidR="00EB68DA" w:rsidRPr="00187552" w:rsidRDefault="00EB68DA" w:rsidP="00EB68DA"/>
    <w:p w14:paraId="0BDC7667" w14:textId="23B7137A" w:rsidR="00EB68DA" w:rsidRDefault="00EB68DA" w:rsidP="00EB68DA"/>
    <w:p w14:paraId="417302CA" w14:textId="743EE68E" w:rsidR="00EB68DA" w:rsidRDefault="00EB68DA" w:rsidP="00EB68DA"/>
    <w:p w14:paraId="2C1FDA5C" w14:textId="5D08D02A" w:rsidR="00EB68DA" w:rsidRDefault="00EB68DA" w:rsidP="00EB68DA"/>
    <w:p w14:paraId="3626C5CF" w14:textId="087F54EB" w:rsidR="00EB68DA" w:rsidRDefault="00EB68DA" w:rsidP="00EB68DA"/>
    <w:p w14:paraId="17E97020" w14:textId="717F2A4D" w:rsidR="00EB68DA" w:rsidRDefault="00EB68DA" w:rsidP="00EB68DA"/>
    <w:p w14:paraId="3686D265" w14:textId="77777777" w:rsidR="00EB68DA" w:rsidRPr="00EB68DA" w:rsidRDefault="00EB68DA" w:rsidP="00EB68DA"/>
    <w:p w14:paraId="3B5028E2" w14:textId="32BCB880" w:rsidR="00472BF3" w:rsidRDefault="00B90876" w:rsidP="00472BF3">
      <w:r>
        <w:rPr>
          <w:rFonts w:hint="eastAsia"/>
        </w:rPr>
        <w:t>此表展示了</w:t>
      </w:r>
    </w:p>
    <w:p w14:paraId="73DD0BB6" w14:textId="021739DC" w:rsidR="00EB68DA" w:rsidRDefault="00EB68DA" w:rsidP="00472BF3"/>
    <w:p w14:paraId="50136066" w14:textId="1265FABB" w:rsidR="00EB68DA" w:rsidRDefault="00EB68DA" w:rsidP="00472BF3"/>
    <w:p w14:paraId="6D50A1F6" w14:textId="496245E4" w:rsidR="00EB68DA" w:rsidRDefault="00EB68DA" w:rsidP="00472BF3"/>
    <w:p w14:paraId="5A20087A" w14:textId="19F2298F" w:rsidR="00EB68DA" w:rsidRDefault="00EB68DA" w:rsidP="00472BF3"/>
    <w:p w14:paraId="7A310260" w14:textId="45351C41" w:rsidR="00EB68DA" w:rsidRDefault="00EB68DA" w:rsidP="00472BF3"/>
    <w:p w14:paraId="2189BB5D" w14:textId="43F8884D" w:rsidR="00EB68DA" w:rsidRDefault="00EB68DA" w:rsidP="00472BF3"/>
    <w:p w14:paraId="7F0D71C6" w14:textId="3FDC0126" w:rsidR="00472BF3" w:rsidRDefault="00472BF3" w:rsidP="00472BF3">
      <w:pPr>
        <w:pStyle w:val="2"/>
        <w:rPr>
          <w:shd w:val="clear" w:color="auto" w:fill="FFFFFF"/>
        </w:rPr>
      </w:pPr>
      <w:r>
        <w:rPr>
          <w:shd w:val="clear" w:color="auto" w:fill="FFFFFF"/>
        </w:rPr>
        <w:t>Probability of volatility</w:t>
      </w:r>
    </w:p>
    <w:p w14:paraId="0C9F693A" w14:textId="0D6AFBA0" w:rsidR="00267511" w:rsidRDefault="00267511" w:rsidP="00E122D4">
      <w:pPr>
        <w:ind w:firstLineChars="200" w:firstLine="420"/>
      </w:pPr>
      <w:r>
        <w:rPr>
          <w:rFonts w:hint="eastAsia"/>
        </w:rPr>
        <w:t>如果波动率的均值回复特征确实存在，那么测量其具体回复概率也很重要。当过去波动率上涨幅度为指定水平时，我们测量了未来的波动率回复至指定程度的发生概率。我们发现，当过去波动率上涨幅度差异较大时，</w:t>
      </w:r>
      <w:r w:rsidR="004639CD">
        <w:rPr>
          <w:rFonts w:hint="eastAsia"/>
        </w:rPr>
        <w:t>未来波动率变化的分布概率具有显著差异。</w:t>
      </w:r>
    </w:p>
    <w:p w14:paraId="1C6D1246" w14:textId="3F188EF2" w:rsidR="00472BF3" w:rsidRDefault="00267511" w:rsidP="00E122D4">
      <w:pPr>
        <w:ind w:firstLineChars="200" w:firstLine="420"/>
        <w:rPr>
          <w:rFonts w:hint="eastAsia"/>
        </w:rPr>
      </w:pPr>
      <w:r>
        <w:rPr>
          <w:rFonts w:hint="eastAsia"/>
        </w:rPr>
        <w:t>如图1所示，我们分别测度了不同过去上涨幅度所对应的未来波动率变化的概率分布图。在左上图中，我们绘制了所有个股期权未来隐含波动率变化的概率分布图。其偏度为-</w:t>
      </w:r>
      <w:r>
        <w:t>0</w:t>
      </w:r>
      <w:r>
        <w:rPr>
          <w:rFonts w:hint="eastAsia"/>
        </w:rPr>
        <w:t>.</w:t>
      </w:r>
      <w:r>
        <w:t>087</w:t>
      </w:r>
      <w:r>
        <w:rPr>
          <w:rFonts w:hint="eastAsia"/>
        </w:rPr>
        <w:t>，接近正态分布的偏度0；而峰度为2</w:t>
      </w:r>
      <w:r>
        <w:t>.882</w:t>
      </w:r>
      <w:r>
        <w:rPr>
          <w:rFonts w:hint="eastAsia"/>
        </w:rPr>
        <w:t>，接近正态分布的3。整体来看，所有的波动率变化分布接近正态分布，几乎不包含有有效信息。</w:t>
      </w:r>
      <w:r w:rsidR="004639CD">
        <w:rPr>
          <w:rFonts w:hint="eastAsia"/>
        </w:rPr>
        <w:t>在右上图中，当过去波动率全部为上涨时，我们绘制了未来波动率变化的分布概率图。相比于前者，该分布图的偏度微涨至-</w:t>
      </w:r>
      <w:r w:rsidR="004639CD">
        <w:t>0.063</w:t>
      </w:r>
      <w:r w:rsidR="004639CD">
        <w:rPr>
          <w:rFonts w:hint="eastAsia"/>
        </w:rPr>
        <w:t>，而峰度微涨至3</w:t>
      </w:r>
      <w:r w:rsidR="004639CD">
        <w:t>.008</w:t>
      </w:r>
      <w:r w:rsidR="004639CD">
        <w:rPr>
          <w:rFonts w:hint="eastAsia"/>
        </w:rPr>
        <w:t>，依然近似于正态分布，无明显有效信息。</w:t>
      </w:r>
      <w:r w:rsidR="00E122D4">
        <w:rPr>
          <w:rFonts w:hint="eastAsia"/>
        </w:rPr>
        <w:t>这意味着过去波动率上涨无法导致未来波动率的回复。由随机波动率模型可知，波动率变化依然服从几何布朗运动，其概率分布为正态分布。在左下图中，当过去波动率上涨幅度超过5</w:t>
      </w:r>
      <w:r w:rsidR="00E122D4">
        <w:t>0%</w:t>
      </w:r>
      <w:r w:rsidR="00E122D4">
        <w:rPr>
          <w:rFonts w:hint="eastAsia"/>
        </w:rPr>
        <w:t>时，未来波动率变化的概率分布已经出现了极明显的变化。其偏度已经变为0</w:t>
      </w:r>
      <w:r w:rsidR="00E122D4">
        <w:t>.066</w:t>
      </w:r>
      <w:r w:rsidR="00E122D4">
        <w:rPr>
          <w:rFonts w:hint="eastAsia"/>
        </w:rPr>
        <w:t>，表现出一定</w:t>
      </w:r>
      <w:proofErr w:type="gramStart"/>
      <w:r w:rsidR="00E122D4">
        <w:rPr>
          <w:rFonts w:hint="eastAsia"/>
        </w:rPr>
        <w:t>的负偏现象</w:t>
      </w:r>
      <w:proofErr w:type="gramEnd"/>
      <w:r w:rsidR="00E122D4">
        <w:rPr>
          <w:rFonts w:hint="eastAsia"/>
        </w:rPr>
        <w:t>，即未来波动率变化为负值的概率更高，这显然符合波动率的均值回复预期；而峰度明显下降为1</w:t>
      </w:r>
      <w:r w:rsidR="00E122D4">
        <w:t>.554</w:t>
      </w:r>
      <w:r w:rsidR="00E122D4">
        <w:rPr>
          <w:rFonts w:hint="eastAsia"/>
        </w:rPr>
        <w:t>，</w:t>
      </w:r>
      <w:proofErr w:type="gramStart"/>
      <w:r w:rsidR="00E122D4">
        <w:rPr>
          <w:rFonts w:hint="eastAsia"/>
        </w:rPr>
        <w:t>呈现出瘦尾</w:t>
      </w:r>
      <w:proofErr w:type="gramEnd"/>
      <w:r w:rsidR="00E122D4">
        <w:rPr>
          <w:rFonts w:hint="eastAsia"/>
        </w:rPr>
        <w:t>特征，这说明出现波动率下降幅度极高的可能性很低。在右下图中，当过去波动率上涨幅度超过6</w:t>
      </w:r>
      <w:r w:rsidR="00E122D4">
        <w:t>0%</w:t>
      </w:r>
      <w:r w:rsidR="00E122D4">
        <w:rPr>
          <w:rFonts w:hint="eastAsia"/>
        </w:rPr>
        <w:t>时，</w:t>
      </w:r>
      <w:r w:rsidR="000343B1">
        <w:rPr>
          <w:rFonts w:hint="eastAsia"/>
        </w:rPr>
        <w:t>概率分布图已经出现非常明显的负偏。</w:t>
      </w:r>
    </w:p>
    <w:p w14:paraId="3E751895" w14:textId="141B7C2E" w:rsidR="00F81A6C" w:rsidRPr="00E6391D" w:rsidRDefault="00E6391D" w:rsidP="00472BF3">
      <w:pPr>
        <w:rPr>
          <w:rFonts w:hint="eastAsia"/>
          <w:color w:val="FF0000"/>
        </w:rPr>
      </w:pPr>
      <w:r w:rsidRPr="00E6391D">
        <w:rPr>
          <w:rFonts w:hint="eastAsia"/>
          <w:color w:val="FF0000"/>
        </w:rPr>
        <w:t>把四个图绘制在同一个大图上</w:t>
      </w:r>
    </w:p>
    <w:p w14:paraId="154381C7" w14:textId="7AF4A119" w:rsidR="00F81A6C" w:rsidRDefault="00187552" w:rsidP="00187552">
      <w:pPr>
        <w:jc w:val="center"/>
      </w:pPr>
      <w:r>
        <w:rPr>
          <w:rFonts w:hint="eastAsia"/>
        </w:rPr>
        <w:t>图1</w:t>
      </w:r>
      <w:r>
        <w:t>.</w:t>
      </w:r>
      <w:r>
        <w:rPr>
          <w:rFonts w:hint="eastAsia"/>
        </w:rPr>
        <w:t>波动率变化概率密度图</w:t>
      </w:r>
      <w:r w:rsidR="00C24F25">
        <w:rPr>
          <w:noProof/>
        </w:rPr>
        <w:drawing>
          <wp:anchor distT="0" distB="0" distL="114300" distR="114300" simplePos="0" relativeHeight="251661824" behindDoc="0" locked="0" layoutInCell="1" allowOverlap="1" wp14:anchorId="6D9D86BC" wp14:editId="6E5C6E6A">
            <wp:simplePos x="0" y="0"/>
            <wp:positionH relativeFrom="column">
              <wp:posOffset>2585176</wp:posOffset>
            </wp:positionH>
            <wp:positionV relativeFrom="paragraph">
              <wp:posOffset>148863</wp:posOffset>
            </wp:positionV>
            <wp:extent cx="2612572" cy="2064158"/>
            <wp:effectExtent l="0" t="0" r="0" b="0"/>
            <wp:wrapNone/>
            <wp:docPr id="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直方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2572" cy="2064158"/>
                    </a:xfrm>
                    <a:prstGeom prst="rect">
                      <a:avLst/>
                    </a:prstGeom>
                  </pic:spPr>
                </pic:pic>
              </a:graphicData>
            </a:graphic>
            <wp14:sizeRelH relativeFrom="page">
              <wp14:pctWidth>0</wp14:pctWidth>
            </wp14:sizeRelH>
            <wp14:sizeRelV relativeFrom="page">
              <wp14:pctHeight>0</wp14:pctHeight>
            </wp14:sizeRelV>
          </wp:anchor>
        </w:drawing>
      </w:r>
      <w:r w:rsidR="00C24F25">
        <w:rPr>
          <w:noProof/>
        </w:rPr>
        <w:drawing>
          <wp:anchor distT="0" distB="0" distL="114300" distR="114300" simplePos="0" relativeHeight="251663872" behindDoc="0" locked="0" layoutInCell="1" allowOverlap="1" wp14:anchorId="21C62D7C" wp14:editId="7A8338F9">
            <wp:simplePos x="0" y="0"/>
            <wp:positionH relativeFrom="column">
              <wp:posOffset>-27759</wp:posOffset>
            </wp:positionH>
            <wp:positionV relativeFrom="paragraph">
              <wp:posOffset>150858</wp:posOffset>
            </wp:positionV>
            <wp:extent cx="2564724" cy="2013857"/>
            <wp:effectExtent l="0" t="0" r="0" b="0"/>
            <wp:wrapNone/>
            <wp:docPr id="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直方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4724" cy="2013857"/>
                    </a:xfrm>
                    <a:prstGeom prst="rect">
                      <a:avLst/>
                    </a:prstGeom>
                  </pic:spPr>
                </pic:pic>
              </a:graphicData>
            </a:graphic>
            <wp14:sizeRelH relativeFrom="page">
              <wp14:pctWidth>0</wp14:pctWidth>
            </wp14:sizeRelH>
            <wp14:sizeRelV relativeFrom="page">
              <wp14:pctHeight>0</wp14:pctHeight>
            </wp14:sizeRelV>
          </wp:anchor>
        </w:drawing>
      </w:r>
    </w:p>
    <w:p w14:paraId="0FC61AAF" w14:textId="3996DFE4" w:rsidR="00F81A6C" w:rsidRDefault="00F81A6C" w:rsidP="00472BF3"/>
    <w:p w14:paraId="482332A5" w14:textId="14D13401" w:rsidR="00F81A6C" w:rsidRDefault="00F81A6C" w:rsidP="00472BF3"/>
    <w:p w14:paraId="7B1AFD36" w14:textId="199CB725" w:rsidR="00F81A6C" w:rsidRDefault="00F81A6C" w:rsidP="00472BF3"/>
    <w:p w14:paraId="6908C32D" w14:textId="4AC0BE9E" w:rsidR="00F81A6C" w:rsidRDefault="00F81A6C" w:rsidP="00472BF3"/>
    <w:p w14:paraId="4BFB3829" w14:textId="11BF511F" w:rsidR="00F81A6C" w:rsidRDefault="00F81A6C" w:rsidP="00472BF3"/>
    <w:p w14:paraId="2E6AF8AA" w14:textId="3A068E2A" w:rsidR="00F81A6C" w:rsidRDefault="00F81A6C" w:rsidP="00472BF3"/>
    <w:p w14:paraId="19883480" w14:textId="251CA81C" w:rsidR="00F81A6C" w:rsidRDefault="00F81A6C" w:rsidP="00472BF3"/>
    <w:p w14:paraId="1A2DFAB7" w14:textId="70F80223" w:rsidR="00F81A6C" w:rsidRDefault="00F81A6C" w:rsidP="00472BF3"/>
    <w:p w14:paraId="7576F9BD" w14:textId="7057BFC5" w:rsidR="00F81A6C" w:rsidRDefault="00F81A6C" w:rsidP="00472BF3"/>
    <w:p w14:paraId="2F0CFBA7" w14:textId="6F48E6DE" w:rsidR="00C24F25" w:rsidRDefault="00C24F25" w:rsidP="00472BF3">
      <w:pPr>
        <w:rPr>
          <w:rFonts w:hint="eastAsia"/>
          <w:noProof/>
        </w:rPr>
      </w:pPr>
    </w:p>
    <w:p w14:paraId="7E593A3B" w14:textId="36E0E415" w:rsidR="00C24F25" w:rsidRDefault="00C24F25" w:rsidP="00472BF3">
      <w:pPr>
        <w:rPr>
          <w:noProof/>
        </w:rPr>
      </w:pPr>
      <w:r>
        <w:rPr>
          <w:noProof/>
        </w:rPr>
        <w:drawing>
          <wp:inline distT="0" distB="0" distL="0" distR="0" wp14:anchorId="3861CE3A" wp14:editId="43B7636D">
            <wp:extent cx="2585720" cy="2157361"/>
            <wp:effectExtent l="0" t="0" r="0" b="0"/>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14"/>
                    <a:stretch>
                      <a:fillRect/>
                    </a:stretch>
                  </pic:blipFill>
                  <pic:spPr>
                    <a:xfrm>
                      <a:off x="0" y="0"/>
                      <a:ext cx="2611275" cy="2178683"/>
                    </a:xfrm>
                    <a:prstGeom prst="rect">
                      <a:avLst/>
                    </a:prstGeom>
                  </pic:spPr>
                </pic:pic>
              </a:graphicData>
            </a:graphic>
          </wp:inline>
        </w:drawing>
      </w:r>
      <w:r>
        <w:rPr>
          <w:noProof/>
        </w:rPr>
        <w:drawing>
          <wp:inline distT="0" distB="0" distL="0" distR="0" wp14:anchorId="6C9AC5D4" wp14:editId="08A44BCE">
            <wp:extent cx="2586037" cy="2086949"/>
            <wp:effectExtent l="0" t="0" r="0"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15"/>
                    <a:stretch>
                      <a:fillRect/>
                    </a:stretch>
                  </pic:blipFill>
                  <pic:spPr>
                    <a:xfrm>
                      <a:off x="0" y="0"/>
                      <a:ext cx="2657805" cy="2144866"/>
                    </a:xfrm>
                    <a:prstGeom prst="rect">
                      <a:avLst/>
                    </a:prstGeom>
                  </pic:spPr>
                </pic:pic>
              </a:graphicData>
            </a:graphic>
          </wp:inline>
        </w:drawing>
      </w:r>
    </w:p>
    <w:p w14:paraId="79183369" w14:textId="03765C2B" w:rsidR="00F81A6C" w:rsidRDefault="00F81A6C" w:rsidP="00472BF3"/>
    <w:p w14:paraId="6EBA7ED0" w14:textId="039FDD50" w:rsidR="00267511" w:rsidRDefault="00267511" w:rsidP="00472BF3"/>
    <w:p w14:paraId="26FA0155" w14:textId="79D5EF5E" w:rsidR="00267511" w:rsidRDefault="000343B1" w:rsidP="00472BF3">
      <w:r>
        <w:rPr>
          <w:rFonts w:hint="eastAsia"/>
        </w:rPr>
        <w:lastRenderedPageBreak/>
        <w:t>偏度明显上升至</w:t>
      </w:r>
      <w:r>
        <w:t>0.153</w:t>
      </w:r>
      <w:r>
        <w:rPr>
          <w:rFonts w:hint="eastAsia"/>
        </w:rPr>
        <w:t>，这说明此时未来的波动率上涨已经有极大概率呈现负值；而峰度仅仅变化为1</w:t>
      </w:r>
      <w:r>
        <w:t>.627</w:t>
      </w:r>
      <w:r>
        <w:rPr>
          <w:rFonts w:hint="eastAsia"/>
        </w:rPr>
        <w:t>，变化幅度较小。</w:t>
      </w:r>
    </w:p>
    <w:p w14:paraId="2428172D" w14:textId="59AFF0DF" w:rsidR="000343B1" w:rsidRDefault="000343B1" w:rsidP="00472BF3">
      <w:pPr>
        <w:rPr>
          <w:rFonts w:hint="eastAsia"/>
        </w:rPr>
      </w:pPr>
      <w:r>
        <w:rPr>
          <w:rFonts w:hint="eastAsia"/>
        </w:rPr>
        <w:t>我们将过去波动率上涨幅度从0至1的1</w:t>
      </w:r>
      <w:r>
        <w:t>0</w:t>
      </w:r>
      <w:r>
        <w:rPr>
          <w:rFonts w:hint="eastAsia"/>
        </w:rPr>
        <w:t>个</w:t>
      </w:r>
      <w:proofErr w:type="gramStart"/>
      <w:r>
        <w:rPr>
          <w:rFonts w:hint="eastAsia"/>
        </w:rPr>
        <w:t>分位置</w:t>
      </w:r>
      <w:proofErr w:type="gramEnd"/>
      <w:r>
        <w:rPr>
          <w:rFonts w:hint="eastAsia"/>
        </w:rPr>
        <w:t>所对应的未来波动率变化所对应的概率分布特征进行详细计算，如表2所示。</w:t>
      </w:r>
    </w:p>
    <w:p w14:paraId="49D284D0" w14:textId="6B505268" w:rsidR="00535CB3" w:rsidRDefault="00535CB3" w:rsidP="00267511">
      <w:pPr>
        <w:jc w:val="center"/>
        <w:rPr>
          <w:rFonts w:hint="eastAsia"/>
        </w:rPr>
      </w:pPr>
      <w:r>
        <w:rPr>
          <w:rFonts w:hint="eastAsia"/>
        </w:rPr>
        <w:t>表2</w:t>
      </w:r>
      <w:r>
        <w:t xml:space="preserve">. </w:t>
      </w:r>
      <w:r w:rsidR="00267511">
        <w:rPr>
          <w:rFonts w:hint="eastAsia"/>
        </w:rPr>
        <w:t>未来波动率变化的概率分布统计</w:t>
      </w:r>
    </w:p>
    <w:tbl>
      <w:tblPr>
        <w:tblW w:w="7370" w:type="dxa"/>
        <w:jc w:val="center"/>
        <w:tblBorders>
          <w:top w:val="single" w:sz="4" w:space="0" w:color="auto"/>
          <w:bottom w:val="single" w:sz="4" w:space="0" w:color="auto"/>
        </w:tblBorders>
        <w:tblLook w:val="04A0" w:firstRow="1" w:lastRow="0" w:firstColumn="1" w:lastColumn="0" w:noHBand="0" w:noVBand="1"/>
      </w:tblPr>
      <w:tblGrid>
        <w:gridCol w:w="1474"/>
        <w:gridCol w:w="1474"/>
        <w:gridCol w:w="1474"/>
        <w:gridCol w:w="1474"/>
        <w:gridCol w:w="1474"/>
      </w:tblGrid>
      <w:tr w:rsidR="00535CB3" w:rsidRPr="00535CB3" w14:paraId="76EE5E36" w14:textId="77777777" w:rsidTr="004639CD">
        <w:trPr>
          <w:trHeight w:val="276"/>
          <w:jc w:val="center"/>
        </w:trPr>
        <w:tc>
          <w:tcPr>
            <w:tcW w:w="1474" w:type="dxa"/>
            <w:tcBorders>
              <w:top w:val="single" w:sz="4" w:space="0" w:color="auto"/>
              <w:bottom w:val="single" w:sz="4" w:space="0" w:color="auto"/>
            </w:tcBorders>
            <w:shd w:val="clear" w:color="auto" w:fill="auto"/>
            <w:noWrap/>
            <w:vAlign w:val="center"/>
            <w:hideMark/>
          </w:tcPr>
          <w:p w14:paraId="2AF7C57B" w14:textId="767BE18B" w:rsidR="00535CB3" w:rsidRPr="00535CB3" w:rsidRDefault="000343B1" w:rsidP="00535CB3">
            <w:pPr>
              <w:widowControl/>
              <w:jc w:val="center"/>
              <w:rPr>
                <w:rFonts w:ascii="等线" w:eastAsia="等线" w:hAnsi="等线" w:cs="宋体"/>
                <w:color w:val="000000"/>
                <w:kern w:val="0"/>
                <w:sz w:val="22"/>
              </w:rPr>
            </w:pPr>
            <w:proofErr w:type="spellStart"/>
            <w:r w:rsidRPr="00535CB3">
              <w:rPr>
                <w:rFonts w:ascii="等线" w:eastAsia="等线" w:hAnsi="等线" w:cs="宋体"/>
                <w:color w:val="000000"/>
                <w:kern w:val="0"/>
                <w:sz w:val="22"/>
              </w:rPr>
              <w:t>C</w:t>
            </w:r>
            <w:r w:rsidR="00535CB3" w:rsidRPr="00535CB3">
              <w:rPr>
                <w:rFonts w:ascii="等线" w:eastAsia="等线" w:hAnsi="等线" w:cs="宋体" w:hint="eastAsia"/>
                <w:color w:val="000000"/>
                <w:kern w:val="0"/>
                <w:sz w:val="22"/>
              </w:rPr>
              <w:t>rireion</w:t>
            </w:r>
            <w:proofErr w:type="spellEnd"/>
          </w:p>
        </w:tc>
        <w:tc>
          <w:tcPr>
            <w:tcW w:w="1474" w:type="dxa"/>
            <w:tcBorders>
              <w:top w:val="single" w:sz="4" w:space="0" w:color="auto"/>
              <w:bottom w:val="single" w:sz="4" w:space="0" w:color="auto"/>
            </w:tcBorders>
            <w:shd w:val="clear" w:color="auto" w:fill="auto"/>
            <w:noWrap/>
            <w:vAlign w:val="center"/>
            <w:hideMark/>
          </w:tcPr>
          <w:p w14:paraId="7E5FCDBF" w14:textId="0CF858DA" w:rsidR="00535CB3" w:rsidRPr="00535CB3" w:rsidRDefault="004639CD" w:rsidP="00535CB3">
            <w:pPr>
              <w:widowControl/>
              <w:jc w:val="center"/>
              <w:rPr>
                <w:rFonts w:ascii="等线" w:eastAsia="等线" w:hAnsi="等线" w:cs="宋体" w:hint="eastAsia"/>
                <w:color w:val="000000"/>
                <w:kern w:val="0"/>
                <w:sz w:val="22"/>
              </w:rPr>
            </w:pPr>
            <w:r w:rsidRPr="00535CB3">
              <w:rPr>
                <w:rFonts w:ascii="等线" w:eastAsia="等线" w:hAnsi="等线" w:cs="宋体"/>
                <w:color w:val="000000"/>
                <w:kern w:val="0"/>
                <w:sz w:val="22"/>
              </w:rPr>
              <w:t>M</w:t>
            </w:r>
            <w:r w:rsidR="00535CB3" w:rsidRPr="00535CB3">
              <w:rPr>
                <w:rFonts w:ascii="等线" w:eastAsia="等线" w:hAnsi="等线" w:cs="宋体" w:hint="eastAsia"/>
                <w:color w:val="000000"/>
                <w:kern w:val="0"/>
                <w:sz w:val="22"/>
              </w:rPr>
              <w:t>ean</w:t>
            </w:r>
          </w:p>
        </w:tc>
        <w:tc>
          <w:tcPr>
            <w:tcW w:w="1474" w:type="dxa"/>
            <w:tcBorders>
              <w:top w:val="single" w:sz="4" w:space="0" w:color="auto"/>
              <w:bottom w:val="single" w:sz="4" w:space="0" w:color="auto"/>
            </w:tcBorders>
            <w:shd w:val="clear" w:color="auto" w:fill="auto"/>
            <w:noWrap/>
            <w:vAlign w:val="center"/>
            <w:hideMark/>
          </w:tcPr>
          <w:p w14:paraId="3C6513AF"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std</w:t>
            </w:r>
          </w:p>
        </w:tc>
        <w:tc>
          <w:tcPr>
            <w:tcW w:w="1474" w:type="dxa"/>
            <w:tcBorders>
              <w:top w:val="single" w:sz="4" w:space="0" w:color="auto"/>
              <w:bottom w:val="single" w:sz="4" w:space="0" w:color="auto"/>
            </w:tcBorders>
            <w:shd w:val="clear" w:color="auto" w:fill="auto"/>
            <w:noWrap/>
            <w:vAlign w:val="center"/>
            <w:hideMark/>
          </w:tcPr>
          <w:p w14:paraId="0CB0E30A"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skew</w:t>
            </w:r>
          </w:p>
        </w:tc>
        <w:tc>
          <w:tcPr>
            <w:tcW w:w="1474" w:type="dxa"/>
            <w:tcBorders>
              <w:top w:val="single" w:sz="4" w:space="0" w:color="auto"/>
              <w:bottom w:val="single" w:sz="4" w:space="0" w:color="auto"/>
            </w:tcBorders>
            <w:shd w:val="clear" w:color="auto" w:fill="auto"/>
            <w:noWrap/>
            <w:vAlign w:val="center"/>
            <w:hideMark/>
          </w:tcPr>
          <w:p w14:paraId="7902AE87" w14:textId="10B0CB34" w:rsidR="00535CB3" w:rsidRPr="00535CB3" w:rsidRDefault="000343B1" w:rsidP="00535CB3">
            <w:pPr>
              <w:widowControl/>
              <w:jc w:val="center"/>
              <w:rPr>
                <w:rFonts w:ascii="等线" w:eastAsia="等线" w:hAnsi="等线" w:cs="宋体" w:hint="eastAsia"/>
                <w:color w:val="000000"/>
                <w:kern w:val="0"/>
                <w:sz w:val="22"/>
              </w:rPr>
            </w:pPr>
            <w:r w:rsidRPr="00535CB3">
              <w:rPr>
                <w:rFonts w:ascii="等线" w:eastAsia="等线" w:hAnsi="等线" w:cs="宋体"/>
                <w:color w:val="000000"/>
                <w:kern w:val="0"/>
                <w:sz w:val="22"/>
              </w:rPr>
              <w:t>K</w:t>
            </w:r>
            <w:r w:rsidR="00535CB3" w:rsidRPr="00535CB3">
              <w:rPr>
                <w:rFonts w:ascii="等线" w:eastAsia="等线" w:hAnsi="等线" w:cs="宋体" w:hint="eastAsia"/>
                <w:color w:val="000000"/>
                <w:kern w:val="0"/>
                <w:sz w:val="22"/>
              </w:rPr>
              <w:t>urt</w:t>
            </w:r>
          </w:p>
        </w:tc>
      </w:tr>
      <w:tr w:rsidR="00535CB3" w:rsidRPr="00535CB3" w14:paraId="3F4ABA71" w14:textId="77777777" w:rsidTr="004639CD">
        <w:trPr>
          <w:trHeight w:val="276"/>
          <w:jc w:val="center"/>
        </w:trPr>
        <w:tc>
          <w:tcPr>
            <w:tcW w:w="1474" w:type="dxa"/>
            <w:tcBorders>
              <w:top w:val="single" w:sz="4" w:space="0" w:color="auto"/>
            </w:tcBorders>
            <w:shd w:val="clear" w:color="auto" w:fill="auto"/>
            <w:noWrap/>
            <w:vAlign w:val="center"/>
            <w:hideMark/>
          </w:tcPr>
          <w:p w14:paraId="31A1307C"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w:t>
            </w:r>
          </w:p>
        </w:tc>
        <w:tc>
          <w:tcPr>
            <w:tcW w:w="1474" w:type="dxa"/>
            <w:tcBorders>
              <w:top w:val="single" w:sz="4" w:space="0" w:color="auto"/>
            </w:tcBorders>
            <w:shd w:val="clear" w:color="auto" w:fill="auto"/>
            <w:noWrap/>
            <w:vAlign w:val="center"/>
            <w:hideMark/>
          </w:tcPr>
          <w:p w14:paraId="0FCDCA0F"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-0.067</w:t>
            </w:r>
          </w:p>
        </w:tc>
        <w:tc>
          <w:tcPr>
            <w:tcW w:w="1474" w:type="dxa"/>
            <w:tcBorders>
              <w:top w:val="single" w:sz="4" w:space="0" w:color="auto"/>
            </w:tcBorders>
            <w:shd w:val="clear" w:color="auto" w:fill="auto"/>
            <w:noWrap/>
            <w:vAlign w:val="center"/>
            <w:hideMark/>
          </w:tcPr>
          <w:p w14:paraId="64CD6016"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0.281</w:t>
            </w:r>
          </w:p>
        </w:tc>
        <w:tc>
          <w:tcPr>
            <w:tcW w:w="1474" w:type="dxa"/>
            <w:tcBorders>
              <w:top w:val="single" w:sz="4" w:space="0" w:color="auto"/>
            </w:tcBorders>
            <w:shd w:val="clear" w:color="auto" w:fill="auto"/>
            <w:noWrap/>
            <w:vAlign w:val="center"/>
            <w:hideMark/>
          </w:tcPr>
          <w:p w14:paraId="35EC2680"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-0.063</w:t>
            </w:r>
          </w:p>
        </w:tc>
        <w:tc>
          <w:tcPr>
            <w:tcW w:w="1474" w:type="dxa"/>
            <w:tcBorders>
              <w:top w:val="single" w:sz="4" w:space="0" w:color="auto"/>
            </w:tcBorders>
            <w:shd w:val="clear" w:color="auto" w:fill="auto"/>
            <w:noWrap/>
            <w:vAlign w:val="center"/>
            <w:hideMark/>
          </w:tcPr>
          <w:p w14:paraId="3F8DD5AA"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3.008</w:t>
            </w:r>
          </w:p>
        </w:tc>
      </w:tr>
      <w:tr w:rsidR="00535CB3" w:rsidRPr="00535CB3" w14:paraId="4CAD671B" w14:textId="77777777" w:rsidTr="004639CD">
        <w:trPr>
          <w:trHeight w:val="276"/>
          <w:jc w:val="center"/>
        </w:trPr>
        <w:tc>
          <w:tcPr>
            <w:tcW w:w="1474" w:type="dxa"/>
            <w:shd w:val="clear" w:color="auto" w:fill="auto"/>
            <w:noWrap/>
            <w:vAlign w:val="center"/>
            <w:hideMark/>
          </w:tcPr>
          <w:p w14:paraId="30DF592B"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0.1</w:t>
            </w:r>
          </w:p>
        </w:tc>
        <w:tc>
          <w:tcPr>
            <w:tcW w:w="1474" w:type="dxa"/>
            <w:shd w:val="clear" w:color="auto" w:fill="auto"/>
            <w:noWrap/>
            <w:vAlign w:val="center"/>
            <w:hideMark/>
          </w:tcPr>
          <w:p w14:paraId="036C917A"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-0.091</w:t>
            </w:r>
          </w:p>
        </w:tc>
        <w:tc>
          <w:tcPr>
            <w:tcW w:w="1474" w:type="dxa"/>
            <w:shd w:val="clear" w:color="auto" w:fill="auto"/>
            <w:noWrap/>
            <w:vAlign w:val="center"/>
            <w:hideMark/>
          </w:tcPr>
          <w:p w14:paraId="7715BA67"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0.298</w:t>
            </w:r>
          </w:p>
        </w:tc>
        <w:tc>
          <w:tcPr>
            <w:tcW w:w="1474" w:type="dxa"/>
            <w:shd w:val="clear" w:color="auto" w:fill="auto"/>
            <w:noWrap/>
            <w:vAlign w:val="center"/>
            <w:hideMark/>
          </w:tcPr>
          <w:p w14:paraId="179CED64"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-0.066</w:t>
            </w:r>
          </w:p>
        </w:tc>
        <w:tc>
          <w:tcPr>
            <w:tcW w:w="1474" w:type="dxa"/>
            <w:shd w:val="clear" w:color="auto" w:fill="auto"/>
            <w:noWrap/>
            <w:vAlign w:val="center"/>
            <w:hideMark/>
          </w:tcPr>
          <w:p w14:paraId="7A4BE56C"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2.608</w:t>
            </w:r>
          </w:p>
        </w:tc>
      </w:tr>
      <w:tr w:rsidR="00535CB3" w:rsidRPr="00535CB3" w14:paraId="2B8340EE" w14:textId="77777777" w:rsidTr="004639CD">
        <w:trPr>
          <w:trHeight w:val="276"/>
          <w:jc w:val="center"/>
        </w:trPr>
        <w:tc>
          <w:tcPr>
            <w:tcW w:w="1474" w:type="dxa"/>
            <w:shd w:val="clear" w:color="auto" w:fill="auto"/>
            <w:noWrap/>
            <w:vAlign w:val="center"/>
            <w:hideMark/>
          </w:tcPr>
          <w:p w14:paraId="33594EDA"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0.2</w:t>
            </w:r>
          </w:p>
        </w:tc>
        <w:tc>
          <w:tcPr>
            <w:tcW w:w="1474" w:type="dxa"/>
            <w:shd w:val="clear" w:color="auto" w:fill="auto"/>
            <w:noWrap/>
            <w:vAlign w:val="center"/>
            <w:hideMark/>
          </w:tcPr>
          <w:p w14:paraId="0432C516"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-0.116</w:t>
            </w:r>
          </w:p>
        </w:tc>
        <w:tc>
          <w:tcPr>
            <w:tcW w:w="1474" w:type="dxa"/>
            <w:shd w:val="clear" w:color="auto" w:fill="auto"/>
            <w:noWrap/>
            <w:vAlign w:val="center"/>
            <w:hideMark/>
          </w:tcPr>
          <w:p w14:paraId="2ABF7FD6"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0.315</w:t>
            </w:r>
          </w:p>
        </w:tc>
        <w:tc>
          <w:tcPr>
            <w:tcW w:w="1474" w:type="dxa"/>
            <w:shd w:val="clear" w:color="auto" w:fill="auto"/>
            <w:noWrap/>
            <w:vAlign w:val="center"/>
            <w:hideMark/>
          </w:tcPr>
          <w:p w14:paraId="0F97F9FB"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-0.078</w:t>
            </w:r>
          </w:p>
        </w:tc>
        <w:tc>
          <w:tcPr>
            <w:tcW w:w="1474" w:type="dxa"/>
            <w:shd w:val="clear" w:color="auto" w:fill="auto"/>
            <w:noWrap/>
            <w:vAlign w:val="center"/>
            <w:hideMark/>
          </w:tcPr>
          <w:p w14:paraId="545DBF5D"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2.074</w:t>
            </w:r>
          </w:p>
        </w:tc>
      </w:tr>
      <w:tr w:rsidR="00535CB3" w:rsidRPr="00535CB3" w14:paraId="6845177D" w14:textId="77777777" w:rsidTr="004639CD">
        <w:trPr>
          <w:trHeight w:val="276"/>
          <w:jc w:val="center"/>
        </w:trPr>
        <w:tc>
          <w:tcPr>
            <w:tcW w:w="1474" w:type="dxa"/>
            <w:shd w:val="clear" w:color="auto" w:fill="auto"/>
            <w:noWrap/>
            <w:vAlign w:val="center"/>
            <w:hideMark/>
          </w:tcPr>
          <w:p w14:paraId="655EC4BF"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0.3</w:t>
            </w:r>
          </w:p>
        </w:tc>
        <w:tc>
          <w:tcPr>
            <w:tcW w:w="1474" w:type="dxa"/>
            <w:shd w:val="clear" w:color="auto" w:fill="auto"/>
            <w:noWrap/>
            <w:vAlign w:val="center"/>
            <w:hideMark/>
          </w:tcPr>
          <w:p w14:paraId="7FAECEDD"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-0.138</w:t>
            </w:r>
          </w:p>
        </w:tc>
        <w:tc>
          <w:tcPr>
            <w:tcW w:w="1474" w:type="dxa"/>
            <w:shd w:val="clear" w:color="auto" w:fill="auto"/>
            <w:noWrap/>
            <w:vAlign w:val="center"/>
            <w:hideMark/>
          </w:tcPr>
          <w:p w14:paraId="704301AC"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0.329</w:t>
            </w:r>
          </w:p>
        </w:tc>
        <w:tc>
          <w:tcPr>
            <w:tcW w:w="1474" w:type="dxa"/>
            <w:shd w:val="clear" w:color="auto" w:fill="auto"/>
            <w:noWrap/>
            <w:vAlign w:val="center"/>
            <w:hideMark/>
          </w:tcPr>
          <w:p w14:paraId="55A41A65"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-0.074</w:t>
            </w:r>
          </w:p>
        </w:tc>
        <w:tc>
          <w:tcPr>
            <w:tcW w:w="1474" w:type="dxa"/>
            <w:shd w:val="clear" w:color="auto" w:fill="auto"/>
            <w:noWrap/>
            <w:vAlign w:val="center"/>
            <w:hideMark/>
          </w:tcPr>
          <w:p w14:paraId="139578B9"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1.785</w:t>
            </w:r>
          </w:p>
        </w:tc>
      </w:tr>
      <w:tr w:rsidR="00535CB3" w:rsidRPr="00535CB3" w14:paraId="7EA2141A" w14:textId="77777777" w:rsidTr="004639CD">
        <w:trPr>
          <w:trHeight w:val="276"/>
          <w:jc w:val="center"/>
        </w:trPr>
        <w:tc>
          <w:tcPr>
            <w:tcW w:w="1474" w:type="dxa"/>
            <w:shd w:val="clear" w:color="auto" w:fill="auto"/>
            <w:noWrap/>
            <w:vAlign w:val="center"/>
            <w:hideMark/>
          </w:tcPr>
          <w:p w14:paraId="3DA2FEC9"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0.4</w:t>
            </w:r>
          </w:p>
        </w:tc>
        <w:tc>
          <w:tcPr>
            <w:tcW w:w="1474" w:type="dxa"/>
            <w:shd w:val="clear" w:color="auto" w:fill="auto"/>
            <w:noWrap/>
            <w:vAlign w:val="center"/>
            <w:hideMark/>
          </w:tcPr>
          <w:p w14:paraId="31153FD5"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-0.157</w:t>
            </w:r>
          </w:p>
        </w:tc>
        <w:tc>
          <w:tcPr>
            <w:tcW w:w="1474" w:type="dxa"/>
            <w:shd w:val="clear" w:color="auto" w:fill="auto"/>
            <w:noWrap/>
            <w:vAlign w:val="center"/>
            <w:hideMark/>
          </w:tcPr>
          <w:p w14:paraId="173EADEA"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0.339</w:t>
            </w:r>
          </w:p>
        </w:tc>
        <w:tc>
          <w:tcPr>
            <w:tcW w:w="1474" w:type="dxa"/>
            <w:shd w:val="clear" w:color="auto" w:fill="auto"/>
            <w:noWrap/>
            <w:vAlign w:val="center"/>
            <w:hideMark/>
          </w:tcPr>
          <w:p w14:paraId="5AA2B42F"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-0.009</w:t>
            </w:r>
          </w:p>
        </w:tc>
        <w:tc>
          <w:tcPr>
            <w:tcW w:w="1474" w:type="dxa"/>
            <w:shd w:val="clear" w:color="auto" w:fill="auto"/>
            <w:noWrap/>
            <w:vAlign w:val="center"/>
            <w:hideMark/>
          </w:tcPr>
          <w:p w14:paraId="2EE76889"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1.582</w:t>
            </w:r>
          </w:p>
        </w:tc>
      </w:tr>
      <w:tr w:rsidR="00535CB3" w:rsidRPr="00535CB3" w14:paraId="206E174E" w14:textId="77777777" w:rsidTr="004639CD">
        <w:trPr>
          <w:trHeight w:val="276"/>
          <w:jc w:val="center"/>
        </w:trPr>
        <w:tc>
          <w:tcPr>
            <w:tcW w:w="1474" w:type="dxa"/>
            <w:shd w:val="clear" w:color="auto" w:fill="auto"/>
            <w:noWrap/>
            <w:vAlign w:val="center"/>
            <w:hideMark/>
          </w:tcPr>
          <w:p w14:paraId="2AEA1C76"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0.5</w:t>
            </w:r>
          </w:p>
        </w:tc>
        <w:tc>
          <w:tcPr>
            <w:tcW w:w="1474" w:type="dxa"/>
            <w:shd w:val="clear" w:color="auto" w:fill="auto"/>
            <w:noWrap/>
            <w:vAlign w:val="center"/>
            <w:hideMark/>
          </w:tcPr>
          <w:p w14:paraId="7252ADCF"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-0.175</w:t>
            </w:r>
          </w:p>
        </w:tc>
        <w:tc>
          <w:tcPr>
            <w:tcW w:w="1474" w:type="dxa"/>
            <w:shd w:val="clear" w:color="auto" w:fill="auto"/>
            <w:noWrap/>
            <w:vAlign w:val="center"/>
            <w:hideMark/>
          </w:tcPr>
          <w:p w14:paraId="68E2E152"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0.348</w:t>
            </w:r>
          </w:p>
        </w:tc>
        <w:tc>
          <w:tcPr>
            <w:tcW w:w="1474" w:type="dxa"/>
            <w:shd w:val="clear" w:color="auto" w:fill="auto"/>
            <w:noWrap/>
            <w:vAlign w:val="center"/>
            <w:hideMark/>
          </w:tcPr>
          <w:p w14:paraId="62EB0232"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0.066</w:t>
            </w:r>
          </w:p>
        </w:tc>
        <w:tc>
          <w:tcPr>
            <w:tcW w:w="1474" w:type="dxa"/>
            <w:shd w:val="clear" w:color="auto" w:fill="auto"/>
            <w:noWrap/>
            <w:vAlign w:val="center"/>
            <w:hideMark/>
          </w:tcPr>
          <w:p w14:paraId="6CC01838"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1.554</w:t>
            </w:r>
          </w:p>
        </w:tc>
      </w:tr>
      <w:tr w:rsidR="00535CB3" w:rsidRPr="00535CB3" w14:paraId="4181B3E7" w14:textId="77777777" w:rsidTr="004639CD">
        <w:trPr>
          <w:trHeight w:val="276"/>
          <w:jc w:val="center"/>
        </w:trPr>
        <w:tc>
          <w:tcPr>
            <w:tcW w:w="1474" w:type="dxa"/>
            <w:shd w:val="clear" w:color="auto" w:fill="auto"/>
            <w:noWrap/>
            <w:vAlign w:val="center"/>
            <w:hideMark/>
          </w:tcPr>
          <w:p w14:paraId="3A80C1A9"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0.6</w:t>
            </w:r>
          </w:p>
        </w:tc>
        <w:tc>
          <w:tcPr>
            <w:tcW w:w="1474" w:type="dxa"/>
            <w:shd w:val="clear" w:color="auto" w:fill="auto"/>
            <w:noWrap/>
            <w:vAlign w:val="center"/>
            <w:hideMark/>
          </w:tcPr>
          <w:p w14:paraId="78923E51"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-0.191</w:t>
            </w:r>
          </w:p>
        </w:tc>
        <w:tc>
          <w:tcPr>
            <w:tcW w:w="1474" w:type="dxa"/>
            <w:shd w:val="clear" w:color="auto" w:fill="auto"/>
            <w:noWrap/>
            <w:vAlign w:val="center"/>
            <w:hideMark/>
          </w:tcPr>
          <w:p w14:paraId="1D6DA609"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0.354</w:t>
            </w:r>
          </w:p>
        </w:tc>
        <w:tc>
          <w:tcPr>
            <w:tcW w:w="1474" w:type="dxa"/>
            <w:shd w:val="clear" w:color="auto" w:fill="auto"/>
            <w:noWrap/>
            <w:vAlign w:val="center"/>
            <w:hideMark/>
          </w:tcPr>
          <w:p w14:paraId="12875D72"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0.153</w:t>
            </w:r>
          </w:p>
        </w:tc>
        <w:tc>
          <w:tcPr>
            <w:tcW w:w="1474" w:type="dxa"/>
            <w:shd w:val="clear" w:color="auto" w:fill="auto"/>
            <w:noWrap/>
            <w:vAlign w:val="center"/>
            <w:hideMark/>
          </w:tcPr>
          <w:p w14:paraId="6E189E66"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1.627</w:t>
            </w:r>
          </w:p>
        </w:tc>
      </w:tr>
      <w:tr w:rsidR="00535CB3" w:rsidRPr="00535CB3" w14:paraId="2C99922D" w14:textId="77777777" w:rsidTr="004639CD">
        <w:trPr>
          <w:trHeight w:val="276"/>
          <w:jc w:val="center"/>
        </w:trPr>
        <w:tc>
          <w:tcPr>
            <w:tcW w:w="1474" w:type="dxa"/>
            <w:shd w:val="clear" w:color="auto" w:fill="auto"/>
            <w:noWrap/>
            <w:vAlign w:val="center"/>
            <w:hideMark/>
          </w:tcPr>
          <w:p w14:paraId="27DF80B5"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0.7</w:t>
            </w:r>
          </w:p>
        </w:tc>
        <w:tc>
          <w:tcPr>
            <w:tcW w:w="1474" w:type="dxa"/>
            <w:shd w:val="clear" w:color="auto" w:fill="auto"/>
            <w:noWrap/>
            <w:vAlign w:val="center"/>
            <w:hideMark/>
          </w:tcPr>
          <w:p w14:paraId="445966C9"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-0.21</w:t>
            </w:r>
          </w:p>
        </w:tc>
        <w:tc>
          <w:tcPr>
            <w:tcW w:w="1474" w:type="dxa"/>
            <w:shd w:val="clear" w:color="auto" w:fill="auto"/>
            <w:noWrap/>
            <w:vAlign w:val="center"/>
            <w:hideMark/>
          </w:tcPr>
          <w:p w14:paraId="34C90E5A"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0.361</w:t>
            </w:r>
          </w:p>
        </w:tc>
        <w:tc>
          <w:tcPr>
            <w:tcW w:w="1474" w:type="dxa"/>
            <w:shd w:val="clear" w:color="auto" w:fill="auto"/>
            <w:noWrap/>
            <w:vAlign w:val="center"/>
            <w:hideMark/>
          </w:tcPr>
          <w:p w14:paraId="20386AAA"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0.213</w:t>
            </w:r>
          </w:p>
        </w:tc>
        <w:tc>
          <w:tcPr>
            <w:tcW w:w="1474" w:type="dxa"/>
            <w:shd w:val="clear" w:color="auto" w:fill="auto"/>
            <w:noWrap/>
            <w:vAlign w:val="center"/>
            <w:hideMark/>
          </w:tcPr>
          <w:p w14:paraId="2F60B8AD"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1.717</w:t>
            </w:r>
          </w:p>
        </w:tc>
      </w:tr>
      <w:tr w:rsidR="00535CB3" w:rsidRPr="00535CB3" w14:paraId="3EA92DA4" w14:textId="77777777" w:rsidTr="004639CD">
        <w:trPr>
          <w:trHeight w:val="276"/>
          <w:jc w:val="center"/>
        </w:trPr>
        <w:tc>
          <w:tcPr>
            <w:tcW w:w="1474" w:type="dxa"/>
            <w:shd w:val="clear" w:color="auto" w:fill="auto"/>
            <w:noWrap/>
            <w:vAlign w:val="center"/>
            <w:hideMark/>
          </w:tcPr>
          <w:p w14:paraId="1A898D36"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0.8</w:t>
            </w:r>
          </w:p>
        </w:tc>
        <w:tc>
          <w:tcPr>
            <w:tcW w:w="1474" w:type="dxa"/>
            <w:shd w:val="clear" w:color="auto" w:fill="auto"/>
            <w:noWrap/>
            <w:vAlign w:val="center"/>
            <w:hideMark/>
          </w:tcPr>
          <w:p w14:paraId="29FB0152"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-0.228</w:t>
            </w:r>
          </w:p>
        </w:tc>
        <w:tc>
          <w:tcPr>
            <w:tcW w:w="1474" w:type="dxa"/>
            <w:shd w:val="clear" w:color="auto" w:fill="auto"/>
            <w:noWrap/>
            <w:vAlign w:val="center"/>
            <w:hideMark/>
          </w:tcPr>
          <w:p w14:paraId="1D6E832E"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0.372</w:t>
            </w:r>
          </w:p>
        </w:tc>
        <w:tc>
          <w:tcPr>
            <w:tcW w:w="1474" w:type="dxa"/>
            <w:shd w:val="clear" w:color="auto" w:fill="auto"/>
            <w:noWrap/>
            <w:vAlign w:val="center"/>
            <w:hideMark/>
          </w:tcPr>
          <w:p w14:paraId="33AB2DC4"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0.279</w:t>
            </w:r>
          </w:p>
        </w:tc>
        <w:tc>
          <w:tcPr>
            <w:tcW w:w="1474" w:type="dxa"/>
            <w:shd w:val="clear" w:color="auto" w:fill="auto"/>
            <w:noWrap/>
            <w:vAlign w:val="center"/>
            <w:hideMark/>
          </w:tcPr>
          <w:p w14:paraId="49077891"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1.676</w:t>
            </w:r>
          </w:p>
        </w:tc>
      </w:tr>
      <w:tr w:rsidR="00535CB3" w:rsidRPr="00535CB3" w14:paraId="454EE387" w14:textId="77777777" w:rsidTr="004639CD">
        <w:trPr>
          <w:trHeight w:val="276"/>
          <w:jc w:val="center"/>
        </w:trPr>
        <w:tc>
          <w:tcPr>
            <w:tcW w:w="1474" w:type="dxa"/>
            <w:shd w:val="clear" w:color="auto" w:fill="auto"/>
            <w:noWrap/>
            <w:vAlign w:val="center"/>
            <w:hideMark/>
          </w:tcPr>
          <w:p w14:paraId="7B48B3AF"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0.9</w:t>
            </w:r>
          </w:p>
        </w:tc>
        <w:tc>
          <w:tcPr>
            <w:tcW w:w="1474" w:type="dxa"/>
            <w:shd w:val="clear" w:color="auto" w:fill="auto"/>
            <w:noWrap/>
            <w:vAlign w:val="center"/>
            <w:hideMark/>
          </w:tcPr>
          <w:p w14:paraId="2F2228E0"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-0.237</w:t>
            </w:r>
          </w:p>
        </w:tc>
        <w:tc>
          <w:tcPr>
            <w:tcW w:w="1474" w:type="dxa"/>
            <w:shd w:val="clear" w:color="auto" w:fill="auto"/>
            <w:noWrap/>
            <w:vAlign w:val="center"/>
            <w:hideMark/>
          </w:tcPr>
          <w:p w14:paraId="4C86ED38"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0.383</w:t>
            </w:r>
          </w:p>
        </w:tc>
        <w:tc>
          <w:tcPr>
            <w:tcW w:w="1474" w:type="dxa"/>
            <w:shd w:val="clear" w:color="auto" w:fill="auto"/>
            <w:noWrap/>
            <w:vAlign w:val="center"/>
            <w:hideMark/>
          </w:tcPr>
          <w:p w14:paraId="6F4760FF"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0.396</w:t>
            </w:r>
          </w:p>
        </w:tc>
        <w:tc>
          <w:tcPr>
            <w:tcW w:w="1474" w:type="dxa"/>
            <w:shd w:val="clear" w:color="auto" w:fill="auto"/>
            <w:noWrap/>
            <w:vAlign w:val="center"/>
            <w:hideMark/>
          </w:tcPr>
          <w:p w14:paraId="206106CE" w14:textId="77777777" w:rsidR="00535CB3" w:rsidRPr="00535CB3" w:rsidRDefault="00535CB3" w:rsidP="00535CB3">
            <w:pPr>
              <w:widowControl/>
              <w:jc w:val="center"/>
              <w:rPr>
                <w:rFonts w:ascii="等线" w:eastAsia="等线" w:hAnsi="等线" w:cs="宋体" w:hint="eastAsia"/>
                <w:color w:val="000000"/>
                <w:kern w:val="0"/>
                <w:sz w:val="22"/>
              </w:rPr>
            </w:pPr>
            <w:r w:rsidRPr="00535CB3">
              <w:rPr>
                <w:rFonts w:ascii="等线" w:eastAsia="等线" w:hAnsi="等线" w:cs="宋体" w:hint="eastAsia"/>
                <w:color w:val="000000"/>
                <w:kern w:val="0"/>
                <w:sz w:val="22"/>
              </w:rPr>
              <w:t>1.679</w:t>
            </w:r>
          </w:p>
        </w:tc>
      </w:tr>
    </w:tbl>
    <w:p w14:paraId="5EEC493A" w14:textId="77777777" w:rsidR="00535CB3" w:rsidRPr="00535CB3" w:rsidRDefault="00535CB3" w:rsidP="00472BF3">
      <w:pPr>
        <w:rPr>
          <w:rFonts w:hint="eastAsia"/>
          <w:b/>
          <w:bCs/>
        </w:rPr>
      </w:pPr>
    </w:p>
    <w:p w14:paraId="37A9389D" w14:textId="439F5C16" w:rsidR="00F81A6C" w:rsidRDefault="00F81A6C" w:rsidP="00472BF3"/>
    <w:p w14:paraId="539C7E93" w14:textId="5FF67CC2" w:rsidR="004639CD" w:rsidRDefault="004639CD" w:rsidP="004639CD">
      <w:pPr>
        <w:jc w:val="center"/>
        <w:rPr>
          <w:rFonts w:hint="eastAsia"/>
        </w:rPr>
      </w:pPr>
      <w:r>
        <w:rPr>
          <w:rFonts w:hint="eastAsia"/>
        </w:rPr>
        <w:t>图2</w:t>
      </w:r>
      <w:r>
        <w:t>.</w:t>
      </w:r>
      <w:r>
        <w:rPr>
          <w:rFonts w:hint="eastAsia"/>
        </w:rPr>
        <w:t>未来波动率变化分布特征折线图</w:t>
      </w:r>
    </w:p>
    <w:p w14:paraId="55A80036" w14:textId="34CC3AEA" w:rsidR="004639CD" w:rsidRDefault="004639CD" w:rsidP="004639CD">
      <w:pPr>
        <w:jc w:val="center"/>
      </w:pPr>
      <w:r>
        <w:rPr>
          <w:noProof/>
        </w:rPr>
        <w:drawing>
          <wp:inline distT="0" distB="0" distL="0" distR="0" wp14:anchorId="19FCF728" wp14:editId="21D01CE3">
            <wp:extent cx="5274310" cy="3451860"/>
            <wp:effectExtent l="0" t="0" r="0"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16"/>
                    <a:stretch>
                      <a:fillRect/>
                    </a:stretch>
                  </pic:blipFill>
                  <pic:spPr>
                    <a:xfrm>
                      <a:off x="0" y="0"/>
                      <a:ext cx="5274310" cy="3451860"/>
                    </a:xfrm>
                    <a:prstGeom prst="rect">
                      <a:avLst/>
                    </a:prstGeom>
                  </pic:spPr>
                </pic:pic>
              </a:graphicData>
            </a:graphic>
          </wp:inline>
        </w:drawing>
      </w:r>
    </w:p>
    <w:p w14:paraId="577BDAC2" w14:textId="4584383E" w:rsidR="004639CD" w:rsidRDefault="004639CD" w:rsidP="00472BF3"/>
    <w:p w14:paraId="7C6E6E59" w14:textId="7D77B7AA" w:rsidR="004639CD" w:rsidRDefault="004639CD" w:rsidP="00472BF3"/>
    <w:p w14:paraId="74CDF57B" w14:textId="1C4F7249" w:rsidR="00E6391D" w:rsidRDefault="00E6391D" w:rsidP="00472BF3"/>
    <w:p w14:paraId="2EE02513" w14:textId="77777777" w:rsidR="00E6391D" w:rsidRDefault="00E6391D" w:rsidP="00472BF3">
      <w:pPr>
        <w:rPr>
          <w:rFonts w:hint="eastAsia"/>
        </w:rPr>
      </w:pPr>
    </w:p>
    <w:p w14:paraId="2758816B" w14:textId="77777777" w:rsidR="004639CD" w:rsidRDefault="004639CD" w:rsidP="00472BF3">
      <w:pPr>
        <w:rPr>
          <w:rFonts w:hint="eastAsia"/>
        </w:rPr>
      </w:pPr>
    </w:p>
    <w:p w14:paraId="2A91FD7B" w14:textId="2D1AB4B9" w:rsidR="00472BF3" w:rsidRDefault="00472BF3" w:rsidP="00472BF3">
      <w:pPr>
        <w:pStyle w:val="2"/>
      </w:pPr>
      <w:r>
        <w:rPr>
          <w:rFonts w:hint="eastAsia"/>
        </w:rPr>
        <w:lastRenderedPageBreak/>
        <w:t>D</w:t>
      </w:r>
      <w:r>
        <w:t xml:space="preserve">ays used for </w:t>
      </w:r>
      <w:r>
        <w:rPr>
          <w:rFonts w:hint="eastAsia"/>
        </w:rPr>
        <w:t>M</w:t>
      </w:r>
      <w:r>
        <w:t xml:space="preserve">ean Reversion </w:t>
      </w:r>
    </w:p>
    <w:p w14:paraId="0D7D828F" w14:textId="77777777" w:rsidR="00472BF3" w:rsidRPr="00472BF3" w:rsidRDefault="00472BF3" w:rsidP="00472BF3"/>
    <w:p w14:paraId="67191435" w14:textId="67FB1979" w:rsidR="00192F4D" w:rsidRDefault="00192F4D" w:rsidP="00192F4D">
      <w:pPr>
        <w:pStyle w:val="1"/>
      </w:pPr>
      <w:r>
        <w:rPr>
          <w:rFonts w:hint="eastAsia"/>
        </w:rPr>
        <w:t>稳健性检验</w:t>
      </w:r>
    </w:p>
    <w:p w14:paraId="270D336A" w14:textId="77777777" w:rsidR="00E6391D" w:rsidRPr="00E6391D" w:rsidRDefault="00E6391D" w:rsidP="00E6391D">
      <w:pPr>
        <w:rPr>
          <w:rFonts w:hint="eastAsia"/>
        </w:rPr>
      </w:pPr>
    </w:p>
    <w:p w14:paraId="5D85B846" w14:textId="407A3808" w:rsidR="00192F4D" w:rsidRDefault="00192F4D" w:rsidP="00192F4D">
      <w:pPr>
        <w:pStyle w:val="1"/>
      </w:pPr>
      <w:r>
        <w:rPr>
          <w:rFonts w:hint="eastAsia"/>
        </w:rPr>
        <w:t>解释</w:t>
      </w:r>
    </w:p>
    <w:p w14:paraId="2BC47289" w14:textId="77777777" w:rsidR="00E6391D" w:rsidRPr="00E6391D" w:rsidRDefault="00E6391D" w:rsidP="00E6391D">
      <w:pPr>
        <w:rPr>
          <w:rFonts w:hint="eastAsia"/>
        </w:rPr>
      </w:pPr>
    </w:p>
    <w:p w14:paraId="392C1C5C" w14:textId="2A6AAD44" w:rsidR="00192F4D" w:rsidRDefault="00192F4D" w:rsidP="00192F4D">
      <w:pPr>
        <w:pStyle w:val="1"/>
      </w:pPr>
      <w:r>
        <w:rPr>
          <w:rFonts w:hint="eastAsia"/>
        </w:rPr>
        <w:t>结论</w:t>
      </w:r>
    </w:p>
    <w:p w14:paraId="5985C5B8" w14:textId="77777777" w:rsidR="00E6391D" w:rsidRPr="00E6391D" w:rsidRDefault="00E6391D" w:rsidP="00E6391D">
      <w:pPr>
        <w:rPr>
          <w:rFonts w:hint="eastAsia"/>
        </w:rPr>
      </w:pPr>
    </w:p>
    <w:sectPr w:rsidR="00E6391D" w:rsidRPr="00E6391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江磊" w:date="2023-02-24T11:15:00Z" w:initials="江磊">
    <w:p w14:paraId="3A755678" w14:textId="77777777" w:rsidR="00E67BBF" w:rsidRDefault="00E67BBF" w:rsidP="009D5E6B">
      <w:pPr>
        <w:pStyle w:val="ae"/>
      </w:pPr>
      <w:r>
        <w:rPr>
          <w:rStyle w:val="ad"/>
        </w:rPr>
        <w:annotationRef/>
      </w:r>
      <w:r>
        <w:rPr>
          <w:color w:val="333333"/>
          <w:highlight w:val="white"/>
        </w:rPr>
        <w:t>Yoon, Y., Seo, JH. &amp; Kim, JH. Closed-form pricing formulas for variance swaps in the Heston model with stochastic long-run mean of variance. </w:t>
      </w:r>
      <w:r>
        <w:rPr>
          <w:i/>
          <w:iCs/>
          <w:color w:val="333333"/>
          <w:highlight w:val="white"/>
        </w:rPr>
        <w:t>Comp. Appl. Math.</w:t>
      </w:r>
      <w:r>
        <w:rPr>
          <w:color w:val="333333"/>
          <w:highlight w:val="white"/>
        </w:rPr>
        <w:t> </w:t>
      </w:r>
      <w:r>
        <w:rPr>
          <w:b/>
          <w:bCs/>
          <w:color w:val="333333"/>
          <w:highlight w:val="white"/>
        </w:rPr>
        <w:t>41</w:t>
      </w:r>
      <w:r>
        <w:rPr>
          <w:color w:val="333333"/>
          <w:highlight w:val="white"/>
        </w:rPr>
        <w:t>, 235 (2022). https://doi.org/10.1007/s40314-022-01939-7</w:t>
      </w:r>
      <w:r>
        <w:t xml:space="preserve">  1</w:t>
      </w:r>
    </w:p>
  </w:comment>
  <w:comment w:id="1" w:author="江磊" w:date="2023-02-24T11:15:00Z" w:initials="江磊">
    <w:p w14:paraId="16D798CC" w14:textId="77777777" w:rsidR="00E67BBF" w:rsidRDefault="00E67BBF" w:rsidP="00D81A68">
      <w:pPr>
        <w:pStyle w:val="ae"/>
      </w:pPr>
      <w:r>
        <w:rPr>
          <w:rStyle w:val="ad"/>
        </w:rPr>
        <w:annotationRef/>
      </w:r>
      <w:r>
        <w:t xml:space="preserve">J. Cao, J.-H. Kim and W. Zhang, Pricing variance swaps under hybrid CEV and stochastic volatility, Journal ofComputational and Applied Mathematics (2020), doi: </w:t>
      </w:r>
      <w:hyperlink r:id="rId1" w:history="1">
        <w:r w:rsidRPr="00D81A68">
          <w:rPr>
            <w:rStyle w:val="af2"/>
          </w:rPr>
          <w:t>https://doi.org/10.1016/j.cam.2020.113220</w:t>
        </w:r>
      </w:hyperlink>
      <w:r>
        <w:t>.</w:t>
      </w:r>
    </w:p>
  </w:comment>
  <w:comment w:id="2" w:author="江磊" w:date="2023-02-24T11:15:00Z" w:initials="江磊">
    <w:p w14:paraId="2708DAFB" w14:textId="77777777" w:rsidR="00E67BBF" w:rsidRDefault="00E67BBF" w:rsidP="00C54C6C">
      <w:pPr>
        <w:pStyle w:val="ae"/>
      </w:pPr>
      <w:r>
        <w:rPr>
          <w:rStyle w:val="ad"/>
        </w:rPr>
        <w:annotationRef/>
      </w:r>
      <w:r>
        <w:t xml:space="preserve">H-Y. Chiu, T-F. Chen, Impact of Volatility Jumps in a Mean-Reverting Model: Derivative Pricing and Empirical Evidence, North American Journal of Economics &amp; Finance (2019), doi: </w:t>
      </w:r>
      <w:hyperlink r:id="rId2" w:history="1">
        <w:r w:rsidRPr="00C54C6C">
          <w:rPr>
            <w:rStyle w:val="af2"/>
          </w:rPr>
          <w:t>https://doi.org/</w:t>
        </w:r>
      </w:hyperlink>
      <w:r>
        <w:t xml:space="preserve"> 10.1016/j.najef.2019.101112</w:t>
      </w:r>
    </w:p>
  </w:comment>
  <w:comment w:id="3" w:author="江磊" w:date="2023-02-24T11:22:00Z" w:initials="江磊">
    <w:p w14:paraId="26A76446" w14:textId="77777777" w:rsidR="00E67BBF" w:rsidRDefault="00E67BBF" w:rsidP="004269F0">
      <w:pPr>
        <w:pStyle w:val="ae"/>
      </w:pPr>
      <w:r>
        <w:rPr>
          <w:rStyle w:val="ad"/>
        </w:rPr>
        <w:annotationRef/>
      </w:r>
      <w:r>
        <w:t>[1] Chi Z ,  Dong F ,  Wong H Y . Option Pricing with Threshold Mean Reversion[J]. Journal of Futures Markets, 2017, 37(2):107-131.</w:t>
      </w:r>
    </w:p>
  </w:comment>
  <w:comment w:id="4" w:author="江磊" w:date="2023-02-24T11:23:00Z" w:initials="江磊">
    <w:p w14:paraId="2A444FB8" w14:textId="77777777" w:rsidR="00E67BBF" w:rsidRDefault="00E67BBF" w:rsidP="00200E95">
      <w:pPr>
        <w:pStyle w:val="ae"/>
      </w:pPr>
      <w:r>
        <w:rPr>
          <w:rStyle w:val="ad"/>
        </w:rPr>
        <w:annotationRef/>
      </w:r>
      <w:r>
        <w:t>An, B., A. Ang, T. G. Bali, and N. Cakici. 2014. The joint cross section of stocks and options. Journal ofFinance 69:2279–337.</w:t>
      </w:r>
    </w:p>
  </w:comment>
  <w:comment w:id="5" w:author="江磊" w:date="2023-02-24T11:23:00Z" w:initials="江磊">
    <w:p w14:paraId="29EE5C70" w14:textId="77777777" w:rsidR="00E67BBF" w:rsidRDefault="00E67BBF" w:rsidP="00E15510">
      <w:pPr>
        <w:pStyle w:val="ae"/>
      </w:pPr>
      <w:r>
        <w:rPr>
          <w:rStyle w:val="ad"/>
        </w:rPr>
        <w:annotationRef/>
      </w:r>
      <w:r>
        <w:rPr>
          <w:color w:val="2A2A2A"/>
          <w:highlight w:val="white"/>
        </w:rPr>
        <w:t>Xintong (Eunice) Zhan, Bing Han, Jie Cao, Qing Tong, Option Return Predictability, </w:t>
      </w:r>
      <w:r>
        <w:rPr>
          <w:i/>
          <w:iCs/>
          <w:color w:val="2A2A2A"/>
          <w:highlight w:val="white"/>
        </w:rPr>
        <w:t>The Review of Financial Studies</w:t>
      </w:r>
      <w:r>
        <w:rPr>
          <w:color w:val="2A2A2A"/>
          <w:highlight w:val="white"/>
        </w:rPr>
        <w:t>, Volume 35, Issue 3, March 2022, Pages 1394–1442,</w:t>
      </w:r>
      <w:r>
        <w:t xml:space="preserve"> </w:t>
      </w:r>
    </w:p>
  </w:comment>
  <w:comment w:id="6" w:author="江磊" w:date="2023-02-24T11:24:00Z" w:initials="江磊">
    <w:p w14:paraId="1216BFDC" w14:textId="77777777" w:rsidR="000A2A93" w:rsidRDefault="000A2A93">
      <w:pPr>
        <w:pStyle w:val="ae"/>
      </w:pPr>
      <w:r>
        <w:rPr>
          <w:rStyle w:val="ad"/>
        </w:rPr>
        <w:annotationRef/>
      </w:r>
      <w:r>
        <w:rPr>
          <w:color w:val="4A4A4A"/>
          <w:highlight w:val="white"/>
        </w:rPr>
        <w:t>Gurdip Bakshi, Nikunj Kapadia</w:t>
      </w:r>
    </w:p>
    <w:p w14:paraId="0DCB09D5" w14:textId="77777777" w:rsidR="000A2A93" w:rsidRDefault="000A2A93">
      <w:pPr>
        <w:pStyle w:val="ae"/>
      </w:pPr>
      <w:r>
        <w:rPr>
          <w:b/>
          <w:bCs/>
          <w:color w:val="4A4A4A"/>
          <w:highlight w:val="white"/>
        </w:rPr>
        <w:t>Delta-hedged gains and the negative market volatility risk premium</w:t>
      </w:r>
    </w:p>
    <w:p w14:paraId="0E7B0DB9" w14:textId="77777777" w:rsidR="000A2A93" w:rsidRDefault="000A2A93" w:rsidP="0041269B">
      <w:pPr>
        <w:pStyle w:val="ae"/>
      </w:pPr>
      <w:r>
        <w:rPr>
          <w:color w:val="4A4A4A"/>
          <w:highlight w:val="white"/>
        </w:rPr>
        <w:t>Review of Financial Studies, volume 16, p. 527 - 566</w:t>
      </w:r>
    </w:p>
  </w:comment>
  <w:comment w:id="7" w:author="江磊" w:date="2023-02-24T09:34:00Z" w:initials="江磊">
    <w:p w14:paraId="326260F6" w14:textId="0936EDA2" w:rsidR="00252B5E" w:rsidRDefault="00252B5E" w:rsidP="00FF4CDC">
      <w:pPr>
        <w:pStyle w:val="ae"/>
      </w:pPr>
      <w:r>
        <w:rPr>
          <w:rStyle w:val="ad"/>
        </w:rPr>
        <w:annotationRef/>
      </w:r>
      <w:r>
        <w:rPr>
          <w:color w:val="505050"/>
          <w:highlight w:val="white"/>
        </w:rPr>
        <w:t>Schlag, Christian and Shaliastovich, Ivan and Thimme, Julian and Huang, Darien, Volatility-of-Volatility Risk (May 2018). SAFE Working Paper No. 210, Jacobs Levy Equity Management Center for Quantitative Financial Research Paper, Available at SSRN: </w:t>
      </w:r>
      <w:hyperlink r:id="rId3" w:history="1">
        <w:r w:rsidRPr="00FF4CDC">
          <w:rPr>
            <w:rStyle w:val="af2"/>
          </w:rPr>
          <w:t>https://ssrn.com/abstract=3183610</w:t>
        </w:r>
      </w:hyperlink>
      <w:r>
        <w:rPr>
          <w:color w:val="505050"/>
          <w:highlight w:val="white"/>
        </w:rPr>
        <w:t> or </w:t>
      </w:r>
      <w:hyperlink r:id="rId4" w:history="1">
        <w:r w:rsidRPr="00FF4CDC">
          <w:rPr>
            <w:rStyle w:val="af2"/>
          </w:rPr>
          <w:t>http://dx.doi.org/10.2139/ssrn.3183610</w:t>
        </w:r>
      </w:hyperlink>
      <w:r>
        <w:t xml:space="preserve"> </w:t>
      </w:r>
    </w:p>
  </w:comment>
  <w:comment w:id="8" w:author="江磊" w:date="2023-02-24T09:47:00Z" w:initials="江磊">
    <w:p w14:paraId="259DBA4B" w14:textId="77777777" w:rsidR="00B61015" w:rsidRDefault="00B61015" w:rsidP="00197E1E">
      <w:pPr>
        <w:pStyle w:val="ae"/>
      </w:pPr>
      <w:r>
        <w:rPr>
          <w:rStyle w:val="ad"/>
        </w:rPr>
        <w:annotationRef/>
      </w:r>
      <w:r>
        <w:t>Haugena, R. A., and N. L. Baker. 1996. Commonality in the determinants of expected stock returns. Journal of Financial Economics 41:401–39.</w:t>
      </w:r>
    </w:p>
  </w:comment>
  <w:comment w:id="9" w:author="江磊" w:date="2023-02-24T10:58:00Z" w:initials="江磊">
    <w:p w14:paraId="60B0FC23" w14:textId="77777777" w:rsidR="00424FAC" w:rsidRDefault="00424FAC" w:rsidP="00BC6B4F">
      <w:pPr>
        <w:pStyle w:val="ae"/>
      </w:pPr>
      <w:r>
        <w:rPr>
          <w:rStyle w:val="ad"/>
        </w:rPr>
        <w:annotationRef/>
      </w:r>
      <w:r>
        <w:t>[1] Bernales A ,  Verousis T ,  Voukelatos N . Do Investors Follow the Herd in Option Markets?[J]. Journal of Banking &amp; Finance, 2016, 119.</w:t>
      </w:r>
    </w:p>
  </w:comment>
  <w:comment w:id="10" w:author="江磊" w:date="2023-02-24T10:58:00Z" w:initials="江磊">
    <w:p w14:paraId="14FCEE23" w14:textId="77777777" w:rsidR="00424FAC" w:rsidRDefault="00424FAC" w:rsidP="005234DC">
      <w:pPr>
        <w:pStyle w:val="ae"/>
      </w:pPr>
      <w:r>
        <w:rPr>
          <w:rStyle w:val="ad"/>
        </w:rPr>
        <w:annotationRef/>
      </w:r>
      <w:r>
        <w:t>[1] Benjamin G ,  Ruslan G . Disagreement in the Equity Options Market and Stock Returns[J]. The Review of Financial Studies.</w:t>
      </w:r>
    </w:p>
  </w:comment>
  <w:comment w:id="11" w:author="江磊" w:date="2023-02-24T11:05:00Z" w:initials="江磊">
    <w:p w14:paraId="6EE51492" w14:textId="77777777" w:rsidR="00CB040D" w:rsidRDefault="00CB040D" w:rsidP="00833B26">
      <w:pPr>
        <w:pStyle w:val="ae"/>
      </w:pPr>
      <w:r>
        <w:rPr>
          <w:rStyle w:val="ad"/>
        </w:rPr>
        <w:annotationRef/>
      </w:r>
      <w:r>
        <w:t>[1] Ni S X ,  Pearson N D ,  Poteshman A M , et al. Does Option Trading Have a Pervasive Impact on Underlying Stock Prices?[J]. Review of Financial Studies, 2020, 34(4).</w:t>
      </w:r>
    </w:p>
  </w:comment>
  <w:comment w:id="12" w:author="江磊" w:date="2023-02-24T11:08:00Z" w:initials="江磊">
    <w:p w14:paraId="7F0F489E" w14:textId="77777777" w:rsidR="00CB040D" w:rsidRDefault="00CB040D" w:rsidP="00647BF3">
      <w:pPr>
        <w:pStyle w:val="ae"/>
      </w:pPr>
      <w:r>
        <w:rPr>
          <w:rStyle w:val="ad"/>
        </w:rPr>
        <w:annotationRef/>
      </w:r>
      <w:r>
        <w:t>[1] Cheng I H . The VIX Premium[J]. Review of Financial Studies, 2019, 32.</w:t>
      </w:r>
    </w:p>
  </w:comment>
  <w:comment w:id="13" w:author="江磊" w:date="2023-02-24T11:20:00Z" w:initials="江磊">
    <w:p w14:paraId="1CE541AC" w14:textId="77777777" w:rsidR="00E67BBF" w:rsidRDefault="00E67BBF" w:rsidP="008D1C42">
      <w:pPr>
        <w:pStyle w:val="ae"/>
      </w:pPr>
      <w:r>
        <w:rPr>
          <w:rStyle w:val="ad"/>
        </w:rPr>
        <w:annotationRef/>
      </w:r>
      <w:r>
        <w:t>[1]Martino, Grasselli. THE 4/2 STOCHASTIC VOLATILITY MODEL: A UNIFIED APPROACH FOR THE HESTON AND THE 3/2 MODEL[J]. Mathematical Finance, 2017.</w:t>
      </w:r>
    </w:p>
  </w:comment>
  <w:comment w:id="14" w:author="江磊" w:date="2023-01-14T20:12:00Z" w:initials="江磊">
    <w:p w14:paraId="248A1E97" w14:textId="66E0CF63" w:rsidR="00F476E6" w:rsidRDefault="00F476E6">
      <w:pPr>
        <w:pStyle w:val="ae"/>
      </w:pPr>
      <w:r>
        <w:rPr>
          <w:rStyle w:val="ad"/>
        </w:rPr>
        <w:annotationRef/>
      </w:r>
      <w:r>
        <w:rPr>
          <w:rFonts w:ascii="Arial" w:hAnsi="Arial" w:cs="Arial"/>
          <w:color w:val="333333"/>
          <w:shd w:val="clear" w:color="auto" w:fill="FFFFFF"/>
        </w:rPr>
        <w:t>Huang, Darien &amp; Schlag, Christian &amp; Shaliastovich, Ivan &amp; Thimme, Julian, 2019. "</w:t>
      </w:r>
      <w:hyperlink r:id="rId5" w:history="1">
        <w:r>
          <w:rPr>
            <w:rStyle w:val="af2"/>
            <w:rFonts w:ascii="Arial" w:hAnsi="Arial" w:cs="Arial"/>
            <w:b/>
            <w:bCs/>
            <w:color w:val="2D4E8B"/>
          </w:rPr>
          <w:t>Volatility-of-Volatility Risk</w:t>
        </w:r>
      </w:hyperlink>
      <w:r>
        <w:rPr>
          <w:rFonts w:ascii="Arial" w:hAnsi="Arial" w:cs="Arial"/>
          <w:color w:val="333333"/>
          <w:shd w:val="clear" w:color="auto" w:fill="FFFFFF"/>
        </w:rPr>
        <w:t>," </w:t>
      </w:r>
      <w:hyperlink r:id="rId6" w:history="1">
        <w:r>
          <w:rPr>
            <w:rStyle w:val="af2"/>
            <w:rFonts w:ascii="Arial" w:hAnsi="Arial" w:cs="Arial"/>
            <w:color w:val="0056B3"/>
          </w:rPr>
          <w:t>Journal of Financial and Quantitative Analysis</w:t>
        </w:r>
      </w:hyperlink>
      <w:r>
        <w:rPr>
          <w:rFonts w:ascii="Arial" w:hAnsi="Arial" w:cs="Arial"/>
          <w:color w:val="333333"/>
          <w:shd w:val="clear" w:color="auto" w:fill="FFFFFF"/>
        </w:rPr>
        <w:t>, Cambridge University Press, vol. 54(6), pages 2423-2452, December.</w:t>
      </w:r>
    </w:p>
  </w:comment>
  <w:comment w:id="15" w:author="江磊" w:date="2023-01-15T00:37:00Z" w:initials="江磊">
    <w:p w14:paraId="3D83CB72" w14:textId="25875226" w:rsidR="000A7B36" w:rsidRDefault="000A7B36">
      <w:pPr>
        <w:pStyle w:val="ae"/>
      </w:pPr>
      <w:r>
        <w:rPr>
          <w:rStyle w:val="ad"/>
        </w:rPr>
        <w:annotationRef/>
      </w:r>
      <w:r w:rsidRPr="000A7B36">
        <w:rPr>
          <w:rFonts w:hint="eastAsia"/>
        </w:rPr>
        <w:t>随机微分方程</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755678" w15:done="0"/>
  <w15:commentEx w15:paraId="16D798CC" w15:done="0"/>
  <w15:commentEx w15:paraId="2708DAFB" w15:done="0"/>
  <w15:commentEx w15:paraId="26A76446" w15:done="0"/>
  <w15:commentEx w15:paraId="2A444FB8" w15:done="0"/>
  <w15:commentEx w15:paraId="29EE5C70" w15:done="0"/>
  <w15:commentEx w15:paraId="0E7B0DB9" w15:done="0"/>
  <w15:commentEx w15:paraId="326260F6" w15:done="0"/>
  <w15:commentEx w15:paraId="259DBA4B" w15:done="0"/>
  <w15:commentEx w15:paraId="60B0FC23" w15:done="0"/>
  <w15:commentEx w15:paraId="14FCEE23" w15:done="0"/>
  <w15:commentEx w15:paraId="6EE51492" w15:done="0"/>
  <w15:commentEx w15:paraId="7F0F489E" w15:done="0"/>
  <w15:commentEx w15:paraId="1CE541AC" w15:done="0"/>
  <w15:commentEx w15:paraId="248A1E97" w15:done="0"/>
  <w15:commentEx w15:paraId="3D83CB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1AB6" w16cex:dateUtc="2023-02-24T03:15:00Z"/>
  <w16cex:commentExtensible w16cex:durableId="27A31AD3" w16cex:dateUtc="2023-02-24T03:15:00Z"/>
  <w16cex:commentExtensible w16cex:durableId="27A31AE4" w16cex:dateUtc="2023-02-24T03:15:00Z"/>
  <w16cex:commentExtensible w16cex:durableId="27A31C80" w16cex:dateUtc="2023-02-24T03:22:00Z"/>
  <w16cex:commentExtensible w16cex:durableId="27A31C96" w16cex:dateUtc="2023-02-24T03:23:00Z"/>
  <w16cex:commentExtensible w16cex:durableId="27A31CA5" w16cex:dateUtc="2023-02-24T03:23:00Z"/>
  <w16cex:commentExtensible w16cex:durableId="27A31CE0" w16cex:dateUtc="2023-02-24T03:24:00Z"/>
  <w16cex:commentExtensible w16cex:durableId="27A30329" w16cex:dateUtc="2023-02-24T01:34:00Z"/>
  <w16cex:commentExtensible w16cex:durableId="27A30631" w16cex:dateUtc="2023-02-24T01:47:00Z"/>
  <w16cex:commentExtensible w16cex:durableId="27A316BF" w16cex:dateUtc="2023-02-24T02:58:00Z"/>
  <w16cex:commentExtensible w16cex:durableId="27A316C7" w16cex:dateUtc="2023-02-24T02:58:00Z"/>
  <w16cex:commentExtensible w16cex:durableId="27A31874" w16cex:dateUtc="2023-02-24T03:05:00Z"/>
  <w16cex:commentExtensible w16cex:durableId="27A31940" w16cex:dateUtc="2023-02-24T03:08:00Z"/>
  <w16cex:commentExtensible w16cex:durableId="27A31C0E" w16cex:dateUtc="2023-02-24T03:20:00Z"/>
  <w16cex:commentExtensible w16cex:durableId="276D8B20" w16cex:dateUtc="2023-01-14T12:12:00Z"/>
  <w16cex:commentExtensible w16cex:durableId="276DC932" w16cex:dateUtc="2023-01-14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55678" w16cid:durableId="27A31AB6"/>
  <w16cid:commentId w16cid:paraId="16D798CC" w16cid:durableId="27A31AD3"/>
  <w16cid:commentId w16cid:paraId="2708DAFB" w16cid:durableId="27A31AE4"/>
  <w16cid:commentId w16cid:paraId="26A76446" w16cid:durableId="27A31C80"/>
  <w16cid:commentId w16cid:paraId="2A444FB8" w16cid:durableId="27A31C96"/>
  <w16cid:commentId w16cid:paraId="29EE5C70" w16cid:durableId="27A31CA5"/>
  <w16cid:commentId w16cid:paraId="0E7B0DB9" w16cid:durableId="27A31CE0"/>
  <w16cid:commentId w16cid:paraId="326260F6" w16cid:durableId="27A30329"/>
  <w16cid:commentId w16cid:paraId="259DBA4B" w16cid:durableId="27A30631"/>
  <w16cid:commentId w16cid:paraId="60B0FC23" w16cid:durableId="27A316BF"/>
  <w16cid:commentId w16cid:paraId="14FCEE23" w16cid:durableId="27A316C7"/>
  <w16cid:commentId w16cid:paraId="6EE51492" w16cid:durableId="27A31874"/>
  <w16cid:commentId w16cid:paraId="7F0F489E" w16cid:durableId="27A31940"/>
  <w16cid:commentId w16cid:paraId="1CE541AC" w16cid:durableId="27A31C0E"/>
  <w16cid:commentId w16cid:paraId="248A1E97" w16cid:durableId="276D8B20"/>
  <w16cid:commentId w16cid:paraId="3D83CB72" w16cid:durableId="276DC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2D20C" w14:textId="77777777" w:rsidR="00F9525C" w:rsidRDefault="00F9525C" w:rsidP="00FC143F">
      <w:r>
        <w:separator/>
      </w:r>
    </w:p>
  </w:endnote>
  <w:endnote w:type="continuationSeparator" w:id="0">
    <w:p w14:paraId="7BA8398B" w14:textId="77777777" w:rsidR="00F9525C" w:rsidRDefault="00F9525C" w:rsidP="00FC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3032F" w14:textId="77777777" w:rsidR="00F9525C" w:rsidRDefault="00F9525C" w:rsidP="00FC143F">
      <w:r>
        <w:separator/>
      </w:r>
    </w:p>
  </w:footnote>
  <w:footnote w:type="continuationSeparator" w:id="0">
    <w:p w14:paraId="76F7AC2C" w14:textId="77777777" w:rsidR="00F9525C" w:rsidRDefault="00F9525C" w:rsidP="00FC143F">
      <w:r>
        <w:continuationSeparator/>
      </w:r>
    </w:p>
  </w:footnote>
  <w:footnote w:id="1">
    <w:p w14:paraId="2038C9A8" w14:textId="42203FD9" w:rsidR="000D18B0" w:rsidRPr="00667DD8" w:rsidRDefault="000D18B0" w:rsidP="000D18B0">
      <w:pPr>
        <w:ind w:firstLineChars="100" w:firstLine="210"/>
        <w:rPr>
          <w:rFonts w:ascii="Segoe UI" w:hAnsi="Segoe UI" w:cs="Segoe UI"/>
          <w:color w:val="101214"/>
          <w:szCs w:val="21"/>
          <w:shd w:val="clear" w:color="auto" w:fill="FFFFFF"/>
        </w:rPr>
      </w:pPr>
      <w:r>
        <w:rPr>
          <w:rStyle w:val="ac"/>
        </w:rPr>
        <w:footnoteRef/>
      </w:r>
      <w:r>
        <w:t xml:space="preserve"> </w:t>
      </w:r>
      <w:r>
        <w:rPr>
          <w:rFonts w:hint="eastAsia"/>
        </w:rPr>
        <w:t>H</w:t>
      </w:r>
      <w:r>
        <w:t xml:space="preserve">eston(1993) set the SDE of volatility as </w:t>
      </w:r>
      <m:oMath>
        <m:r>
          <w:rPr>
            <w:rFonts w:ascii="Cambria Math" w:hAnsi="Cambria Math" w:cs="Segoe UI"/>
            <w:color w:val="101214"/>
            <w:szCs w:val="21"/>
            <w:shd w:val="clear" w:color="auto" w:fill="FFFFFF"/>
          </w:rPr>
          <m:t>d</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=-κ</m:t>
        </m:r>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dt+δd</m:t>
        </m:r>
        <m:sSubSup>
          <m:sSubSupPr>
            <m:ctrlPr>
              <w:rPr>
                <w:rFonts w:ascii="Cambria Math" w:hAnsi="Cambria Math" w:cs="Segoe UI"/>
                <w:i/>
                <w:color w:val="101214"/>
                <w:szCs w:val="21"/>
                <w:shd w:val="clear" w:color="auto" w:fill="FFFFFF"/>
              </w:rPr>
            </m:ctrlPr>
          </m:sSubSupPr>
          <m:e>
            <m:r>
              <w:rPr>
                <w:rFonts w:ascii="Cambria Math" w:hAnsi="Cambria Math" w:cs="Segoe UI"/>
                <w:color w:val="101214"/>
                <w:szCs w:val="21"/>
                <w:shd w:val="clear" w:color="auto" w:fill="FFFFFF"/>
              </w:rPr>
              <m:t>W</m:t>
            </m:r>
          </m:e>
          <m:sub>
            <m:r>
              <w:rPr>
                <w:rFonts w:ascii="Cambria Math" w:hAnsi="Cambria Math" w:cs="Segoe UI"/>
                <w:color w:val="101214"/>
                <w:szCs w:val="21"/>
                <w:shd w:val="clear" w:color="auto" w:fill="FFFFFF"/>
              </w:rPr>
              <m:t>σ,t</m:t>
            </m:r>
          </m:sub>
          <m:sup>
            <m:r>
              <w:rPr>
                <w:rFonts w:ascii="Cambria Math" w:hAnsi="Cambria Math" w:cs="Segoe UI"/>
                <w:color w:val="101214"/>
                <w:szCs w:val="21"/>
                <w:shd w:val="clear" w:color="auto" w:fill="FFFFFF"/>
              </w:rPr>
              <m:t>P</m:t>
            </m:r>
          </m:sup>
        </m:sSubSup>
      </m:oMath>
      <w:r>
        <w:rPr>
          <w:color w:val="101214"/>
          <w:szCs w:val="21"/>
          <w:shd w:val="clear" w:color="auto" w:fill="FFFFFF"/>
        </w:rPr>
        <w:t xml:space="preserve">, but we can </w:t>
      </w:r>
      <w:r w:rsidR="006F2921">
        <w:rPr>
          <w:color w:val="101214"/>
          <w:szCs w:val="21"/>
          <w:shd w:val="clear" w:color="auto" w:fill="FFFFFF"/>
        </w:rPr>
        <w:t xml:space="preserve">change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oMath>
      <w:r w:rsidR="006F2921">
        <w:rPr>
          <w:rFonts w:hint="eastAsia"/>
          <w:color w:val="101214"/>
          <w:szCs w:val="21"/>
          <w:shd w:val="clear" w:color="auto" w:fill="FFFFFF"/>
        </w:rPr>
        <w:t xml:space="preserve"> </w:t>
      </w:r>
      <w:r w:rsidR="006F2921">
        <w:rPr>
          <w:color w:val="101214"/>
          <w:szCs w:val="21"/>
          <w:shd w:val="clear" w:color="auto" w:fill="FFFFFF"/>
        </w:rPr>
        <w:t xml:space="preserve">with the </w:t>
      </w:r>
      <m:oMath>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r>
          <w:rPr>
            <w:rFonts w:ascii="Cambria Math" w:hAnsi="Cambria Math" w:cs="Segoe UI"/>
            <w:color w:val="101214"/>
            <w:szCs w:val="21"/>
            <w:shd w:val="clear" w:color="auto" w:fill="FFFFFF"/>
          </w:rPr>
          <m:t>= θ-</m:t>
        </m:r>
        <m:acc>
          <m:accPr>
            <m:chr m:val="̃"/>
            <m:ctrlPr>
              <w:rPr>
                <w:rFonts w:ascii="Cambria Math" w:hAnsi="Cambria Math" w:cs="Segoe UI"/>
                <w:i/>
                <w:color w:val="101214"/>
                <w:szCs w:val="21"/>
                <w:shd w:val="clear" w:color="auto" w:fill="FFFFFF"/>
              </w:rPr>
            </m:ctrlPr>
          </m:accPr>
          <m:e>
            <m:sSub>
              <m:sSubPr>
                <m:ctrlPr>
                  <w:rPr>
                    <w:rFonts w:ascii="Cambria Math" w:hAnsi="Cambria Math" w:cs="Segoe UI"/>
                    <w:i/>
                    <w:color w:val="101214"/>
                    <w:szCs w:val="21"/>
                    <w:shd w:val="clear" w:color="auto" w:fill="FFFFFF"/>
                  </w:rPr>
                </m:ctrlPr>
              </m:sSubPr>
              <m:e>
                <m:r>
                  <w:rPr>
                    <w:rFonts w:ascii="Cambria Math" w:hAnsi="Cambria Math" w:cs="Segoe UI"/>
                    <w:color w:val="101214"/>
                    <w:szCs w:val="21"/>
                    <w:shd w:val="clear" w:color="auto" w:fill="FFFFFF"/>
                  </w:rPr>
                  <m:t>σ</m:t>
                </m:r>
              </m:e>
              <m:sub>
                <m:r>
                  <w:rPr>
                    <w:rFonts w:ascii="Cambria Math" w:hAnsi="Cambria Math" w:cs="Segoe UI"/>
                    <w:color w:val="101214"/>
                    <w:szCs w:val="21"/>
                    <w:shd w:val="clear" w:color="auto" w:fill="FFFFFF"/>
                  </w:rPr>
                  <m:t>t</m:t>
                </m:r>
              </m:sub>
            </m:sSub>
          </m:e>
        </m:acc>
      </m:oMath>
      <w:r>
        <w:rPr>
          <w:rFonts w:hint="eastAsia"/>
          <w:color w:val="101214"/>
          <w:szCs w:val="21"/>
          <w:shd w:val="clear" w:color="auto" w:fill="FFFFFF"/>
        </w:rPr>
        <w:t xml:space="preserve"> </w:t>
      </w:r>
      <w:r>
        <w:rPr>
          <w:color w:val="101214"/>
          <w:szCs w:val="21"/>
          <w:shd w:val="clear" w:color="auto" w:fill="FFFFFF"/>
        </w:rPr>
        <w:t xml:space="preserve">to get </w:t>
      </w:r>
      <w:r w:rsidR="006F2921">
        <w:rPr>
          <w:color w:val="101214"/>
          <w:szCs w:val="21"/>
          <w:shd w:val="clear" w:color="auto" w:fill="FFFFFF"/>
        </w:rPr>
        <w:t>the SDE in this paper easily.</w:t>
      </w:r>
    </w:p>
    <w:p w14:paraId="76242158" w14:textId="3D9CF7A4" w:rsidR="000D18B0" w:rsidRDefault="000D18B0">
      <w:pPr>
        <w:pStyle w:val="a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361"/>
    <w:multiLevelType w:val="multilevel"/>
    <w:tmpl w:val="2FD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8777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江磊">
    <w15:presenceInfo w15:providerId="Windows Live" w15:userId="74836ac971927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D22E2"/>
    <w:rsid w:val="00005584"/>
    <w:rsid w:val="000230CE"/>
    <w:rsid w:val="0002421B"/>
    <w:rsid w:val="000300BC"/>
    <w:rsid w:val="000343B1"/>
    <w:rsid w:val="00065632"/>
    <w:rsid w:val="000A2A93"/>
    <w:rsid w:val="000A7B36"/>
    <w:rsid w:val="000D18B0"/>
    <w:rsid w:val="0010479E"/>
    <w:rsid w:val="0013791A"/>
    <w:rsid w:val="001757C6"/>
    <w:rsid w:val="00187552"/>
    <w:rsid w:val="00192F4D"/>
    <w:rsid w:val="0019331A"/>
    <w:rsid w:val="001F2F62"/>
    <w:rsid w:val="00252B5E"/>
    <w:rsid w:val="00267511"/>
    <w:rsid w:val="00277548"/>
    <w:rsid w:val="002D5A79"/>
    <w:rsid w:val="002F0FC0"/>
    <w:rsid w:val="00303C6E"/>
    <w:rsid w:val="00322327"/>
    <w:rsid w:val="00326F17"/>
    <w:rsid w:val="00336F25"/>
    <w:rsid w:val="003644B8"/>
    <w:rsid w:val="00380FFB"/>
    <w:rsid w:val="00387B33"/>
    <w:rsid w:val="0039179A"/>
    <w:rsid w:val="003D0986"/>
    <w:rsid w:val="00424FAC"/>
    <w:rsid w:val="004342AA"/>
    <w:rsid w:val="004639CD"/>
    <w:rsid w:val="00472BF3"/>
    <w:rsid w:val="0048313E"/>
    <w:rsid w:val="00505B03"/>
    <w:rsid w:val="00535CB3"/>
    <w:rsid w:val="006200DB"/>
    <w:rsid w:val="006355D4"/>
    <w:rsid w:val="00667DD8"/>
    <w:rsid w:val="00671D27"/>
    <w:rsid w:val="006A1487"/>
    <w:rsid w:val="006B2046"/>
    <w:rsid w:val="006D1714"/>
    <w:rsid w:val="006F2921"/>
    <w:rsid w:val="00763AF4"/>
    <w:rsid w:val="0076551F"/>
    <w:rsid w:val="00793F09"/>
    <w:rsid w:val="007D1F87"/>
    <w:rsid w:val="007E2185"/>
    <w:rsid w:val="007E7E81"/>
    <w:rsid w:val="0082081B"/>
    <w:rsid w:val="0083215E"/>
    <w:rsid w:val="00836AF8"/>
    <w:rsid w:val="00876407"/>
    <w:rsid w:val="0088236E"/>
    <w:rsid w:val="008E3AC0"/>
    <w:rsid w:val="00923068"/>
    <w:rsid w:val="009A218D"/>
    <w:rsid w:val="009F4943"/>
    <w:rsid w:val="00A316B1"/>
    <w:rsid w:val="00A47DA5"/>
    <w:rsid w:val="00AA3F48"/>
    <w:rsid w:val="00AF5243"/>
    <w:rsid w:val="00B07E62"/>
    <w:rsid w:val="00B60F0F"/>
    <w:rsid w:val="00B61015"/>
    <w:rsid w:val="00B90876"/>
    <w:rsid w:val="00BC2F25"/>
    <w:rsid w:val="00BD0955"/>
    <w:rsid w:val="00BF1CE6"/>
    <w:rsid w:val="00C24F25"/>
    <w:rsid w:val="00C724FA"/>
    <w:rsid w:val="00C768F9"/>
    <w:rsid w:val="00C85999"/>
    <w:rsid w:val="00C863FE"/>
    <w:rsid w:val="00CB040D"/>
    <w:rsid w:val="00D40388"/>
    <w:rsid w:val="00D67DE4"/>
    <w:rsid w:val="00DD0AC9"/>
    <w:rsid w:val="00E122D4"/>
    <w:rsid w:val="00E6391D"/>
    <w:rsid w:val="00E67BBF"/>
    <w:rsid w:val="00E9136C"/>
    <w:rsid w:val="00E91D86"/>
    <w:rsid w:val="00EB68DA"/>
    <w:rsid w:val="00EB6A9B"/>
    <w:rsid w:val="00ED38F6"/>
    <w:rsid w:val="00F22F03"/>
    <w:rsid w:val="00F24212"/>
    <w:rsid w:val="00F40A15"/>
    <w:rsid w:val="00F476E6"/>
    <w:rsid w:val="00F5297F"/>
    <w:rsid w:val="00F541ED"/>
    <w:rsid w:val="00F560E3"/>
    <w:rsid w:val="00F81A6C"/>
    <w:rsid w:val="00F9525C"/>
    <w:rsid w:val="00F975DB"/>
    <w:rsid w:val="00FA3823"/>
    <w:rsid w:val="00FC143F"/>
    <w:rsid w:val="00FC64BE"/>
    <w:rsid w:val="00FD2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5F093"/>
  <w15:docId w15:val="{B716D790-AB3D-4819-BCA2-8EC1443A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2F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2F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33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4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43F"/>
    <w:rPr>
      <w:sz w:val="18"/>
      <w:szCs w:val="18"/>
    </w:rPr>
  </w:style>
  <w:style w:type="paragraph" w:styleId="a5">
    <w:name w:val="footer"/>
    <w:basedOn w:val="a"/>
    <w:link w:val="a6"/>
    <w:uiPriority w:val="99"/>
    <w:unhideWhenUsed/>
    <w:rsid w:val="00FC143F"/>
    <w:pPr>
      <w:tabs>
        <w:tab w:val="center" w:pos="4153"/>
        <w:tab w:val="right" w:pos="8306"/>
      </w:tabs>
      <w:snapToGrid w:val="0"/>
      <w:jc w:val="left"/>
    </w:pPr>
    <w:rPr>
      <w:sz w:val="18"/>
      <w:szCs w:val="18"/>
    </w:rPr>
  </w:style>
  <w:style w:type="character" w:customStyle="1" w:styleId="a6">
    <w:name w:val="页脚 字符"/>
    <w:basedOn w:val="a0"/>
    <w:link w:val="a5"/>
    <w:uiPriority w:val="99"/>
    <w:rsid w:val="00FC143F"/>
    <w:rPr>
      <w:sz w:val="18"/>
      <w:szCs w:val="18"/>
    </w:rPr>
  </w:style>
  <w:style w:type="character" w:customStyle="1" w:styleId="10">
    <w:name w:val="标题 1 字符"/>
    <w:basedOn w:val="a0"/>
    <w:link w:val="1"/>
    <w:uiPriority w:val="9"/>
    <w:rsid w:val="00192F4D"/>
    <w:rPr>
      <w:b/>
      <w:bCs/>
      <w:kern w:val="44"/>
      <w:sz w:val="44"/>
      <w:szCs w:val="44"/>
    </w:rPr>
  </w:style>
  <w:style w:type="paragraph" w:styleId="a7">
    <w:name w:val="Title"/>
    <w:basedOn w:val="a"/>
    <w:next w:val="a"/>
    <w:link w:val="a8"/>
    <w:uiPriority w:val="10"/>
    <w:qFormat/>
    <w:rsid w:val="00192F4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92F4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92F4D"/>
    <w:rPr>
      <w:rFonts w:asciiTheme="majorHAnsi" w:eastAsiaTheme="majorEastAsia" w:hAnsiTheme="majorHAnsi" w:cstheme="majorBidi"/>
      <w:b/>
      <w:bCs/>
      <w:sz w:val="32"/>
      <w:szCs w:val="32"/>
    </w:rPr>
  </w:style>
  <w:style w:type="character" w:styleId="a9">
    <w:name w:val="Placeholder Text"/>
    <w:basedOn w:val="a0"/>
    <w:uiPriority w:val="99"/>
    <w:semiHidden/>
    <w:rsid w:val="00F24212"/>
    <w:rPr>
      <w:color w:val="808080"/>
    </w:rPr>
  </w:style>
  <w:style w:type="paragraph" w:styleId="aa">
    <w:name w:val="footnote text"/>
    <w:basedOn w:val="a"/>
    <w:link w:val="ab"/>
    <w:uiPriority w:val="99"/>
    <w:semiHidden/>
    <w:unhideWhenUsed/>
    <w:rsid w:val="000D18B0"/>
    <w:pPr>
      <w:snapToGrid w:val="0"/>
      <w:jc w:val="left"/>
    </w:pPr>
    <w:rPr>
      <w:sz w:val="18"/>
      <w:szCs w:val="18"/>
    </w:rPr>
  </w:style>
  <w:style w:type="character" w:customStyle="1" w:styleId="ab">
    <w:name w:val="脚注文本 字符"/>
    <w:basedOn w:val="a0"/>
    <w:link w:val="aa"/>
    <w:uiPriority w:val="99"/>
    <w:semiHidden/>
    <w:rsid w:val="000D18B0"/>
    <w:rPr>
      <w:sz w:val="18"/>
      <w:szCs w:val="18"/>
    </w:rPr>
  </w:style>
  <w:style w:type="character" w:styleId="ac">
    <w:name w:val="footnote reference"/>
    <w:basedOn w:val="a0"/>
    <w:uiPriority w:val="99"/>
    <w:semiHidden/>
    <w:unhideWhenUsed/>
    <w:rsid w:val="000D18B0"/>
    <w:rPr>
      <w:vertAlign w:val="superscript"/>
    </w:rPr>
  </w:style>
  <w:style w:type="character" w:styleId="ad">
    <w:name w:val="annotation reference"/>
    <w:basedOn w:val="a0"/>
    <w:uiPriority w:val="99"/>
    <w:semiHidden/>
    <w:unhideWhenUsed/>
    <w:rsid w:val="00F476E6"/>
    <w:rPr>
      <w:sz w:val="21"/>
      <w:szCs w:val="21"/>
    </w:rPr>
  </w:style>
  <w:style w:type="paragraph" w:styleId="ae">
    <w:name w:val="annotation text"/>
    <w:basedOn w:val="a"/>
    <w:link w:val="af"/>
    <w:uiPriority w:val="99"/>
    <w:unhideWhenUsed/>
    <w:rsid w:val="00F476E6"/>
    <w:pPr>
      <w:jc w:val="left"/>
    </w:pPr>
  </w:style>
  <w:style w:type="character" w:customStyle="1" w:styleId="af">
    <w:name w:val="批注文字 字符"/>
    <w:basedOn w:val="a0"/>
    <w:link w:val="ae"/>
    <w:uiPriority w:val="99"/>
    <w:rsid w:val="00F476E6"/>
  </w:style>
  <w:style w:type="paragraph" w:styleId="af0">
    <w:name w:val="annotation subject"/>
    <w:basedOn w:val="ae"/>
    <w:next w:val="ae"/>
    <w:link w:val="af1"/>
    <w:uiPriority w:val="99"/>
    <w:semiHidden/>
    <w:unhideWhenUsed/>
    <w:rsid w:val="00F476E6"/>
    <w:rPr>
      <w:b/>
      <w:bCs/>
    </w:rPr>
  </w:style>
  <w:style w:type="character" w:customStyle="1" w:styleId="af1">
    <w:name w:val="批注主题 字符"/>
    <w:basedOn w:val="af"/>
    <w:link w:val="af0"/>
    <w:uiPriority w:val="99"/>
    <w:semiHidden/>
    <w:rsid w:val="00F476E6"/>
    <w:rPr>
      <w:b/>
      <w:bCs/>
    </w:rPr>
  </w:style>
  <w:style w:type="character" w:styleId="af2">
    <w:name w:val="Hyperlink"/>
    <w:basedOn w:val="a0"/>
    <w:uiPriority w:val="99"/>
    <w:unhideWhenUsed/>
    <w:rsid w:val="00F476E6"/>
    <w:rPr>
      <w:color w:val="0000FF"/>
      <w:u w:val="single"/>
    </w:rPr>
  </w:style>
  <w:style w:type="paragraph" w:customStyle="1" w:styleId="src">
    <w:name w:val="src"/>
    <w:basedOn w:val="a"/>
    <w:rsid w:val="00303C6E"/>
    <w:pPr>
      <w:widowControl/>
      <w:spacing w:before="100" w:beforeAutospacing="1" w:after="100" w:afterAutospacing="1"/>
      <w:jc w:val="left"/>
    </w:pPr>
    <w:rPr>
      <w:rFonts w:ascii="宋体" w:eastAsia="宋体" w:hAnsi="宋体" w:cs="宋体"/>
      <w:kern w:val="0"/>
      <w:sz w:val="24"/>
      <w:szCs w:val="24"/>
    </w:rPr>
  </w:style>
  <w:style w:type="character" w:styleId="af3">
    <w:name w:val="Unresolved Mention"/>
    <w:basedOn w:val="a0"/>
    <w:uiPriority w:val="99"/>
    <w:semiHidden/>
    <w:unhideWhenUsed/>
    <w:rsid w:val="00C768F9"/>
    <w:rPr>
      <w:color w:val="605E5C"/>
      <w:shd w:val="clear" w:color="auto" w:fill="E1DFDD"/>
    </w:rPr>
  </w:style>
  <w:style w:type="character" w:customStyle="1" w:styleId="30">
    <w:name w:val="标题 3 字符"/>
    <w:basedOn w:val="a0"/>
    <w:link w:val="3"/>
    <w:uiPriority w:val="9"/>
    <w:rsid w:val="0019331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8915">
      <w:bodyDiv w:val="1"/>
      <w:marLeft w:val="0"/>
      <w:marRight w:val="0"/>
      <w:marTop w:val="0"/>
      <w:marBottom w:val="0"/>
      <w:divBdr>
        <w:top w:val="none" w:sz="0" w:space="0" w:color="auto"/>
        <w:left w:val="none" w:sz="0" w:space="0" w:color="auto"/>
        <w:bottom w:val="none" w:sz="0" w:space="0" w:color="auto"/>
        <w:right w:val="none" w:sz="0" w:space="0" w:color="auto"/>
      </w:divBdr>
    </w:div>
    <w:div w:id="454638625">
      <w:bodyDiv w:val="1"/>
      <w:marLeft w:val="0"/>
      <w:marRight w:val="0"/>
      <w:marTop w:val="0"/>
      <w:marBottom w:val="0"/>
      <w:divBdr>
        <w:top w:val="none" w:sz="0" w:space="0" w:color="auto"/>
        <w:left w:val="none" w:sz="0" w:space="0" w:color="auto"/>
        <w:bottom w:val="none" w:sz="0" w:space="0" w:color="auto"/>
        <w:right w:val="none" w:sz="0" w:space="0" w:color="auto"/>
      </w:divBdr>
    </w:div>
    <w:div w:id="738675954">
      <w:bodyDiv w:val="1"/>
      <w:marLeft w:val="0"/>
      <w:marRight w:val="0"/>
      <w:marTop w:val="0"/>
      <w:marBottom w:val="0"/>
      <w:divBdr>
        <w:top w:val="none" w:sz="0" w:space="0" w:color="auto"/>
        <w:left w:val="none" w:sz="0" w:space="0" w:color="auto"/>
        <w:bottom w:val="none" w:sz="0" w:space="0" w:color="auto"/>
        <w:right w:val="none" w:sz="0" w:space="0" w:color="auto"/>
      </w:divBdr>
    </w:div>
    <w:div w:id="1830553763">
      <w:bodyDiv w:val="1"/>
      <w:marLeft w:val="0"/>
      <w:marRight w:val="0"/>
      <w:marTop w:val="0"/>
      <w:marBottom w:val="0"/>
      <w:divBdr>
        <w:top w:val="none" w:sz="0" w:space="0" w:color="auto"/>
        <w:left w:val="none" w:sz="0" w:space="0" w:color="auto"/>
        <w:bottom w:val="none" w:sz="0" w:space="0" w:color="auto"/>
        <w:right w:val="none" w:sz="0" w:space="0" w:color="auto"/>
      </w:divBdr>
    </w:div>
    <w:div w:id="1927957637">
      <w:bodyDiv w:val="1"/>
      <w:marLeft w:val="0"/>
      <w:marRight w:val="0"/>
      <w:marTop w:val="0"/>
      <w:marBottom w:val="0"/>
      <w:divBdr>
        <w:top w:val="none" w:sz="0" w:space="0" w:color="auto"/>
        <w:left w:val="none" w:sz="0" w:space="0" w:color="auto"/>
        <w:bottom w:val="none" w:sz="0" w:space="0" w:color="auto"/>
        <w:right w:val="none" w:sz="0" w:space="0" w:color="auto"/>
      </w:divBdr>
      <w:divsChild>
        <w:div w:id="577518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srn.com/abstract=3183610" TargetMode="External"/><Relationship Id="rId2" Type="http://schemas.openxmlformats.org/officeDocument/2006/relationships/hyperlink" Target="https://doi.org/" TargetMode="External"/><Relationship Id="rId1" Type="http://schemas.openxmlformats.org/officeDocument/2006/relationships/hyperlink" Target="https://doi.org/10.1016/j.cam.2020.113220" TargetMode="External"/><Relationship Id="rId6" Type="http://schemas.openxmlformats.org/officeDocument/2006/relationships/hyperlink" Target="https://ideas.repec.org/s/cup/jfinqa.html" TargetMode="External"/><Relationship Id="rId5" Type="http://schemas.openxmlformats.org/officeDocument/2006/relationships/hyperlink" Target="https://ideas.repec.org/a/cup/jfinqa/v54y2019i6p2423-2452_5.html" TargetMode="External"/><Relationship Id="rId4" Type="http://schemas.openxmlformats.org/officeDocument/2006/relationships/hyperlink" Target="https://dx.doi.org/10.2139/ssrn.318361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EF082-C8E9-4460-99F0-B097DB92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12</Pages>
  <Words>6046</Words>
  <Characters>6288</Characters>
  <Application>Microsoft Office Word</Application>
  <DocSecurity>0</DocSecurity>
  <Lines>161</Lines>
  <Paragraphs>69</Paragraphs>
  <ScaleCrop>false</ScaleCrop>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江磊</dc:creator>
  <cp:keywords/>
  <dc:description/>
  <cp:lastModifiedBy>袁 江磊</cp:lastModifiedBy>
  <cp:revision>21</cp:revision>
  <dcterms:created xsi:type="dcterms:W3CDTF">2023-01-14T04:35:00Z</dcterms:created>
  <dcterms:modified xsi:type="dcterms:W3CDTF">2023-02-26T05:14:00Z</dcterms:modified>
</cp:coreProperties>
</file>