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2FF915B1" w14:textId="77777777" w:rsidR="00384EBD" w:rsidRDefault="00384EBD" w:rsidP="00384EBD">
      <w:r>
        <w:rPr>
          <w:rFonts w:hint="eastAsia"/>
        </w:rPr>
        <w:t>江苏旅游简介</w:t>
      </w:r>
    </w:p>
    <w:p w14:paraId="01C1EE90" w14:textId="77777777" w:rsidR="00384EBD" w:rsidRDefault="00384EBD" w:rsidP="00384EBD">
      <w:r>
        <w:rPr>
          <w:rFonts w:hint="eastAsia"/>
        </w:rPr>
        <w:t>江苏旅游资源丰富，名胜古迹众多。江苏旅游景点以长江、大运河、太湖、海滨为主，构成了“以水为主、以山水组合见胜”的独特旅游资源。江苏旅游景点包括了南京六朝遗迹，</w:t>
      </w:r>
      <w:r>
        <w:rPr>
          <w:rFonts w:hint="eastAsia"/>
        </w:rPr>
        <w:t xml:space="preserve"> </w:t>
      </w:r>
      <w:r>
        <w:rPr>
          <w:rFonts w:hint="eastAsia"/>
        </w:rPr>
        <w:t>苏州园林，无锡太湖胜景，宜兴竹海洞天，徐州秦汉遗迹，连云港海城山水，淮安平原风光，周庄水乡秀色等名闻遐迩的旅游胜地。江苏旅游地图中除了丰富的人文风光资源，自然景观也相当壮丽，山水相接水天一色，山、水、洞、泉，旅游资源丰富，有横卧东西的长江，纵横南北的大运河，烟波浩淼的太湖、洪泽湖，清秀俊丽的瘦西湖、玄武湖、云龙湖，有雄峙江边的狼山、金山、北固山，龙盘虎踞的紫金山，神奇美妙的花果山；有千奇百怪的善卷洞、张公洞、灵谷洞、慕蠡洞、西施洞；有名扬天下的镇江中冷泉、无锡惠山泉、汤山泉、江浦汤泉、浦口珍珠泉。</w:t>
      </w:r>
    </w:p>
    <w:p w14:paraId="07E9B3D4" w14:textId="77777777" w:rsidR="00384EBD" w:rsidRDefault="00384EBD" w:rsidP="00384EBD">
      <w:r>
        <w:rPr>
          <w:rFonts w:hint="eastAsia"/>
        </w:rPr>
        <w:t>江苏十三座城市，每一座都有其极具代表性的旅游资源：南京的六朝胜迹；苏州的古镇园林；无锡的太湖风光；常州的主题公园；镇江的寺院山林；扬州的汉唐文化；泰州的国粹遗韵；南通的江涛海潮；盐城的红色历史（新四军重建军部）和珍禽灵兽；连云港的海域仙境；淮安的伟人故居；宿迁的田园风景；徐州的秦汉遗迹，无不吸引着八方游客，四海宾朋。还有那食不厌精、脍不厌细的淮扬美食，流传千古的诗词文赋、鸿篇巨制，丰富多彩、充满乡土气息的民俗风情，巧夺天工、叹为观止的工艺美术，新鲜美味、名闻遐迩的风物特产，种类繁多、精彩绝伦的戏剧曲艺，更赋予江苏这片充满着“情与水的中国文化之乡”无穷魅力和动人风采。</w:t>
      </w:r>
    </w:p>
    <w:p w14:paraId="2BA47142" w14:textId="77777777" w:rsidR="00384EBD" w:rsidRDefault="00384EBD" w:rsidP="00384EBD">
      <w:r>
        <w:rPr>
          <w:rFonts w:hint="eastAsia"/>
        </w:rPr>
        <w:t>江苏的山虽不高，但多负盛名。著名的有南京钟山，镇江北固山、金山，句容和金坛交界处的茅山，南通狼山，苏州的天平山，徐州云龙山和连云港的花果山等。江苏的水兼江河湖海之美，中国第一大河——长江横穿东西，江面辽阔。世界上最古老的运河——京杭大运河纵贯南北，蔚为壮观。我国第三大淡水湖——太湖及第四大淡水湖——洪泽湖烟波浩瀚，碧波万顷。连云港的海滨浴场，南通盐城的湿地滩涂则是江苏的沿海旅游资源。江苏的名泉极多，有“天下第一泉”镇江中泠泉，“天下第二泉”无锡惠山泉，“天下第三泉”苏州虎丘憨憨泉。</w:t>
      </w:r>
      <w:r>
        <w:rPr>
          <w:rFonts w:hint="eastAsia"/>
        </w:rPr>
        <w:t xml:space="preserve"> </w:t>
      </w:r>
      <w:r>
        <w:rPr>
          <w:rFonts w:hint="eastAsia"/>
        </w:rPr>
        <w:t>江苏旅游资源按区域可分为长江、太湖及徐海三个旅游区。</w:t>
      </w:r>
    </w:p>
    <w:p w14:paraId="5E99C602" w14:textId="77777777" w:rsidR="00384EBD" w:rsidRDefault="00384EBD" w:rsidP="00384EBD">
      <w:r>
        <w:rPr>
          <w:rFonts w:hint="eastAsia"/>
        </w:rPr>
        <w:t>长江旅游区山川秀丽，古迹众多，包括扬通泰镇宁五市。主要景点有南京：中山陵、明孝陵、灵谷寺、秦淮风光带、夫子庙、贡院、莫愁湖、燕子矶等。镇江：金山、焦山、</w:t>
      </w:r>
      <w:r>
        <w:rPr>
          <w:rFonts w:hint="eastAsia"/>
        </w:rPr>
        <w:t xml:space="preserve"> </w:t>
      </w:r>
      <w:r>
        <w:rPr>
          <w:rFonts w:hint="eastAsia"/>
        </w:rPr>
        <w:t>北固山、茅山、宝华山等。扬州：瘦西湖、大明寺、个园、仙鹤寺、扬州汉陵苑等。泰州：梅兰芳纪念馆、溱湖湿地公园、溱潼古镇、兴化垛田风光带等。南通：狼山景区、濠河、水绘园等。</w:t>
      </w:r>
    </w:p>
    <w:p w14:paraId="4C4E31E6" w14:textId="77777777" w:rsidR="00384EBD" w:rsidRDefault="00384EBD" w:rsidP="00384EBD">
      <w:r>
        <w:rPr>
          <w:rFonts w:hint="eastAsia"/>
        </w:rPr>
        <w:t>太湖旅游区历史悠久，人文荟</w:t>
      </w:r>
      <w:r>
        <w:rPr>
          <w:rFonts w:hint="eastAsia"/>
        </w:rPr>
        <w:t xml:space="preserve"> </w:t>
      </w:r>
      <w:r>
        <w:rPr>
          <w:rFonts w:hint="eastAsia"/>
        </w:rPr>
        <w:t>萃，山明水秀，包括苏锡常三市。主要景点有苏州：古典园林（拙政园、留园、网师园、狮子林、沧浪亭、环秀山庄、退思园）、水乡古镇（周庄、同里、甪直、木渎）、虎丘、寒山寺、苏州乐园、玄妙观、盘门三景等。无锡：鼋头渚风景区、锡惠园、无锡影视基地、灵山胜境、善卷洞、竹海等。常州：中华恐龙园、淹城遗址、天宁寺、天目湖、南山竹海等。</w:t>
      </w:r>
    </w:p>
    <w:p w14:paraId="6EDD2DC0" w14:textId="77777777" w:rsidR="00384EBD" w:rsidRDefault="00384EBD" w:rsidP="00384EBD">
      <w:r>
        <w:rPr>
          <w:rFonts w:hint="eastAsia"/>
        </w:rPr>
        <w:t>徐海旅游区历史悠久，名胜众多，包括徐淮连盐宿五市。主要景点有徐州：龟山汉墓、汉画像石艺术馆、徐州汉城、北洞山汉墓等。淮安：周恩来故居、周恩来纪念馆、淮安府衙、吴承恩纪念馆、镇淮楼、韩信故里。盐城：新四军重建军部纪念馆、盐城滩涂珍禽自然保护区、大丰麋鹿自然保护区等。连云港：花果山、东西连岛、墟沟海滨浴场等。宿迁：皂河安澜龙王庙、骆马湖旅游风景区等。</w:t>
      </w:r>
    </w:p>
    <w:p w14:paraId="36311FDA" w14:textId="77777777" w:rsidR="00384EBD" w:rsidRDefault="00384EBD" w:rsidP="00384EBD">
      <w:r>
        <w:rPr>
          <w:rFonts w:hint="eastAsia"/>
        </w:rPr>
        <w:t>目前，江苏共有全国文物重点保护单位</w:t>
      </w:r>
      <w:r>
        <w:rPr>
          <w:rFonts w:hint="eastAsia"/>
        </w:rPr>
        <w:t>120</w:t>
      </w:r>
      <w:r>
        <w:rPr>
          <w:rFonts w:hint="eastAsia"/>
        </w:rPr>
        <w:t>处，是全国文物重点保护单位较多的省份。江苏</w:t>
      </w:r>
      <w:r>
        <w:rPr>
          <w:rFonts w:hint="eastAsia"/>
        </w:rPr>
        <w:t>5A</w:t>
      </w:r>
      <w:r>
        <w:rPr>
          <w:rFonts w:hint="eastAsia"/>
        </w:rPr>
        <w:t>级景区</w:t>
      </w:r>
      <w:r>
        <w:rPr>
          <w:rFonts w:hint="eastAsia"/>
        </w:rPr>
        <w:t>9</w:t>
      </w:r>
      <w:r>
        <w:rPr>
          <w:rFonts w:hint="eastAsia"/>
        </w:rPr>
        <w:t>家、</w:t>
      </w:r>
      <w:r>
        <w:rPr>
          <w:rFonts w:hint="eastAsia"/>
        </w:rPr>
        <w:t>4A</w:t>
      </w:r>
      <w:r>
        <w:rPr>
          <w:rFonts w:hint="eastAsia"/>
        </w:rPr>
        <w:t>级景区</w:t>
      </w:r>
      <w:r>
        <w:rPr>
          <w:rFonts w:hint="eastAsia"/>
        </w:rPr>
        <w:t>101</w:t>
      </w:r>
      <w:r>
        <w:rPr>
          <w:rFonts w:hint="eastAsia"/>
        </w:rPr>
        <w:t>家、江苏的历史文化名城</w:t>
      </w:r>
      <w:r>
        <w:rPr>
          <w:rFonts w:hint="eastAsia"/>
        </w:rPr>
        <w:t>9</w:t>
      </w:r>
      <w:r>
        <w:rPr>
          <w:rFonts w:hint="eastAsia"/>
        </w:rPr>
        <w:t>座（南京、苏州、扬州、镇江、徐州、淮安、常熟、无锡、南通），数量均居全国第一位。有</w:t>
      </w:r>
      <w:r>
        <w:rPr>
          <w:rFonts w:hint="eastAsia"/>
        </w:rPr>
        <w:t>2</w:t>
      </w:r>
      <w:r>
        <w:rPr>
          <w:rFonts w:hint="eastAsia"/>
        </w:rPr>
        <w:t>项世界文化遗产及</w:t>
      </w:r>
      <w:r>
        <w:rPr>
          <w:rFonts w:hint="eastAsia"/>
        </w:rPr>
        <w:t>3</w:t>
      </w:r>
      <w:r>
        <w:rPr>
          <w:rFonts w:hint="eastAsia"/>
        </w:rPr>
        <w:t>项非物质文化遗产，</w:t>
      </w:r>
      <w:r>
        <w:rPr>
          <w:rFonts w:hint="eastAsia"/>
        </w:rPr>
        <w:t>28</w:t>
      </w:r>
      <w:r>
        <w:rPr>
          <w:rFonts w:hint="eastAsia"/>
        </w:rPr>
        <w:t>座全国优秀旅游城市，数量也名列前茅。此外还有</w:t>
      </w:r>
      <w:r>
        <w:rPr>
          <w:rFonts w:hint="eastAsia"/>
        </w:rPr>
        <w:t>2</w:t>
      </w:r>
      <w:r>
        <w:rPr>
          <w:rFonts w:hint="eastAsia"/>
        </w:rPr>
        <w:t>处国家级旅游度假区，</w:t>
      </w:r>
      <w:r>
        <w:rPr>
          <w:rFonts w:hint="eastAsia"/>
        </w:rPr>
        <w:t>2</w:t>
      </w:r>
      <w:r>
        <w:rPr>
          <w:rFonts w:hint="eastAsia"/>
        </w:rPr>
        <w:t>处国家级地质公园，</w:t>
      </w:r>
      <w:r>
        <w:rPr>
          <w:rFonts w:hint="eastAsia"/>
        </w:rPr>
        <w:t>3</w:t>
      </w:r>
      <w:r>
        <w:rPr>
          <w:rFonts w:hint="eastAsia"/>
        </w:rPr>
        <w:t>处国家级自然保护区，</w:t>
      </w:r>
      <w:r>
        <w:rPr>
          <w:rFonts w:hint="eastAsia"/>
        </w:rPr>
        <w:t>5</w:t>
      </w:r>
      <w:r>
        <w:rPr>
          <w:rFonts w:hint="eastAsia"/>
        </w:rPr>
        <w:t>处国家级风景名胜区，</w:t>
      </w:r>
      <w:r>
        <w:rPr>
          <w:rFonts w:hint="eastAsia"/>
        </w:rPr>
        <w:t>16</w:t>
      </w:r>
      <w:r>
        <w:rPr>
          <w:rFonts w:hint="eastAsia"/>
        </w:rPr>
        <w:t>个国家级森林公</w:t>
      </w:r>
      <w:r>
        <w:rPr>
          <w:rFonts w:hint="eastAsia"/>
        </w:rPr>
        <w:lastRenderedPageBreak/>
        <w:t>园。</w:t>
      </w:r>
    </w:p>
    <w:p w14:paraId="159FC6D7" w14:textId="77777777" w:rsidR="00015044" w:rsidRDefault="00AE2D4C" w:rsidP="00384EBD">
      <w:r>
        <w:rPr>
          <w:rFonts w:hint="eastAsia"/>
        </w:rPr>
        <w:t>附表：江苏主要城市近几年旅游人数（万人）情况表</w:t>
      </w: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654"/>
        <w:gridCol w:w="1662"/>
        <w:gridCol w:w="1662"/>
        <w:gridCol w:w="1663"/>
        <w:gridCol w:w="1655"/>
      </w:tblGrid>
      <w:tr w:rsidR="00AE2D4C" w14:paraId="0255DEA8" w14:textId="77777777" w:rsidTr="00451A54">
        <w:tc>
          <w:tcPr>
            <w:tcW w:w="85.20pt" w:type="dxa"/>
            <w:shd w:val="clear" w:color="auto" w:fill="auto"/>
          </w:tcPr>
          <w:p w14:paraId="2D9BD503" w14:textId="77777777" w:rsidR="00AE2D4C" w:rsidRDefault="00AE2D4C" w:rsidP="00384EBD">
            <w:r>
              <w:rPr>
                <w:rFonts w:hint="eastAsia"/>
              </w:rPr>
              <w:t>城市</w:t>
            </w:r>
          </w:p>
        </w:tc>
        <w:tc>
          <w:tcPr>
            <w:tcW w:w="85.20pt" w:type="dxa"/>
            <w:shd w:val="clear" w:color="auto" w:fill="auto"/>
          </w:tcPr>
          <w:p w14:paraId="4E47A2B0" w14:textId="77777777" w:rsidR="00AE2D4C" w:rsidRDefault="00AE2D4C" w:rsidP="00384EBD">
            <w:r>
              <w:rPr>
                <w:rFonts w:hint="eastAsia"/>
              </w:rPr>
              <w:t>2</w:t>
            </w:r>
            <w:r>
              <w:t>015</w:t>
            </w:r>
            <w:r>
              <w:rPr>
                <w:rFonts w:hint="eastAsia"/>
              </w:rPr>
              <w:t>年</w:t>
            </w:r>
          </w:p>
        </w:tc>
        <w:tc>
          <w:tcPr>
            <w:tcW w:w="85.20pt" w:type="dxa"/>
            <w:shd w:val="clear" w:color="auto" w:fill="auto"/>
          </w:tcPr>
          <w:p w14:paraId="2D392888" w14:textId="77777777" w:rsidR="00AE2D4C" w:rsidRDefault="00AE2D4C" w:rsidP="00384EBD">
            <w:r>
              <w:rPr>
                <w:rFonts w:hint="eastAsia"/>
              </w:rPr>
              <w:t>2</w:t>
            </w:r>
            <w:r>
              <w:t>016</w:t>
            </w:r>
            <w:r>
              <w:rPr>
                <w:rFonts w:hint="eastAsia"/>
              </w:rPr>
              <w:t>年</w:t>
            </w:r>
          </w:p>
        </w:tc>
        <w:tc>
          <w:tcPr>
            <w:tcW w:w="85.25pt" w:type="dxa"/>
            <w:shd w:val="clear" w:color="auto" w:fill="auto"/>
          </w:tcPr>
          <w:p w14:paraId="04D4C725" w14:textId="77777777" w:rsidR="00AE2D4C" w:rsidRDefault="00AE2D4C" w:rsidP="00384EBD">
            <w:r>
              <w:rPr>
                <w:rFonts w:hint="eastAsia"/>
              </w:rPr>
              <w:t>2</w:t>
            </w:r>
            <w:r>
              <w:t>017</w:t>
            </w:r>
            <w:r>
              <w:rPr>
                <w:rFonts w:hint="eastAsia"/>
              </w:rPr>
              <w:t>年</w:t>
            </w:r>
          </w:p>
        </w:tc>
        <w:tc>
          <w:tcPr>
            <w:tcW w:w="85.25pt" w:type="dxa"/>
            <w:shd w:val="clear" w:color="auto" w:fill="auto"/>
          </w:tcPr>
          <w:p w14:paraId="71E892D5" w14:textId="77777777" w:rsidR="00AE2D4C" w:rsidRDefault="00451A54" w:rsidP="00384EBD">
            <w:r>
              <w:rPr>
                <w:rFonts w:hint="eastAsia"/>
              </w:rPr>
              <w:t>合计</w:t>
            </w:r>
          </w:p>
        </w:tc>
      </w:tr>
      <w:tr w:rsidR="00AE2D4C" w14:paraId="0AD68958" w14:textId="77777777" w:rsidTr="00451A54">
        <w:tc>
          <w:tcPr>
            <w:tcW w:w="85.20pt" w:type="dxa"/>
            <w:shd w:val="clear" w:color="auto" w:fill="auto"/>
          </w:tcPr>
          <w:p w14:paraId="334B8E73" w14:textId="77777777" w:rsidR="00AE2D4C" w:rsidRDefault="00AE2D4C" w:rsidP="00384EBD">
            <w:r>
              <w:rPr>
                <w:rFonts w:hint="eastAsia"/>
              </w:rPr>
              <w:t>南京</w:t>
            </w:r>
          </w:p>
        </w:tc>
        <w:tc>
          <w:tcPr>
            <w:tcW w:w="85.20pt" w:type="dxa"/>
            <w:shd w:val="clear" w:color="auto" w:fill="auto"/>
          </w:tcPr>
          <w:p w14:paraId="74A4AD30" w14:textId="77777777" w:rsidR="00AE2D4C" w:rsidRDefault="00AE2D4C" w:rsidP="00384EBD">
            <w:r>
              <w:t>430</w:t>
            </w:r>
          </w:p>
        </w:tc>
        <w:tc>
          <w:tcPr>
            <w:tcW w:w="85.20pt" w:type="dxa"/>
            <w:shd w:val="clear" w:color="auto" w:fill="auto"/>
          </w:tcPr>
          <w:p w14:paraId="6C95125B" w14:textId="77777777" w:rsidR="00AE2D4C" w:rsidRDefault="00AE2D4C" w:rsidP="00384EBD">
            <w:r>
              <w:t>560</w:t>
            </w:r>
          </w:p>
        </w:tc>
        <w:tc>
          <w:tcPr>
            <w:tcW w:w="85.25pt" w:type="dxa"/>
            <w:shd w:val="clear" w:color="auto" w:fill="auto"/>
          </w:tcPr>
          <w:p w14:paraId="2DEE1A15" w14:textId="77777777" w:rsidR="00AE2D4C" w:rsidRDefault="00AE2D4C" w:rsidP="00384EBD">
            <w:r>
              <w:rPr>
                <w:rFonts w:hint="eastAsia"/>
              </w:rPr>
              <w:t>7</w:t>
            </w:r>
            <w:r>
              <w:t>80</w:t>
            </w:r>
          </w:p>
        </w:tc>
        <w:tc>
          <w:tcPr>
            <w:tcW w:w="85.25pt" w:type="dxa"/>
            <w:shd w:val="clear" w:color="auto" w:fill="auto"/>
          </w:tcPr>
          <w:p w14:paraId="226B5632" w14:textId="77777777" w:rsidR="00AE2D4C" w:rsidRDefault="00AE2D4C" w:rsidP="00384EBD"/>
        </w:tc>
      </w:tr>
      <w:tr w:rsidR="00AE2D4C" w14:paraId="0E7AA43E" w14:textId="77777777" w:rsidTr="00451A54">
        <w:tc>
          <w:tcPr>
            <w:tcW w:w="85.20pt" w:type="dxa"/>
            <w:shd w:val="clear" w:color="auto" w:fill="auto"/>
          </w:tcPr>
          <w:p w14:paraId="635FABE4" w14:textId="77777777" w:rsidR="00AE2D4C" w:rsidRDefault="00AE2D4C" w:rsidP="00384EBD">
            <w:r>
              <w:rPr>
                <w:rFonts w:hint="eastAsia"/>
              </w:rPr>
              <w:t>常州</w:t>
            </w:r>
          </w:p>
        </w:tc>
        <w:tc>
          <w:tcPr>
            <w:tcW w:w="85.20pt" w:type="dxa"/>
            <w:shd w:val="clear" w:color="auto" w:fill="auto"/>
          </w:tcPr>
          <w:p w14:paraId="68522923" w14:textId="77777777" w:rsidR="00AE2D4C" w:rsidRDefault="00AE2D4C" w:rsidP="00384EBD">
            <w:r>
              <w:t>200</w:t>
            </w:r>
          </w:p>
        </w:tc>
        <w:tc>
          <w:tcPr>
            <w:tcW w:w="85.20pt" w:type="dxa"/>
            <w:shd w:val="clear" w:color="auto" w:fill="auto"/>
          </w:tcPr>
          <w:p w14:paraId="3300FF5A" w14:textId="77777777" w:rsidR="00AE2D4C" w:rsidRDefault="00AE2D4C" w:rsidP="00384EBD">
            <w:r>
              <w:rPr>
                <w:rFonts w:hint="eastAsia"/>
              </w:rPr>
              <w:t>2</w:t>
            </w:r>
            <w:r>
              <w:t>80</w:t>
            </w:r>
          </w:p>
        </w:tc>
        <w:tc>
          <w:tcPr>
            <w:tcW w:w="85.25pt" w:type="dxa"/>
            <w:shd w:val="clear" w:color="auto" w:fill="auto"/>
          </w:tcPr>
          <w:p w14:paraId="4850FF27" w14:textId="77777777" w:rsidR="00AE2D4C" w:rsidRDefault="00AE2D4C" w:rsidP="00384EBD">
            <w:r>
              <w:rPr>
                <w:rFonts w:hint="eastAsia"/>
              </w:rPr>
              <w:t>3</w:t>
            </w:r>
            <w:r>
              <w:t>80</w:t>
            </w:r>
          </w:p>
        </w:tc>
        <w:tc>
          <w:tcPr>
            <w:tcW w:w="85.25pt" w:type="dxa"/>
            <w:shd w:val="clear" w:color="auto" w:fill="auto"/>
          </w:tcPr>
          <w:p w14:paraId="665964BD" w14:textId="77777777" w:rsidR="00AE2D4C" w:rsidRDefault="00AE2D4C" w:rsidP="00384EBD"/>
        </w:tc>
      </w:tr>
      <w:tr w:rsidR="00AE2D4C" w14:paraId="24A20850" w14:textId="77777777" w:rsidTr="00451A54">
        <w:tc>
          <w:tcPr>
            <w:tcW w:w="85.20pt" w:type="dxa"/>
            <w:shd w:val="clear" w:color="auto" w:fill="auto"/>
          </w:tcPr>
          <w:p w14:paraId="11FBA27D" w14:textId="77777777" w:rsidR="00AE2D4C" w:rsidRDefault="00AE2D4C" w:rsidP="00384EBD">
            <w:r>
              <w:rPr>
                <w:rFonts w:hint="eastAsia"/>
              </w:rPr>
              <w:t>无锡</w:t>
            </w:r>
          </w:p>
        </w:tc>
        <w:tc>
          <w:tcPr>
            <w:tcW w:w="85.20pt" w:type="dxa"/>
            <w:shd w:val="clear" w:color="auto" w:fill="auto"/>
          </w:tcPr>
          <w:p w14:paraId="7D953F37" w14:textId="77777777" w:rsidR="00AE2D4C" w:rsidRDefault="00AE2D4C" w:rsidP="00384EBD">
            <w:r>
              <w:t>300</w:t>
            </w:r>
          </w:p>
        </w:tc>
        <w:tc>
          <w:tcPr>
            <w:tcW w:w="85.20pt" w:type="dxa"/>
            <w:shd w:val="clear" w:color="auto" w:fill="auto"/>
          </w:tcPr>
          <w:p w14:paraId="61A72ED1" w14:textId="77777777" w:rsidR="00AE2D4C" w:rsidRDefault="00AE2D4C" w:rsidP="00384EBD"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85.25pt" w:type="dxa"/>
            <w:shd w:val="clear" w:color="auto" w:fill="auto"/>
          </w:tcPr>
          <w:p w14:paraId="65BC0248" w14:textId="77777777" w:rsidR="00AE2D4C" w:rsidRDefault="00AE2D4C" w:rsidP="00384EBD">
            <w:r>
              <w:rPr>
                <w:rFonts w:hint="eastAsia"/>
              </w:rPr>
              <w:t>4</w:t>
            </w:r>
            <w:r>
              <w:t>90</w:t>
            </w:r>
          </w:p>
        </w:tc>
        <w:tc>
          <w:tcPr>
            <w:tcW w:w="85.25pt" w:type="dxa"/>
            <w:shd w:val="clear" w:color="auto" w:fill="auto"/>
          </w:tcPr>
          <w:p w14:paraId="78B075BF" w14:textId="77777777" w:rsidR="00AE2D4C" w:rsidRDefault="00AE2D4C" w:rsidP="00384EBD"/>
        </w:tc>
      </w:tr>
      <w:tr w:rsidR="00AE2D4C" w14:paraId="33980227" w14:textId="77777777" w:rsidTr="00451A54">
        <w:tc>
          <w:tcPr>
            <w:tcW w:w="85.20pt" w:type="dxa"/>
            <w:shd w:val="clear" w:color="auto" w:fill="auto"/>
          </w:tcPr>
          <w:p w14:paraId="7725BC80" w14:textId="77777777" w:rsidR="00AE2D4C" w:rsidRDefault="00AE2D4C" w:rsidP="00384EBD">
            <w:r>
              <w:rPr>
                <w:rFonts w:hint="eastAsia"/>
              </w:rPr>
              <w:t>苏州</w:t>
            </w:r>
          </w:p>
        </w:tc>
        <w:tc>
          <w:tcPr>
            <w:tcW w:w="85.20pt" w:type="dxa"/>
            <w:shd w:val="clear" w:color="auto" w:fill="auto"/>
          </w:tcPr>
          <w:p w14:paraId="7DBD79BA" w14:textId="77777777" w:rsidR="00AE2D4C" w:rsidRDefault="00AE2D4C" w:rsidP="00384EBD">
            <w:r>
              <w:t>620</w:t>
            </w:r>
          </w:p>
        </w:tc>
        <w:tc>
          <w:tcPr>
            <w:tcW w:w="85.20pt" w:type="dxa"/>
            <w:shd w:val="clear" w:color="auto" w:fill="auto"/>
          </w:tcPr>
          <w:p w14:paraId="68F3BEE4" w14:textId="77777777" w:rsidR="00AE2D4C" w:rsidRDefault="00AE2D4C" w:rsidP="00384EBD">
            <w:r>
              <w:rPr>
                <w:rFonts w:hint="eastAsia"/>
              </w:rPr>
              <w:t>8</w:t>
            </w:r>
            <w:r>
              <w:t>90</w:t>
            </w:r>
          </w:p>
        </w:tc>
        <w:tc>
          <w:tcPr>
            <w:tcW w:w="85.25pt" w:type="dxa"/>
            <w:shd w:val="clear" w:color="auto" w:fill="auto"/>
          </w:tcPr>
          <w:p w14:paraId="69EF2770" w14:textId="77777777" w:rsidR="00AE2D4C" w:rsidRDefault="00AE2D4C" w:rsidP="00384EBD">
            <w:r>
              <w:rPr>
                <w:rFonts w:hint="eastAsia"/>
              </w:rPr>
              <w:t>1</w:t>
            </w:r>
            <w:r>
              <w:t>100</w:t>
            </w:r>
          </w:p>
        </w:tc>
        <w:tc>
          <w:tcPr>
            <w:tcW w:w="85.25pt" w:type="dxa"/>
            <w:shd w:val="clear" w:color="auto" w:fill="auto"/>
          </w:tcPr>
          <w:p w14:paraId="16C8E222" w14:textId="77777777" w:rsidR="00AE2D4C" w:rsidRDefault="00AE2D4C" w:rsidP="00384EBD"/>
        </w:tc>
      </w:tr>
    </w:tbl>
    <w:p w14:paraId="699756CD" w14:textId="77777777" w:rsidR="00AE2D4C" w:rsidRPr="00384EBD" w:rsidRDefault="00AE2D4C" w:rsidP="00384EBD"/>
    <w:sectPr w:rsidR="00AE2D4C" w:rsidRPr="00384EBD">
      <w:pgSz w:w="595.30pt" w:h="841.90pt"/>
      <w:pgMar w:top="72pt" w:right="90pt" w:bottom="72pt" w:left="90pt" w:header="42.55pt" w:footer="49.60pt" w:gutter="0pt"/>
      <w:cols w:space="21.25pt"/>
      <w:docGrid w:type="lines" w:linePitch="312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bordersDoNotSurroundHeader/>
  <w:bordersDoNotSurroundFooter/>
  <w:defaultTabStop w:val="21pt"/>
  <w:drawingGridVerticalSpacing w:val="7.80pt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D0B"/>
    <w:rsid w:val="00015044"/>
    <w:rsid w:val="00384EBD"/>
    <w:rsid w:val="00451A54"/>
    <w:rsid w:val="005F366E"/>
    <w:rsid w:val="00972380"/>
    <w:rsid w:val="00AE2D4C"/>
    <w:rsid w:val="00D73D0B"/>
    <w:rsid w:val="00FD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CD3E68"/>
  <w15:docId w15:val="{5ADF1E87-B8FD-49FA-8D93-C80BFCF77D02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link w:val="30"/>
    <w:uiPriority w:val="9"/>
    <w:qFormat/>
    <w:rsid w:val="00D73D0B"/>
    <w:pPr>
      <w:widowControl/>
      <w:spacing w:before="5pt" w:beforeAutospacing="1" w:after="5pt" w:afterAutospacing="1"/>
      <w:jc w:val="start"/>
      <w:outlineLvl w:val="2"/>
    </w:pPr>
    <w:rPr>
      <w:rFonts w:ascii="宋体" w:hAnsi="宋体" w:cs="宋体"/>
      <w:color w:val="00659A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uiPriority w:val="9"/>
    <w:rsid w:val="00D73D0B"/>
    <w:rPr>
      <w:rFonts w:ascii="宋体" w:eastAsia="宋体" w:hAnsi="宋体" w:cs="宋体"/>
      <w:color w:val="00659A"/>
      <w:kern w:val="0"/>
      <w:sz w:val="24"/>
      <w:szCs w:val="24"/>
    </w:rPr>
  </w:style>
  <w:style w:type="character" w:styleId="a3">
    <w:name w:val="Hyperlink"/>
    <w:uiPriority w:val="99"/>
    <w:semiHidden/>
    <w:unhideWhenUsed/>
    <w:rsid w:val="00D73D0B"/>
    <w:rPr>
      <w:strike w:val="0"/>
      <w:dstrike w:val="0"/>
      <w:color w:val="434343"/>
      <w:u w:val="none"/>
      <w:effect w:val="none"/>
    </w:rPr>
  </w:style>
  <w:style w:type="table" w:styleId="a4">
    <w:name w:val="Table Grid"/>
    <w:basedOn w:val="a1"/>
    <w:uiPriority w:val="59"/>
    <w:rsid w:val="00AE2D4C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459715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7241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254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030298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452915">
                      <w:marLeft w:val="0pt"/>
                      <w:marRight w:val="0pt"/>
                      <w:marTop w:val="0pt"/>
                      <w:marBottom w:val="0pt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241004">
                          <w:marLeft w:val="0pt"/>
                          <w:marRight w:val="0pt"/>
                          <w:marTop w:val="0pt"/>
                          <w:marBottom w:val="0pt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319632">
                              <w:marLeft w:val="0pt"/>
                              <w:marRight w:val="0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993495">
                                  <w:marLeft w:val="0pt"/>
                                  <w:marRight w:val="0pt"/>
                                  <w:marTop w:val="0pt"/>
                                  <w:marBottom w:val="0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8810">
                                      <w:marLeft w:val="0pt"/>
                                      <w:marRight w:val="0pt"/>
                                      <w:marTop w:val="0pt"/>
                                      <w:marBottom w:val="0pt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webSettings" Target="webSettings.xml"/><Relationship Id="rId2" Type="http://purl.oclc.org/ooxml/officeDocument/relationships/settings" Target="settings.xml"/><Relationship Id="rId1" Type="http://purl.oclc.org/ooxml/officeDocument/relationships/styles" Target="styles.xml"/><Relationship Id="rId5" Type="http://purl.oclc.org/ooxml/officeDocument/relationships/theme" Target="theme/theme1.xml"/><Relationship Id="rId4" Type="http://purl.oclc.org/ooxml/officeDocument/relationships/fontTable" Target="fontTable.xml"/></Relationships>
</file>

<file path=word/theme/theme1.xml><?xml version="1.0" encoding="utf-8"?>
<a:theme xmlns:a="http://purl.oclc.org/ooxml/drawingml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tint val="50%"/>
                <a:satMod val="300%"/>
              </a:schemeClr>
            </a:gs>
            <a:gs pos="35%">
              <a:schemeClr val="phClr">
                <a:tint val="37%"/>
                <a:satMod val="300%"/>
              </a:schemeClr>
            </a:gs>
            <a:gs pos="100%">
              <a:schemeClr val="phClr">
                <a:tint val="15%"/>
                <a:satMod val="350%"/>
              </a:schemeClr>
            </a:gs>
          </a:gsLst>
          <a:lin ang="16200000" scaled="1"/>
        </a:gradFill>
        <a:gradFill rotWithShape="1">
          <a:gsLst>
            <a:gs pos="0%">
              <a:schemeClr val="phClr">
                <a:shade val="51%"/>
                <a:satMod val="130%"/>
              </a:schemeClr>
            </a:gs>
            <a:gs pos="80%">
              <a:schemeClr val="phClr">
                <a:shade val="93%"/>
                <a:satMod val="130%"/>
              </a:schemeClr>
            </a:gs>
            <a:gs pos="100%">
              <a:schemeClr val="phClr">
                <a:shade val="94%"/>
                <a:satMod val="135%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%"/>
              <a:satMod val="105%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%">
              <a:schemeClr val="phClr">
                <a:tint val="40%"/>
                <a:satMod val="350%"/>
              </a:schemeClr>
            </a:gs>
            <a:gs pos="40%">
              <a:schemeClr val="phClr">
                <a:tint val="45%"/>
                <a:shade val="99%"/>
                <a:satMod val="350%"/>
              </a:schemeClr>
            </a:gs>
            <a:gs pos="100%">
              <a:schemeClr val="phClr">
                <a:shade val="20%"/>
                <a:satMod val="255%"/>
              </a:schemeClr>
            </a:gs>
          </a:gsLst>
          <a:path path="circle">
            <a:fillToRect l="50%" t="-80%" r="50%" b="180%"/>
          </a:path>
        </a:gradFill>
        <a:gradFill rotWithShape="1">
          <a:gsLst>
            <a:gs pos="0%">
              <a:schemeClr val="phClr">
                <a:tint val="80%"/>
                <a:satMod val="300%"/>
              </a:schemeClr>
            </a:gs>
            <a:gs pos="100%">
              <a:schemeClr val="phClr">
                <a:shade val="30%"/>
                <a:satMod val="200%"/>
              </a:schemeClr>
            </a:gs>
          </a:gsLst>
          <a:path path="circle">
            <a:fillToRect l="50%" t="50%" r="50%" b="50%"/>
          </a:path>
        </a:gradFill>
      </a:bgFillStyleLst>
    </a:fmtScheme>
  </a:themeElements>
  <a:objectDefaults/>
  <a:extraClrSchemeLst/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</TotalTime>
  <Pages>2</Pages>
  <Words>258</Words>
  <Characters>1477</Characters>
  <Application>Microsoft Office Word</Application>
  <DocSecurity>0</DocSecurity>
  <Lines>12</Lines>
  <Paragraphs>3</Paragraphs>
  <ScaleCrop>false</ScaleCrop>
  <Company> </Company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宋乃平</dc:creator>
  <cp:lastModifiedBy>先生 蒋</cp:lastModifiedBy>
  <cp:revision>2</cp:revision>
  <dcterms:created xsi:type="dcterms:W3CDTF">2025-04-26T14:24:00Z</dcterms:created>
  <dcterms:modified xsi:type="dcterms:W3CDTF">2025-04-26T14:24:00Z</dcterms:modified>
</cp:coreProperties>
</file>