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3E52" w:rsidRPr="0048539A" w:rsidRDefault="006C3E52" w:rsidP="0048539A">
      <w:pPr>
        <w:jc w:val="center"/>
        <w:rPr>
          <w:rFonts w:ascii="黑体" w:eastAsia="黑体" w:hAnsi="黑体" w:cs="宋体"/>
          <w:color w:val="000000"/>
          <w:spacing w:val="120"/>
          <w:kern w:val="0"/>
          <w:sz w:val="50"/>
          <w:szCs w:val="50"/>
          <w:shd w:val="clear" w:color="auto" w:fill="FF0000"/>
        </w:rPr>
      </w:pPr>
      <w:r w:rsidRPr="0048539A">
        <w:rPr>
          <w:rFonts w:ascii="黑体" w:eastAsia="黑体" w:hAnsi="黑体" w:cs="宋体" w:hint="eastAsia"/>
          <w:color w:val="000000"/>
          <w:spacing w:val="120"/>
          <w:kern w:val="0"/>
          <w:sz w:val="50"/>
          <w:szCs w:val="50"/>
          <w:shd w:val="clear" w:color="auto" w:fill="FF0000"/>
        </w:rPr>
        <w:t>扬州旅游简介</w:t>
      </w:r>
    </w:p>
    <w:p w:rsidR="0048539A" w:rsidRPr="0048539A" w:rsidRDefault="0048539A" w:rsidP="0048539A">
      <w:pPr>
        <w:keepNext/>
        <w:framePr w:dropCap="drop" w:lines="2" w:wrap="around" w:vAnchor="text" w:hAnchor="text"/>
        <w:spacing w:line="623" w:lineRule="exact"/>
        <w:textAlignment w:val="baseline"/>
        <w:rPr>
          <w:rFonts w:ascii="隶书" w:eastAsia="隶书" w:hAnsi="宋体" w:cs="宋体"/>
          <w:color w:val="000000"/>
          <w:kern w:val="0"/>
          <w:position w:val="-4"/>
          <w:sz w:val="79"/>
          <w:szCs w:val="21"/>
        </w:rPr>
      </w:pPr>
      <w:r w:rsidRPr="0048539A">
        <w:rPr>
          <w:rFonts w:ascii="隶书" w:eastAsia="隶书" w:hAnsi="宋体" w:cs="宋体" w:hint="eastAsia"/>
          <w:color w:val="0070C0"/>
          <w:kern w:val="0"/>
          <w:position w:val="-4"/>
          <w:sz w:val="79"/>
          <w:szCs w:val="21"/>
        </w:rPr>
        <w:t>扬</w:t>
      </w:r>
    </w:p>
    <w:p w:rsidR="006C3E52" w:rsidRPr="006C3E52" w:rsidRDefault="006C3E52" w:rsidP="006C3E52">
      <w:pPr>
        <w:rPr>
          <w:rFonts w:ascii="宋体" w:hAnsi="宋体" w:cs="宋体"/>
          <w:color w:val="000000"/>
          <w:kern w:val="0"/>
          <w:szCs w:val="21"/>
        </w:rPr>
      </w:pPr>
      <w:r w:rsidRPr="006C3E52">
        <w:rPr>
          <w:rFonts w:ascii="宋体" w:hAnsi="宋体" w:cs="宋体" w:hint="eastAsia"/>
          <w:color w:val="000000"/>
          <w:kern w:val="0"/>
          <w:szCs w:val="21"/>
        </w:rPr>
        <w:t>州位于中国东南，江苏中部。在地理上，它处于长江和运河的交叉点，是名副其实的交通枢纽。在经济上，它产生过富可敌国的明清盐商，如今是集工商、科教、旅游、生态为一体的地域中心城市。在文化上，它拥有各种技术、艺术、学术精华，素以富裕、文明、秀美著称。</w:t>
      </w:r>
    </w:p>
    <w:p w:rsidR="006C3E52" w:rsidRPr="006C3E52" w:rsidRDefault="0048539A" w:rsidP="0048539A">
      <w:pPr>
        <w:ind w:firstLineChars="200" w:firstLine="420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noProof/>
          <w:color w:val="000000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384810</wp:posOffset>
                </wp:positionV>
                <wp:extent cx="1743075" cy="400050"/>
                <wp:effectExtent l="0" t="0" r="28575" b="1905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39A" w:rsidRPr="0048539A" w:rsidRDefault="0048539A">
                            <w:pPr>
                              <w:rPr>
                                <w:rFonts w:ascii="华文行楷" w:eastAsia="华文行楷" w:hint="eastAsia"/>
                                <w:color w:val="00B0F0"/>
                                <w:sz w:val="44"/>
                                <w:szCs w:val="44"/>
                              </w:rPr>
                            </w:pPr>
                            <w:r w:rsidRPr="0048539A">
                              <w:rPr>
                                <w:rFonts w:ascii="华文行楷" w:eastAsia="华文行楷" w:hint="eastAsia"/>
                                <w:color w:val="00B0F0"/>
                                <w:sz w:val="44"/>
                                <w:szCs w:val="44"/>
                              </w:rPr>
                              <w:t>扬州欢迎你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41pt;margin-top:30.3pt;width:137.25pt;height:3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" fillcolor="white [3201]" strokeweight=".5pt">
                <v:textbox>
                  <w:txbxContent>
                    <w:p w:rsidR="0048539A" w:rsidRPr="0048539A" w:rsidRDefault="0048539A">
                      <w:pPr>
                        <w:rPr>
                          <w:rFonts w:ascii="华文行楷" w:eastAsia="华文行楷" w:hint="eastAsia"/>
                          <w:color w:val="00B0F0"/>
                          <w:sz w:val="44"/>
                          <w:szCs w:val="44"/>
                        </w:rPr>
                      </w:pPr>
                      <w:r w:rsidRPr="0048539A">
                        <w:rPr>
                          <w:rFonts w:ascii="华文行楷" w:eastAsia="华文行楷" w:hint="eastAsia"/>
                          <w:color w:val="00B0F0"/>
                          <w:sz w:val="44"/>
                          <w:szCs w:val="44"/>
                        </w:rPr>
                        <w:t>扬州欢迎你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3E52" w:rsidRPr="006C3E52">
        <w:rPr>
          <w:rFonts w:ascii="宋体" w:hAnsi="宋体" w:cs="宋体" w:hint="eastAsia"/>
          <w:color w:val="000000"/>
          <w:kern w:val="0"/>
          <w:szCs w:val="21"/>
        </w:rPr>
        <w:t>扬州旅游资源丰富，名胜古迹众多。扬州旅游景点以扬州的园林如瘦西湖、大明寺、个园、何园等为扬州最著名的旅游景点。除扬州园林外，还包括其他主要的旅游景点，如唐城遗址，汉陵苑，世界动物之窗，蜀冈西峰生态公园，扬州八怪纪念馆，朱自清故居，普哈丁墓园，马可波罗纪念馆，“双东”历史街区，凤凰岛，瓜洲古渡，润扬森林公园等。当然扬州的美食也不容错过，包括“富春”、“五亭”牌速冻包子，“三和四美”牌酱菜，牛皮糖，扬州 “三把刀”(理发刀、修脚刀、厨刀），高邮双黄蛋等等。</w:t>
      </w:r>
    </w:p>
    <w:p w:rsidR="006C3E52" w:rsidRPr="006C3E52" w:rsidRDefault="006C3E52" w:rsidP="00B05C6C">
      <w:pPr>
        <w:pBdr>
          <w:top w:val="single" w:sz="12" w:space="1" w:color="FF0000" w:shadow="1"/>
          <w:left w:val="single" w:sz="12" w:space="4" w:color="FF0000" w:shadow="1"/>
          <w:bottom w:val="single" w:sz="12" w:space="1" w:color="FF0000" w:shadow="1"/>
          <w:right w:val="single" w:sz="12" w:space="4" w:color="FF0000" w:shadow="1"/>
        </w:pBdr>
        <w:shd w:val="clear" w:color="auto" w:fill="92D050"/>
        <w:spacing w:beforeLines="50" w:before="156" w:afterLines="50" w:after="156"/>
        <w:ind w:firstLineChars="200" w:firstLine="420"/>
        <w:rPr>
          <w:rFonts w:ascii="宋体" w:hAnsi="宋体" w:cs="宋体"/>
          <w:color w:val="000000"/>
          <w:kern w:val="0"/>
          <w:szCs w:val="21"/>
        </w:rPr>
      </w:pPr>
      <w:r w:rsidRPr="006C3E52">
        <w:rPr>
          <w:rFonts w:ascii="宋体" w:hAnsi="宋体" w:cs="宋体" w:hint="eastAsia"/>
          <w:color w:val="000000"/>
          <w:kern w:val="0"/>
          <w:szCs w:val="21"/>
        </w:rPr>
        <w:t>扬州瘦西湖是国家重点风景名胜区，国家AAAAA级旅游区，始建于南北朝，清代康乾时期即已形成的“两堤花柳全依水，一路楼台直到山”的湖上园林，总面积近2000亩，其中水面面积约750亩。园林建筑融南方之秀，北方之雄于一体，风韵独具而蜚声海内外。</w:t>
      </w:r>
    </w:p>
    <w:p w:rsidR="006C3E52" w:rsidRPr="006C3E52" w:rsidRDefault="006C3E52" w:rsidP="0048539A">
      <w:pPr>
        <w:ind w:firstLineChars="200" w:firstLine="420"/>
        <w:rPr>
          <w:rFonts w:ascii="宋体" w:hAnsi="宋体" w:cs="宋体"/>
          <w:color w:val="000000"/>
          <w:kern w:val="0"/>
          <w:szCs w:val="21"/>
        </w:rPr>
      </w:pPr>
      <w:r w:rsidRPr="006C3E52">
        <w:rPr>
          <w:rFonts w:ascii="宋体" w:hAnsi="宋体" w:cs="宋体" w:hint="eastAsia"/>
          <w:color w:val="000000"/>
          <w:kern w:val="0"/>
          <w:szCs w:val="21"/>
        </w:rPr>
        <w:t>扬州大明寺，古城扬州北郊，蜀冈如卧龙般蜿蜒绵亘。名扬四海的千年古刹大明寺，就雄踞在蜀冈中峰之上。大明寺及其附属建筑，因其集佛教庙宇、文物古迹和园林风光于一体而历代享有盛名，是一处历史文化内涵十分丰富的民族文化宝藏。大明寺因初建于南朝刘宋孝武帝大明年间（457—464年）而得名。1500余年来，寺名多有变化，如隋代称“栖灵寺”、“西寺唐末称“秤平”等。清代因讳“大明”二字，一度沿称“栖灵寺”，乾隆三十年皇帝亲笔题书“敕题法净寺”。1980年，大明寺恢复原名。</w:t>
      </w:r>
    </w:p>
    <w:p w:rsidR="006C3E52" w:rsidRPr="006C3E52" w:rsidRDefault="006C3E52" w:rsidP="0048539A">
      <w:pPr>
        <w:ind w:firstLineChars="200" w:firstLine="420"/>
        <w:rPr>
          <w:rFonts w:ascii="宋体" w:hAnsi="宋体" w:cs="宋体"/>
          <w:color w:val="000000"/>
          <w:kern w:val="0"/>
          <w:szCs w:val="21"/>
        </w:rPr>
      </w:pPr>
      <w:r w:rsidRPr="006C3E52">
        <w:rPr>
          <w:rFonts w:ascii="宋体" w:hAnsi="宋体" w:cs="宋体" w:hint="eastAsia"/>
          <w:color w:val="000000"/>
          <w:kern w:val="0"/>
          <w:szCs w:val="21"/>
        </w:rPr>
        <w:t xml:space="preserve">清代扬州曾有“园林甲天下”之誉，至今还保留着许多优秀的古典园林，其中历史最悠久、保存最完整、最具艺术价值的，要算坐落在古城北隅的“个园”了。 1988年个园被国务院授予“全国重点文物保护单位”。个园是以竹石取胜的，为中国四大名园之一。连园名中的“个”字，也是取了竹字的半边，应合了庭园里各色竹子，主人的情趣和心智都在里面了。此外，它的取名也因为竹子顶部的每三片竹叶都可以形成“个”字，在白墙上的影子也是“个”字。 </w:t>
      </w:r>
    </w:p>
    <w:p w:rsidR="006C3E52" w:rsidRPr="006C3E52" w:rsidRDefault="006C3E52" w:rsidP="0048539A">
      <w:pPr>
        <w:ind w:firstLineChars="200" w:firstLine="420"/>
        <w:rPr>
          <w:rFonts w:ascii="宋体" w:hAnsi="宋体" w:cs="宋体"/>
          <w:color w:val="000000"/>
          <w:kern w:val="0"/>
          <w:szCs w:val="21"/>
        </w:rPr>
      </w:pPr>
      <w:r w:rsidRPr="006C3E52">
        <w:rPr>
          <w:rFonts w:ascii="宋体" w:hAnsi="宋体" w:cs="宋体" w:hint="eastAsia"/>
          <w:color w:val="000000"/>
          <w:kern w:val="0"/>
          <w:szCs w:val="21"/>
        </w:rPr>
        <w:t>何园又名“寄啸山庄”，由清光绪年间任湖北汉黄道台、江汉关监督、曾任清政府驻法国公使的何芷舠所造，是清乾隆年间双槐园的旧址。清同治年间，在双槐园的旧址上改建成寄啸山庄，占地14000余平方米，</w:t>
      </w:r>
      <w:r w:rsidR="00E03127">
        <w:rPr>
          <w:rFonts w:ascii="宋体" w:hAnsi="宋体" w:cs="宋体" w:hint="eastAsia"/>
          <w:noProof/>
          <w:color w:val="000000"/>
          <w:kern w:val="0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509905</wp:posOffset>
            </wp:positionV>
            <wp:extent cx="1524000" cy="1524000"/>
            <wp:effectExtent l="19050" t="19050" r="19050" b="19050"/>
            <wp:wrapSquare wrapText="bothSides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ln w="25400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3E52">
        <w:rPr>
          <w:rFonts w:ascii="宋体" w:hAnsi="宋体" w:cs="宋体" w:hint="eastAsia"/>
          <w:color w:val="000000"/>
          <w:kern w:val="0"/>
          <w:szCs w:val="21"/>
        </w:rPr>
        <w:t>园内有大槐树两株，传为双槐园故物，今仍有一株。园名取自陶渊明“归去来兮……登东皋以舒啸，临清流而赋诗”之意，辟为何宅的后花园，故而又称“何园”。光绪九年（公元1883年），园主归隐扬州后，购得吴氏片石山房旧址，扩入园林。园主将西方建筑特色带回了文明古国，并吸收中国皇家园林和江南诸家私宅庭园之长，又广泛使用新材料，使该园吸取众家园林之经验而有所出新。</w:t>
      </w:r>
    </w:p>
    <w:p w:rsidR="006C3E52" w:rsidRPr="006C3E52" w:rsidRDefault="006C3E52" w:rsidP="0048539A">
      <w:pPr>
        <w:ind w:firstLineChars="200" w:firstLine="420"/>
        <w:rPr>
          <w:rFonts w:ascii="宋体" w:hAnsi="宋体" w:cs="宋体"/>
          <w:color w:val="000000"/>
          <w:kern w:val="0"/>
          <w:szCs w:val="21"/>
        </w:rPr>
      </w:pPr>
      <w:r w:rsidRPr="006C3E52">
        <w:rPr>
          <w:rFonts w:ascii="宋体" w:hAnsi="宋体" w:cs="宋体" w:hint="eastAsia"/>
          <w:color w:val="000000"/>
          <w:kern w:val="0"/>
          <w:szCs w:val="21"/>
        </w:rPr>
        <w:t>每年的9月—10月，扬州会举行“二分明月文化节”，二分明月楼是扬州著名的住宅园林之一，它充分体现了“天下三分明月夜，二分无赖是扬州”的诗画境界。秋季的扬州也是赏月的最佳去处，主要活动有游园赏月、乾隆皇帝水上 游、</w:t>
      </w:r>
      <w:r w:rsidRPr="006C3E52">
        <w:rPr>
          <w:rFonts w:ascii="宋体" w:hAnsi="宋体" w:cs="宋体" w:hint="eastAsia"/>
          <w:color w:val="000000"/>
          <w:kern w:val="0"/>
          <w:szCs w:val="21"/>
        </w:rPr>
        <w:lastRenderedPageBreak/>
        <w:t>运河夜游、美食节等。到了深秋时节还可品尝肉质鲜美的江南蟹，持螯饮酒赏菊成扬州旅游的一张王牌。</w:t>
      </w:r>
    </w:p>
    <w:p w:rsidR="00F86F36" w:rsidRDefault="00F86F36" w:rsidP="0048539A">
      <w:pPr>
        <w:ind w:firstLineChars="200" w:firstLine="420"/>
        <w:rPr>
          <w:rFonts w:ascii="宋体" w:hAnsi="宋体" w:cs="宋体"/>
          <w:color w:val="000000"/>
          <w:kern w:val="0"/>
          <w:szCs w:val="21"/>
        </w:rPr>
        <w:sectPr w:rsidR="00F86F36" w:rsidSect="00DB27B5">
          <w:headerReference w:type="even" r:id="rId9"/>
          <w:headerReference w:type="default" r:id="rId10"/>
          <w:footerReference w:type="even" r:id="rId11"/>
          <w:footerReference w:type="default" r:id="rId12"/>
          <w:pgSz w:w="11906" w:h="16838" w:code="9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6C3E52" w:rsidRDefault="006C3E52" w:rsidP="0048539A">
      <w:pPr>
        <w:ind w:firstLineChars="200" w:firstLine="420"/>
        <w:rPr>
          <w:rFonts w:ascii="宋体" w:hAnsi="宋体" w:cs="宋体"/>
          <w:color w:val="000000"/>
          <w:kern w:val="0"/>
          <w:szCs w:val="21"/>
        </w:rPr>
      </w:pPr>
      <w:r w:rsidRPr="006C3E52">
        <w:rPr>
          <w:rFonts w:ascii="宋体" w:hAnsi="宋体" w:cs="宋体" w:hint="eastAsia"/>
          <w:color w:val="000000"/>
          <w:kern w:val="0"/>
          <w:szCs w:val="21"/>
        </w:rPr>
        <w:lastRenderedPageBreak/>
        <w:t>扬州市属于亚热带季风性湿润气候向温带季风气候的过渡区。其气候主要特点是：盛行风向随季节有明显的变化。冬季盛行干冷的偏北风，以东北风和西北风居多；夏季</w:t>
      </w:r>
      <w:r w:rsidRPr="006C3E52">
        <w:rPr>
          <w:rFonts w:ascii="宋体" w:hAnsi="宋体" w:cs="宋体" w:hint="eastAsia"/>
          <w:color w:val="000000"/>
          <w:kern w:val="0"/>
          <w:szCs w:val="21"/>
        </w:rPr>
        <w:lastRenderedPageBreak/>
        <w:t>多为从海洋吹来的湿热的东南到东风，以东南风居多；春季多东南风；秋季多东北风。扬州冬季偏长，4个多月；夏季次之，约3个月；春秋季较短，各为2个多月。</w:t>
      </w:r>
    </w:p>
    <w:p w:rsidR="00F86F36" w:rsidRDefault="00F86F36" w:rsidP="00AD3C71">
      <w:pPr>
        <w:sectPr w:rsidR="00F86F36" w:rsidSect="00F86F36">
          <w:type w:val="continuous"/>
          <w:pgSz w:w="11906" w:h="16838" w:code="9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AD3C71" w:rsidRDefault="0011796B" w:rsidP="00AD3C71">
      <w:r>
        <w:rPr>
          <w:rFonts w:hint="eastAsia"/>
        </w:rPr>
        <w:lastRenderedPageBreak/>
        <w:t>附表：扬</w:t>
      </w:r>
      <w:r w:rsidR="00AD3C71">
        <w:rPr>
          <w:rFonts w:hint="eastAsia"/>
        </w:rPr>
        <w:t>州景点</w:t>
      </w:r>
      <w:r w:rsidR="00AD3C71">
        <w:rPr>
          <w:rFonts w:hint="eastAsia"/>
        </w:rPr>
        <w:t>2</w:t>
      </w:r>
      <w:r w:rsidR="00AD3C71">
        <w:t>017</w:t>
      </w:r>
      <w:r w:rsidR="00AD3C71">
        <w:rPr>
          <w:rFonts w:hint="eastAsia"/>
        </w:rPr>
        <w:t>年入园人数情况表</w:t>
      </w:r>
    </w:p>
    <w:tbl>
      <w:tblPr>
        <w:tblW w:w="0" w:type="auto"/>
        <w:jc w:val="center"/>
        <w:tblBorders>
          <w:top w:val="double" w:sz="12" w:space="0" w:color="0070C0"/>
          <w:left w:val="double" w:sz="12" w:space="0" w:color="0070C0"/>
          <w:bottom w:val="double" w:sz="12" w:space="0" w:color="0070C0"/>
          <w:right w:val="double" w:sz="12" w:space="0" w:color="0070C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2000"/>
        <w:gridCol w:w="2000"/>
      </w:tblGrid>
      <w:tr w:rsidR="00AD3C71" w:rsidTr="004524B2">
        <w:trPr>
          <w:trHeight w:val="600"/>
          <w:jc w:val="center"/>
        </w:trPr>
        <w:tc>
          <w:tcPr>
            <w:tcW w:w="2000" w:type="dxa"/>
            <w:tcBorders>
              <w:top w:val="double" w:sz="12" w:space="0" w:color="0070C0"/>
              <w:bottom w:val="single" w:sz="8" w:space="0" w:color="FF0000"/>
            </w:tcBorders>
            <w:shd w:val="clear" w:color="auto" w:fill="FFFF00"/>
            <w:vAlign w:val="center"/>
          </w:tcPr>
          <w:p w:rsidR="00AD3C71" w:rsidRDefault="00AD3C71" w:rsidP="004524B2">
            <w:pPr>
              <w:jc w:val="center"/>
            </w:pPr>
            <w:r>
              <w:rPr>
                <w:rFonts w:hint="eastAsia"/>
              </w:rPr>
              <w:t>景点</w:t>
            </w:r>
          </w:p>
        </w:tc>
        <w:tc>
          <w:tcPr>
            <w:tcW w:w="2000" w:type="dxa"/>
            <w:tcBorders>
              <w:top w:val="double" w:sz="12" w:space="0" w:color="0070C0"/>
              <w:bottom w:val="single" w:sz="8" w:space="0" w:color="FF0000"/>
            </w:tcBorders>
            <w:shd w:val="clear" w:color="auto" w:fill="FFFF00"/>
            <w:vAlign w:val="center"/>
          </w:tcPr>
          <w:p w:rsidR="00AD3C71" w:rsidRDefault="00AD3C71" w:rsidP="004524B2">
            <w:pPr>
              <w:jc w:val="center"/>
            </w:pPr>
            <w:r>
              <w:rPr>
                <w:rFonts w:hint="eastAsia"/>
              </w:rPr>
              <w:t>2</w:t>
            </w:r>
            <w:r>
              <w:t>017</w:t>
            </w:r>
            <w:r>
              <w:rPr>
                <w:rFonts w:hint="eastAsia"/>
              </w:rPr>
              <w:t>年</w:t>
            </w:r>
          </w:p>
        </w:tc>
      </w:tr>
      <w:tr w:rsidR="00AD3C71" w:rsidTr="004524B2">
        <w:trPr>
          <w:trHeight w:val="600"/>
          <w:jc w:val="center"/>
        </w:trPr>
        <w:tc>
          <w:tcPr>
            <w:tcW w:w="2000" w:type="dxa"/>
            <w:tcBorders>
              <w:top w:val="single" w:sz="8" w:space="0" w:color="FF0000"/>
            </w:tcBorders>
            <w:shd w:val="clear" w:color="auto" w:fill="auto"/>
            <w:vAlign w:val="center"/>
          </w:tcPr>
          <w:p w:rsidR="00AD3C71" w:rsidRDefault="00AD3C71" w:rsidP="004524B2">
            <w:pPr>
              <w:jc w:val="center"/>
            </w:pPr>
            <w:r w:rsidRPr="006C3E52">
              <w:rPr>
                <w:rFonts w:ascii="宋体" w:hAnsi="宋体" w:cs="宋体" w:hint="eastAsia"/>
                <w:color w:val="000000"/>
                <w:kern w:val="0"/>
                <w:szCs w:val="21"/>
              </w:rPr>
              <w:t>瘦西湖</w:t>
            </w:r>
          </w:p>
        </w:tc>
        <w:tc>
          <w:tcPr>
            <w:tcW w:w="2000" w:type="dxa"/>
            <w:tcBorders>
              <w:top w:val="single" w:sz="8" w:space="0" w:color="FF0000"/>
            </w:tcBorders>
            <w:shd w:val="clear" w:color="auto" w:fill="auto"/>
            <w:vAlign w:val="center"/>
          </w:tcPr>
          <w:p w:rsidR="00AD3C71" w:rsidRDefault="00AD3C71" w:rsidP="004524B2">
            <w:pPr>
              <w:jc w:val="center"/>
            </w:pPr>
            <w:r>
              <w:t>1230</w:t>
            </w:r>
          </w:p>
        </w:tc>
      </w:tr>
      <w:tr w:rsidR="00AD3C71" w:rsidTr="004524B2">
        <w:trPr>
          <w:trHeight w:val="600"/>
          <w:jc w:val="center"/>
        </w:trPr>
        <w:tc>
          <w:tcPr>
            <w:tcW w:w="2000" w:type="dxa"/>
            <w:shd w:val="clear" w:color="auto" w:fill="auto"/>
            <w:vAlign w:val="center"/>
          </w:tcPr>
          <w:p w:rsidR="00AD3C71" w:rsidRDefault="00AD3C71" w:rsidP="004524B2">
            <w:pPr>
              <w:jc w:val="center"/>
            </w:pPr>
            <w:bookmarkStart w:id="0" w:name="_GoBack"/>
            <w:r>
              <w:rPr>
                <w:rFonts w:hint="eastAsia"/>
              </w:rPr>
              <w:t>个园</w:t>
            </w:r>
          </w:p>
        </w:tc>
        <w:tc>
          <w:tcPr>
            <w:tcW w:w="2000" w:type="dxa"/>
            <w:shd w:val="clear" w:color="auto" w:fill="auto"/>
            <w:vAlign w:val="center"/>
          </w:tcPr>
          <w:p w:rsidR="00AD3C71" w:rsidRDefault="00AD3C71" w:rsidP="004524B2">
            <w:pPr>
              <w:jc w:val="center"/>
            </w:pPr>
            <w:r>
              <w:t>890</w:t>
            </w:r>
          </w:p>
        </w:tc>
      </w:tr>
      <w:bookmarkEnd w:id="0"/>
      <w:tr w:rsidR="00AD3C71" w:rsidTr="004524B2">
        <w:trPr>
          <w:trHeight w:val="600"/>
          <w:jc w:val="center"/>
        </w:trPr>
        <w:tc>
          <w:tcPr>
            <w:tcW w:w="2000" w:type="dxa"/>
            <w:shd w:val="clear" w:color="auto" w:fill="auto"/>
            <w:vAlign w:val="center"/>
          </w:tcPr>
          <w:p w:rsidR="00AD3C71" w:rsidRDefault="00AD3C71" w:rsidP="004524B2">
            <w:pPr>
              <w:jc w:val="center"/>
            </w:pPr>
            <w:r>
              <w:rPr>
                <w:rFonts w:hint="eastAsia"/>
              </w:rPr>
              <w:t>何园</w:t>
            </w:r>
          </w:p>
        </w:tc>
        <w:tc>
          <w:tcPr>
            <w:tcW w:w="2000" w:type="dxa"/>
            <w:shd w:val="clear" w:color="auto" w:fill="auto"/>
            <w:vAlign w:val="center"/>
          </w:tcPr>
          <w:p w:rsidR="00AD3C71" w:rsidRDefault="00AD3C71" w:rsidP="004524B2">
            <w:pPr>
              <w:jc w:val="center"/>
            </w:pPr>
            <w:r>
              <w:t>780</w:t>
            </w:r>
          </w:p>
        </w:tc>
      </w:tr>
      <w:tr w:rsidR="00AD3C71" w:rsidTr="004524B2">
        <w:trPr>
          <w:trHeight w:val="600"/>
          <w:jc w:val="center"/>
        </w:trPr>
        <w:tc>
          <w:tcPr>
            <w:tcW w:w="2000" w:type="dxa"/>
            <w:shd w:val="clear" w:color="auto" w:fill="auto"/>
            <w:vAlign w:val="center"/>
          </w:tcPr>
          <w:p w:rsidR="00AD3C71" w:rsidRDefault="00AD3C71" w:rsidP="004524B2">
            <w:pPr>
              <w:jc w:val="center"/>
            </w:pPr>
            <w:r>
              <w:rPr>
                <w:rFonts w:hint="eastAsia"/>
              </w:rPr>
              <w:t>大明寺</w:t>
            </w:r>
          </w:p>
        </w:tc>
        <w:tc>
          <w:tcPr>
            <w:tcW w:w="2000" w:type="dxa"/>
            <w:shd w:val="clear" w:color="auto" w:fill="auto"/>
            <w:vAlign w:val="center"/>
          </w:tcPr>
          <w:p w:rsidR="00AD3C71" w:rsidRDefault="00AD3C71" w:rsidP="004524B2">
            <w:pPr>
              <w:jc w:val="center"/>
            </w:pPr>
            <w:r>
              <w:t>650</w:t>
            </w:r>
          </w:p>
        </w:tc>
      </w:tr>
      <w:tr w:rsidR="00AD3C71" w:rsidTr="004524B2">
        <w:trPr>
          <w:trHeight w:val="600"/>
          <w:jc w:val="center"/>
        </w:trPr>
        <w:tc>
          <w:tcPr>
            <w:tcW w:w="2000" w:type="dxa"/>
            <w:shd w:val="clear" w:color="auto" w:fill="auto"/>
            <w:vAlign w:val="center"/>
          </w:tcPr>
          <w:p w:rsidR="00AD3C71" w:rsidRDefault="00AD3C71" w:rsidP="004524B2">
            <w:pPr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2000" w:type="dxa"/>
            <w:shd w:val="clear" w:color="auto" w:fill="auto"/>
            <w:vAlign w:val="center"/>
          </w:tcPr>
          <w:p w:rsidR="00AD3C71" w:rsidRDefault="00F86F36" w:rsidP="004524B2">
            <w:pPr>
              <w:jc w:val="center"/>
            </w:pPr>
            <w:r>
              <w:fldChar w:fldCharType="begin"/>
            </w:r>
            <w:r>
              <w:instrText xml:space="preserve"> =SUM(ABOVE) \# "0.00" </w:instrText>
            </w:r>
            <w:r>
              <w:fldChar w:fldCharType="separate"/>
            </w:r>
            <w:r>
              <w:rPr>
                <w:noProof/>
              </w:rPr>
              <w:t>3550.00</w:t>
            </w:r>
            <w:r>
              <w:fldChar w:fldCharType="end"/>
            </w:r>
          </w:p>
        </w:tc>
      </w:tr>
    </w:tbl>
    <w:p w:rsidR="00AD3C71" w:rsidRDefault="00AD3C71" w:rsidP="00AD3C71"/>
    <w:p w:rsidR="00AD3C71" w:rsidRPr="006C3E52" w:rsidRDefault="00AD3C71" w:rsidP="006C3E52">
      <w:pPr>
        <w:rPr>
          <w:rFonts w:ascii="宋体" w:hAnsi="宋体" w:cs="宋体"/>
          <w:color w:val="000000"/>
          <w:kern w:val="0"/>
          <w:szCs w:val="21"/>
        </w:rPr>
      </w:pPr>
    </w:p>
    <w:sectPr w:rsidR="00AD3C71" w:rsidRPr="006C3E52" w:rsidSect="00F86F36">
      <w:type w:val="continuous"/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755A" w:rsidRDefault="00D4755A" w:rsidP="00DB27B5">
      <w:r>
        <w:separator/>
      </w:r>
    </w:p>
  </w:endnote>
  <w:endnote w:type="continuationSeparator" w:id="0">
    <w:p w:rsidR="00D4755A" w:rsidRDefault="00D4755A" w:rsidP="00DB2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53851695"/>
      <w:docPartObj>
        <w:docPartGallery w:val="Page Numbers (Bottom of Page)"/>
        <w:docPartUnique/>
      </w:docPartObj>
    </w:sdtPr>
    <w:sdtContent>
      <w:p w:rsidR="00F86F36" w:rsidRDefault="00F86F36" w:rsidP="00F86F36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24B2" w:rsidRPr="004524B2">
          <w:rPr>
            <w:noProof/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16909307"/>
      <w:docPartObj>
        <w:docPartGallery w:val="Page Numbers (Bottom of Page)"/>
        <w:docPartUnique/>
      </w:docPartObj>
    </w:sdtPr>
    <w:sdtContent>
      <w:p w:rsidR="00F86F36" w:rsidRDefault="00F86F36" w:rsidP="00F86F36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24B2" w:rsidRPr="004524B2">
          <w:rPr>
            <w:noProof/>
            <w:lang w:val="zh-CN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755A" w:rsidRDefault="00D4755A" w:rsidP="00DB27B5">
      <w:r>
        <w:separator/>
      </w:r>
    </w:p>
  </w:footnote>
  <w:footnote w:type="continuationSeparator" w:id="0">
    <w:p w:rsidR="00D4755A" w:rsidRDefault="00D4755A" w:rsidP="00DB27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6F36" w:rsidRDefault="00F86F36">
    <w:pPr>
      <w:pStyle w:val="a5"/>
    </w:pPr>
    <w:r w:rsidRPr="00F86F36">
      <w:rPr>
        <w:rFonts w:hint="eastAsia"/>
      </w:rPr>
      <w:t>扬州欢迎你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6F36" w:rsidRDefault="00F86F36">
    <w:pPr>
      <w:pStyle w:val="a5"/>
    </w:pPr>
    <w:r w:rsidRPr="00F86F36">
      <w:rPr>
        <w:rFonts w:hint="eastAsia"/>
      </w:rPr>
      <w:t>扬州旅游简介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evenAndOddHeaders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9AC"/>
    <w:rsid w:val="000C3C04"/>
    <w:rsid w:val="0011796B"/>
    <w:rsid w:val="0036719E"/>
    <w:rsid w:val="004524B2"/>
    <w:rsid w:val="0048539A"/>
    <w:rsid w:val="005519AC"/>
    <w:rsid w:val="006C3E52"/>
    <w:rsid w:val="00AD3C71"/>
    <w:rsid w:val="00B05C6C"/>
    <w:rsid w:val="00BB34A0"/>
    <w:rsid w:val="00D4755A"/>
    <w:rsid w:val="00DB27B5"/>
    <w:rsid w:val="00E03127"/>
    <w:rsid w:val="00F86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link w:val="3Char"/>
    <w:uiPriority w:val="9"/>
    <w:qFormat/>
    <w:rsid w:val="005519AC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color w:val="00659A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link w:val="3"/>
    <w:uiPriority w:val="9"/>
    <w:rsid w:val="005519AC"/>
    <w:rPr>
      <w:rFonts w:ascii="宋体" w:eastAsia="宋体" w:hAnsi="宋体" w:cs="宋体"/>
      <w:color w:val="00659A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9A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E0312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03127"/>
    <w:rPr>
      <w:kern w:val="2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DB27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DB27B5"/>
    <w:rPr>
      <w:kern w:val="2"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DB27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DB27B5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link w:val="3Char"/>
    <w:uiPriority w:val="9"/>
    <w:qFormat/>
    <w:rsid w:val="005519AC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color w:val="00659A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link w:val="3"/>
    <w:uiPriority w:val="9"/>
    <w:rsid w:val="005519AC"/>
    <w:rPr>
      <w:rFonts w:ascii="宋体" w:eastAsia="宋体" w:hAnsi="宋体" w:cs="宋体"/>
      <w:color w:val="00659A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9A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E0312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03127"/>
    <w:rPr>
      <w:kern w:val="2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DB27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DB27B5"/>
    <w:rPr>
      <w:kern w:val="2"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DB27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DB27B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01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5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2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7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1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76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70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21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1BE7F-10ED-491C-A189-096AC4B72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238</Words>
  <Characters>1363</Characters>
  <Application>Microsoft Office Word</Application>
  <DocSecurity>0</DocSecurity>
  <Lines>11</Lines>
  <Paragraphs>3</Paragraphs>
  <ScaleCrop>false</ScaleCrop>
  <Company> </Company>
  <LinksUpToDate>false</LinksUpToDate>
  <CharactersWithSpaces>1598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宋乃平</dc:creator>
  <cp:lastModifiedBy>SD</cp:lastModifiedBy>
  <cp:revision>5</cp:revision>
  <dcterms:created xsi:type="dcterms:W3CDTF">2018-09-03T02:37:00Z</dcterms:created>
  <dcterms:modified xsi:type="dcterms:W3CDTF">2018-09-03T08:07:00Z</dcterms:modified>
</cp:coreProperties>
</file>