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60"/>
      </w:pPr>
      <w:r>
        <w:rPr>
          <w:rFonts w:ascii="Arial Unicode MS" w:hAnsi="Arial Unicode MS" w:eastAsia="Arial Unicode MS"/>
          <w:b/>
          <w:color w:val="0B2545"/>
          <w:sz w:val="48"/>
        </w:rPr>
        <w:t>Qwen API 消融实验结果报告</w:t>
      </w:r>
    </w:p>
    <w:p>
      <w:pPr>
        <w:spacing w:after="400"/>
      </w:pPr>
      <w:r>
        <w:rPr>
          <w:rFonts w:ascii="Arial Unicode MS" w:hAnsi="Arial Unicode MS" w:eastAsia="Arial Unicode MS"/>
          <w:color w:val="5D6875"/>
          <w:sz w:val="24"/>
        </w:rPr>
        <w:t>面向情感敏感型需求获取多智能体框架的重建性端到端评估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实验模型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qwen3.7-plus-2026-05-26（固定快照，API）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测试规模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30 个冻结案例 × 6 个条件；210 次调用全部成功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主分析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150 次唯一流水线调用；60 次重复生成仅保留为审计记录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报告日期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2026-08-10（Asia/Shanghai）</w:t>
            </w:r>
          </w:p>
        </w:tc>
      </w:tr>
    </w:tbl>
    <w:p>
      <w:pPr>
        <w:spacing w:before="360" w:after="200"/>
        <w:shd w:fill="E8EEF5"/>
        <w:contextualSpacing/>
      </w:pPr>
      <w:r>
        <w:rPr>
          <w:rFonts w:ascii="Arial Unicode MS" w:hAnsi="Arial Unicode MS" w:eastAsia="Arial Unicode MS"/>
          <w:b/>
          <w:color w:val="163A5F"/>
          <w:sz w:val="22"/>
        </w:rPr>
        <w:t xml:space="preserve">核心结论　</w:t>
      </w:r>
      <w:r>
        <w:rPr>
          <w:rFonts w:ascii="Arial Unicode MS" w:hAnsi="Arial Unicode MS" w:eastAsia="Arial Unicode MS"/>
          <w:color w:val="0B2545"/>
          <w:sz w:val="22"/>
        </w:rPr>
        <w:t>Validator 是唯一呈现明确工程增益方向的组件：在共享同一份 Structurer 原始输出时，Traceability 和 Full compliance 均由 83.3% 提升至 100.0%（+16.7 个百分点）。但在 30 个案例和 Holm 校正后未达到 α=0.05。Affect 与 Need/RAG 未显示显著的语义增益，因此本次实验支持“工程控制与可审计性改善”，不支持“语义理解显著提升”。</w:t>
      </w:r>
    </w:p>
    <w:p>
      <w:pPr>
        <w:pStyle w:val="Heading1"/>
        <w:keepNext/>
      </w:pPr>
      <w:r>
        <w:t>1. 实验性质与复现边界</w:t>
      </w:r>
    </w:p>
    <w:p>
      <w:r>
        <w:rPr>
          <w:rFonts w:ascii="Arial Unicode MS" w:hAnsi="Arial Unicode MS" w:eastAsia="Arial Unicode MS"/>
        </w:rPr>
        <w:t>本报告记录一次独立、可审计的重建性消融实验。工作区仅提供论文 papernew.docx，未提供原始代码、原30例ID、提示词、预测文件或配套 workbook。因此，本次结果不能被称为原论文表4.7的逐字复现，而是按照论文声明的公开数据、模块职责、随机种子和比较逻辑重新实现的实验。</w:t>
      </w:r>
    </w:p>
    <w:p>
      <w:r>
        <w:rPr>
          <w:rFonts w:ascii="Arial Unicode MS" w:hAnsi="Arial Unicode MS" w:eastAsia="Arial Unicode MS"/>
        </w:rPr>
        <w:t>数据集与论文描述精确匹配：原始文件含1,482行、781个唯一 questionID；按出现次数不少于20筛得18个主题和738个可用问题。模型由论文中的本地0.5B模型改为用户指定的 Qwen API。该变化显著提高了结构化输出能力，也导致 JSON 和 SRS 指标出现天花板效应。</w:t>
      </w:r>
    </w:p>
    <w:p>
      <w:pPr>
        <w:shd w:fill="FFF4D6"/>
        <w:contextualSpacing/>
      </w:pPr>
      <w:r>
        <w:rPr>
          <w:rFonts w:ascii="Arial Unicode MS" w:hAnsi="Arial Unicode MS" w:eastAsia="Arial Unicode MS"/>
          <w:b/>
          <w:color w:val="0B2545"/>
        </w:rPr>
        <w:t>解释原则：</w:t>
      </w:r>
      <w:r>
        <w:rPr>
          <w:rFonts w:ascii="Arial Unicode MS" w:hAnsi="Arial Unicode MS" w:eastAsia="Arial Unicode MS"/>
        </w:rPr>
        <w:t>本报告将结构化合规、证据绑定和格式可审计性视为工程指标；Topic-alignment F1作为弱语义代理；不把任何结果解释为临床正确性、心理诊断能力或真实世界部署有效性。</w:t>
      </w:r>
    </w:p>
    <w:p>
      <w:pPr>
        <w:pStyle w:val="Heading1"/>
        <w:keepNext/>
      </w:pPr>
      <w:r>
        <w:t>2. 实验问题与条件</w:t>
      </w:r>
    </w:p>
    <w:p>
      <w:r>
        <w:rPr>
          <w:rFonts w:ascii="Arial Unicode MS" w:hAnsi="Arial Unicode MS" w:eastAsia="Arial Unicode MS"/>
        </w:rPr>
        <w:t>实验回答四个问题：完整框架是否优于单次LLM；Validator是否改善证据绑定；Affect Interpreter是否增加主题或证据相关性；Need-topic与RAG是否带来可测量的增益。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3240"/>
        <w:gridCol w:w="1080"/>
        <w:gridCol w:w="1080"/>
        <w:gridCol w:w="1080"/>
        <w:gridCol w:w="2160"/>
      </w:tblGrid>
      <w:tr>
        <w:trPr>
          <w:cantSplit/>
          <w:tblHeader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条件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说明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Affect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Need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RAG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Validator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B0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Single-pass LLM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—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B1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Single LLM + RAG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✓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✓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A1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Without Affect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✓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✓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A2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Without Validator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✓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✓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✓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A4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Without Need/RAG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✓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—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A3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Full Agent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✓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✓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✓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✓</w:t>
            </w:r>
          </w:p>
        </w:tc>
      </w:tr>
    </w:tbl>
    <w:p>
      <w:pPr>
        <w:pStyle w:val="Caption"/>
        <w:spacing w:before="80" w:after="80"/>
        <w:jc w:val="center"/>
      </w:pPr>
      <w:r>
        <w:rPr>
          <w:rFonts w:ascii="Arial Unicode MS" w:hAnsi="Arial Unicode MS" w:eastAsia="Arial Unicode MS"/>
          <w:color w:val="5D6875"/>
          <w:sz w:val="18"/>
        </w:rPr>
        <w:t>表1　消融实验条件。A4为本次补充条件，用于单独检验 Need/RAG。</w:t>
      </w:r>
    </w:p>
    <w:p>
      <w:pPr>
        <w:pStyle w:val="Heading1"/>
        <w:keepNext/>
      </w:pPr>
      <w:r>
        <w:t>3. 实验设置</w:t>
      </w:r>
    </w:p>
    <w:p>
      <w:pPr>
        <w:pStyle w:val="Heading2"/>
        <w:keepNext/>
      </w:pPr>
      <w:r>
        <w:t>3.1 数据划分与辅助模块</w:t>
      </w:r>
    </w:p>
    <w:p>
      <w:r>
        <w:rPr>
          <w:rFonts w:ascii="Arial Unicode MS" w:hAnsi="Arial Unicode MS" w:eastAsia="Arial Unicode MS"/>
        </w:rPr>
        <w:t>使用 seed=42 对738个合格问题进行确定性打乱，得到479个训练样本、111个开发样本和148个测试样本；从测试部分构造90例端到端池，冻结最后30例作为本次比较集。训练集与最终案例均按 questionID 去重。</w:t>
      </w:r>
    </w:p>
    <w:p>
      <w:r>
        <w:rPr>
          <w:rFonts w:ascii="Arial Unicode MS" w:hAnsi="Arial Unicode MS" w:eastAsia="Arial Unicode MS"/>
        </w:rPr>
        <w:t>Need-topic 模块使用字符级 TF-IDF（1–4 gram，最多60,000特征）和 One-vs-Rest LinearSVC，从18个主题中输出Top-3。RAG以同一向量空间进行余弦检索，每例返回Top-2历史主题模式。检索文本仅作为路由提示，不允许作为需求证据。</w:t>
      </w:r>
    </w:p>
    <w:p>
      <w:pPr>
        <w:pStyle w:val="Heading2"/>
        <w:keepNext/>
      </w:pPr>
      <w:r>
        <w:t>3.2 Qwen API 固定设置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冻结值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模型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qwen3.7-plus-2026-05-26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地域/接口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China (Beijing), OpenAI-compatible Chat Completions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生成模式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enable_thinking=false; temperature=0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结构化输出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response_format=json_object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每例输出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1–2条SRS需求；必须附 source_turn_ids 与 evidence_quotes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API成功率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210/210；无失败调用</w:t>
            </w:r>
          </w:p>
        </w:tc>
      </w:tr>
    </w:tbl>
    <w:p>
      <w:pPr>
        <w:pStyle w:val="Heading2"/>
        <w:keepNext/>
      </w:pPr>
      <w:r>
        <w:t>3.3 严格控制变量处理</w:t>
      </w:r>
    </w:p>
    <w:p>
      <w:r>
        <w:rPr>
          <w:rFonts w:ascii="Arial Unicode MS" w:hAnsi="Arial Unicode MS" w:eastAsia="Arial Unicode MS"/>
        </w:rPr>
        <w:t>API在 temperature=0 时仍可能因服务端实现产生微小非确定性。为使 Validator 消融只改变验证步骤，A3与A2共享同一份原始生成，分别经过/不经过确定性 Validator；A1与B1同样共享无 Affect 的原始生成。额外产生的A1、A3独立生成各30份被保留在 api_responses.jsonl 中，但排除于主分析。</w:t>
      </w:r>
    </w:p>
    <w:p>
      <w:r>
        <w:rPr>
          <w:rFonts w:ascii="Arial Unicode MS" w:hAnsi="Arial Unicode MS" w:eastAsia="Arial Unicode MS"/>
        </w:rPr>
        <w:t>Validator仅执行可审计的工程操作：将 evidence quote 规范为所引用 evidence ID 对应的原文、规范闭集字段、在语义陈述缺失时拒绝输出。它不新增需求语义，也不把检索示例作为证据。</w:t>
      </w:r>
    </w:p>
    <w:p>
      <w:pPr>
        <w:pStyle w:val="Heading1"/>
        <w:keepNext/>
      </w:pPr>
      <w:r>
        <w:t>4. 指标与统计方法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460"/>
        <w:gridCol w:w="180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指标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操作定义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性质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JSON parse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最终记录可解析为JSON对象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结构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SRS form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所有接受需求以“The system shall”开头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结构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Traceability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source ID有效且evidence quote为精确原文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工程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Full compliance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JSON、SRS、证据绑定和闭集类型同时满足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工程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Topic-alignment F1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输出need labels与数据集主题的逐例F1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弱语义代理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Lexical grounding proxy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需求内容词与对话内容词的覆盖比例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自动代理，非人工有效性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Latency / tokens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每个端到端条件的API时间与token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成本</w:t>
            </w:r>
          </w:p>
        </w:tc>
      </w:tr>
    </w:tbl>
    <w:p>
      <w:r>
        <w:rPr>
          <w:rFonts w:ascii="Arial Unicode MS" w:hAnsi="Arial Unicode MS" w:eastAsia="Arial Unicode MS"/>
        </w:rPr>
        <w:t>所有结果以案例为配对单位。二元指标使用 exact McNemar 检验；连续指标使用 Wilcoxon signed-rank；差值95%区间使用2,000次案例级bootstrap。Holm校正在每个指标的5项“完整系统 vs 其他条件”比较内执行。显著性阈值为0.05。</w:t>
      </w:r>
    </w:p>
    <w:p>
      <w:pPr>
        <w:pStyle w:val="Heading1"/>
        <w:keepNext/>
      </w:pPr>
      <w:r>
        <w:t>5. 主要结果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20"/>
        <w:gridCol w:w="1140"/>
        <w:gridCol w:w="1140"/>
        <w:gridCol w:w="1440"/>
        <w:gridCol w:w="1440"/>
        <w:gridCol w:w="1680"/>
        <w:gridCol w:w="1500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条件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JSON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SRS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Trace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Full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Topic F1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修复/例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B0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100.0%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100.0%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80.0%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80.0%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0.636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0.00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B1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100.0%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100.0%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76.7%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76.7%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0.625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0.00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A1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100.0%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100.0%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100.0%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100.0%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0.625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0.37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A2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100.0%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100.0%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83.3%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83.3%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0.644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0.00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A4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100.0%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100.0%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100.0%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100.0%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0.606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0.30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A3 Full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100.0%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100.0%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100.0%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100.0%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0.644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0.23</w:t>
            </w:r>
          </w:p>
        </w:tc>
      </w:tr>
    </w:tbl>
    <w:p>
      <w:pPr>
        <w:pStyle w:val="Caption"/>
        <w:spacing w:before="80" w:after="80"/>
        <w:jc w:val="center"/>
      </w:pPr>
      <w:r>
        <w:rPr>
          <w:rFonts w:ascii="Arial Unicode MS" w:hAnsi="Arial Unicode MS" w:eastAsia="Arial Unicode MS"/>
          <w:color w:val="5D6875"/>
          <w:sz w:val="18"/>
        </w:rPr>
        <w:t>表2　六个条件在30个冻结案例上的主要结果。</w:t>
      </w:r>
    </w:p>
    <w:p>
      <w:r>
        <w:drawing>
          <wp:inline xmlns:a="http://schemas.openxmlformats.org/drawingml/2006/main" xmlns:pic="http://schemas.openxmlformats.org/drawingml/2006/picture">
            <wp:extent cx="5897880" cy="2039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come_ba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39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80"/>
        <w:jc w:val="center"/>
      </w:pPr>
      <w:r>
        <w:rPr>
          <w:rFonts w:ascii="Arial Unicode MS" w:hAnsi="Arial Unicode MS" w:eastAsia="Arial Unicode MS"/>
          <w:color w:val="5D6875"/>
          <w:sz w:val="18"/>
        </w:rPr>
        <w:t>图1　结构、工程与主题对齐结果。所有条件JSON和SRS均为100%，主要差异来自精确证据绑定。</w:t>
      </w:r>
    </w:p>
    <w:p>
      <w:r>
        <w:br w:type="page"/>
      </w:r>
    </w:p>
    <w:p>
      <w:pPr>
        <w:pStyle w:val="Heading2"/>
        <w:keepNext/>
      </w:pPr>
      <w:r>
        <w:t>5.1 完整系统的配对效应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080"/>
        <w:gridCol w:w="1260"/>
        <w:gridCol w:w="1260"/>
        <w:gridCol w:w="1500"/>
        <w:gridCol w:w="2040"/>
        <w:gridCol w:w="1140"/>
      </w:tblGrid>
      <w:tr>
        <w:trPr>
          <w:cantSplit/>
          <w:tblHeader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比较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指标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完整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对照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差值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95% CI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Holm p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A3−B0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Trace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100.0%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80.0%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+20.0 pp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[6.7, 33.3] pp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0.125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A3−B0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Topic F1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0.644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0.636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+0.008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[-0.061, 0.078]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1.000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A3−B1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Trace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100.0%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76.7%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+23.3 pp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[10.0, 40.0] pp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0.078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A3−B1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Topic F1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0.644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0.625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+0.019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[-0.037, 0.080]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1.000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A3−A1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Trace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100.0%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100.0%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+0.0 pp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[0.0, 0.0] pp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1.000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A3−A1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Topic F1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0.644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0.625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+0.019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[-0.037, 0.080]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1.000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A3−A2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Trace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100.0%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83.3%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+16.7 pp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[3.3, 30.0] pp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0.188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A3−A2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Topic F1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0.644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0.644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+0.000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[0.000, 0.000]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1.000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A3−A4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Trace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100.0%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100.0%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+0.0 pp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[0.0, 0.0] pp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1.000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A3−A4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Topic F1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0.644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0.606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+0.039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[-0.034, 0.110]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1.000</w:t>
            </w:r>
          </w:p>
        </w:tc>
      </w:tr>
    </w:tbl>
    <w:p>
      <w:pPr>
        <w:pStyle w:val="Caption"/>
        <w:spacing w:before="80" w:after="80"/>
        <w:jc w:val="center"/>
      </w:pPr>
      <w:r>
        <w:rPr>
          <w:rFonts w:ascii="Arial Unicode MS" w:hAnsi="Arial Unicode MS" w:eastAsia="Arial Unicode MS"/>
          <w:color w:val="5D6875"/>
          <w:sz w:val="18"/>
        </w:rPr>
        <w:t>表3　完整系统与各条件的配对差异。pp表示百分点；Holm p按指标族校正。</w:t>
      </w:r>
    </w:p>
    <w:p>
      <w:r>
        <w:drawing>
          <wp:inline xmlns:a="http://schemas.openxmlformats.org/drawingml/2006/main" xmlns:pic="http://schemas.openxmlformats.org/drawingml/2006/picture">
            <wp:extent cx="5760720" cy="27028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ability_effe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2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80"/>
        <w:jc w:val="center"/>
      </w:pPr>
      <w:r>
        <w:rPr>
          <w:rFonts w:ascii="Arial Unicode MS" w:hAnsi="Arial Unicode MS" w:eastAsia="Arial Unicode MS"/>
          <w:color w:val="5D6875"/>
          <w:sz w:val="18"/>
        </w:rPr>
        <w:t>图2　完整系统相对各条件的Traceability配对差值与95% bootstrap区间。</w:t>
      </w:r>
    </w:p>
    <w:p>
      <w:pPr>
        <w:pStyle w:val="Heading1"/>
        <w:keepNext/>
      </w:pPr>
      <w:r>
        <w:t>6. 模块级解释</w:t>
      </w:r>
    </w:p>
    <w:p>
      <w:pPr>
        <w:pStyle w:val="Heading2"/>
        <w:keepNext/>
      </w:pPr>
      <w:r>
        <w:t>6.1 Validator：明确的工程方向，但样本量不足</w:t>
      </w:r>
    </w:p>
    <w:p>
      <w:r>
        <w:rPr>
          <w:rFonts w:ascii="Arial Unicode MS" w:hAnsi="Arial Unicode MS" w:eastAsia="Arial Unicode MS"/>
        </w:rPr>
        <w:t>在完全共享原始生成的严格比较中，A2（无Validator）的Traceability和Full compliance均为83.3%，A3完整系统均为100.0%，绝对提升16.7个百分点；95% bootstrap区间为[3.3, 30.0]个百分点。exact McNemar原始p=0.0625，Holm校正p=0.1875，因此不应写成统计显著。</w:t>
      </w:r>
    </w:p>
    <w:p>
      <w:r>
        <w:rPr>
          <w:rFonts w:ascii="Arial Unicode MS" w:hAnsi="Arial Unicode MS" w:eastAsia="Arial Unicode MS"/>
        </w:rPr>
        <w:t>Validator共执行7次 evidence quote规范化，涉及6/30个案例；没有改变Topic-alignment F1或词汇接地代理。这说明观察到的增益来自证据字段的精确规范，而不是需求语义被重新生成。</w:t>
      </w:r>
    </w:p>
    <w:p>
      <w:pPr>
        <w:pStyle w:val="Heading2"/>
        <w:keepNext/>
      </w:pPr>
      <w:r>
        <w:t>6.2 Affect Interpreter：未观察到可归因增益</w:t>
      </w:r>
    </w:p>
    <w:p>
      <w:r>
        <w:rPr>
          <w:rFonts w:ascii="Arial Unicode MS" w:hAnsi="Arial Unicode MS" w:eastAsia="Arial Unicode MS"/>
        </w:rPr>
        <w:t>A3与A1在Traceability和Full compliance上均为100.0%。Topic-alignment F1由0.625升至0.644，差值0.019，95%区间[-0.037, 0.080]，Holm p=1.000。自动指标不能证明Affect Interpreter改善了语义主题理解。若论文要保留相关主张，需要盲评“情感线索识别、过度解释和隐含需求有效性”。</w:t>
      </w:r>
    </w:p>
    <w:p>
      <w:pPr>
        <w:pStyle w:val="Heading2"/>
        <w:keepNext/>
      </w:pPr>
      <w:r>
        <w:t>6.3 Need/RAG：小幅主题方向，无显著证据</w:t>
      </w:r>
    </w:p>
    <w:p>
      <w:r>
        <w:rPr>
          <w:rFonts w:ascii="Arial Unicode MS" w:hAnsi="Arial Unicode MS" w:eastAsia="Arial Unicode MS"/>
        </w:rPr>
        <w:t>去掉Need/RAG的A4与完整A3在结构指标上完全相同。Topic-alignment F1为0.606与0.644，完整系统高0.039，但95%区间[-0.034, 0.110]，Holm p=1.000。B1（Single LLM+RAG）也没有优于B0；其Traceability反而由80.0%降至76.7%。因此，本次结果不支持将RAG单独描述为已验证有效。</w:t>
      </w:r>
    </w:p>
    <w:p>
      <w:pPr>
        <w:pStyle w:val="Heading2"/>
        <w:keepNext/>
      </w:pPr>
      <w:r>
        <w:t>6.4 完整系统与单次LLM</w:t>
      </w:r>
    </w:p>
    <w:p>
      <w:r>
        <w:rPr>
          <w:rFonts w:ascii="Arial Unicode MS" w:hAnsi="Arial Unicode MS" w:eastAsia="Arial Unicode MS"/>
        </w:rPr>
        <w:t>A3相对B0的Traceability和Full compliance均提高20.0个百分点，bootstrap区间[6.7, 33.3]；原始McNemar p=0.0313，但Holm p=0.125。Topic-alignment F1仅由0.636升至0.644，差值0.008，未显示语义优势。结果方向与论文的“工程控制与可审计性”定位一致，但证据强度应称为探索性。</w:t>
      </w:r>
    </w:p>
    <w:p>
      <w:pPr>
        <w:pStyle w:val="Heading1"/>
        <w:keepNext/>
      </w:pPr>
      <w:r>
        <w:t>7. 工程成本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80"/>
        <w:gridCol w:w="2640"/>
        <w:gridCol w:w="264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条件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延迟(s/例)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输入token/例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输出token/例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B0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8.02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438.2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346.8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B1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8.28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681.7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364.2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A1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8.28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681.7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364.2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A2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12.21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1007.6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464.5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A4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12.23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764.1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462.5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A3 Full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12.21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1007.6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464.5</w:t>
            </w:r>
          </w:p>
        </w:tc>
      </w:tr>
    </w:tbl>
    <w:p>
      <w:pPr>
        <w:pStyle w:val="Caption"/>
        <w:spacing w:before="80" w:after="80"/>
        <w:jc w:val="center"/>
      </w:pPr>
      <w:r>
        <w:rPr>
          <w:rFonts w:ascii="Arial Unicode MS" w:hAnsi="Arial Unicode MS" w:eastAsia="Arial Unicode MS"/>
          <w:color w:val="5D6875"/>
          <w:sz w:val="18"/>
        </w:rPr>
        <w:t>表4　端到端API时间和token。含Affect的条件计入独立Affect调用。</w:t>
      </w:r>
    </w:p>
    <w:p>
      <w:r>
        <w:drawing>
          <wp:inline xmlns:a="http://schemas.openxmlformats.org/drawingml/2006/main" xmlns:pic="http://schemas.openxmlformats.org/drawingml/2006/picture">
            <wp:extent cx="5897880" cy="19818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ba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81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80"/>
        <w:jc w:val="center"/>
      </w:pPr>
      <w:r>
        <w:rPr>
          <w:rFonts w:ascii="Arial Unicode MS" w:hAnsi="Arial Unicode MS" w:eastAsia="Arial Unicode MS"/>
          <w:color w:val="5D6875"/>
          <w:sz w:val="18"/>
        </w:rPr>
        <w:t>图3　各条件的工程成本。</w:t>
      </w:r>
    </w:p>
    <w:p>
      <w:r>
        <w:rPr>
          <w:rFonts w:ascii="Arial Unicode MS" w:hAnsi="Arial Unicode MS" w:eastAsia="Arial Unicode MS"/>
        </w:rPr>
        <w:t>完整系统平均延迟12.21秒，相比B0的8.02秒增加4.19秒（约52%）；平均输入token由438.2增至1,007.6，增加约130%；输出token由346.8增至464.5，增加约34%。进入主分析的150次唯一调用共使用79,421个输入token和46,448个输出token。</w:t>
      </w:r>
    </w:p>
    <w:p>
      <w:pPr>
        <w:pStyle w:val="Heading1"/>
        <w:keepNext/>
      </w:pPr>
      <w:r>
        <w:t>8. 有效性威胁与不可过度解释的部分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威胁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影响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重建而非原始复现。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原始30例、代码和提示词不可得，因此结果与论文现有数值不能直接合并。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样本量较小。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30例使McNemar检验对5–7个不一致案例的统计功效有限，多重校正后无比较达到0.05。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强模型造成天花板。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JSON Mode和较强API模型使所有条件JSON与SRS均为100%，这些指标失去区分度。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语义有效性尚未人工确认。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Topic F1和词汇覆盖只是自动代理，不能替代独立需求工程评价者对Evidence-based Requirement Validity的盲评。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Validator指标存在机制耦合。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Validator直接规范证据字段，因此Traceability提升证明工程控制有效，不等价于需求内容更正确。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API非完全确定。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严格共享原始输出解决了Validator归因，但其他跨模块比较仍可能混入少量服务端生成波动。</w:t>
            </w:r>
          </w:p>
        </w:tc>
      </w:tr>
    </w:tbl>
    <w:p>
      <w:pPr>
        <w:pStyle w:val="Heading1"/>
        <w:keepNext/>
      </w:pPr>
      <w:r>
        <w:t>9. 对论文表述的直接建议</w:t>
      </w:r>
    </w:p>
    <w:p>
      <w:r>
        <w:rPr>
          <w:rFonts w:ascii="Arial Unicode MS" w:hAnsi="Arial Unicode MS" w:eastAsia="Arial Unicode MS"/>
        </w:rPr>
        <w:t>可以保留的结论：在本次Qwen API重建实验中，确定性Validator将精确证据绑定和完整工程合规率由83.3%提高到100.0%，显示出积极工程效应方向；完整框架相对单次LLM也呈现更高的可追溯性。</w:t>
      </w:r>
    </w:p>
    <w:p>
      <w:r>
        <w:rPr>
          <w:rFonts w:ascii="Arial Unicode MS" w:hAnsi="Arial Unicode MS" w:eastAsia="Arial Unicode MS"/>
        </w:rPr>
        <w:t>必须弱化的结论：不能声称Affect Interpreter或Need/RAG显著改善语义理解；不能把100% Traceability解释为需求内容100%正确；不能把未经独立评价者确认的自动代理称为Evidence-based Requirement Validity。</w:t>
      </w:r>
    </w:p>
    <w:p>
      <w:r>
        <w:rPr>
          <w:rFonts w:ascii="Arial Unicode MS" w:hAnsi="Arial Unicode MS" w:eastAsia="Arial Unicode MS"/>
        </w:rPr>
        <w:t>建议论文主结果措辞：『消融结果表明，完整框架的主要可观察增益来自证据规范和验证控制，而非主题语义对齐。移除Validator后，Traceability与Full compliance均下降16.7个百分点；但由于样本量为30且经多重比较校正，结果应视为探索性证据。』</w:t>
      </w:r>
    </w:p>
    <w:p>
      <w:r>
        <w:rPr>
          <w:rFonts w:ascii="Arial Unicode MS" w:hAnsi="Arial Unicode MS" w:eastAsia="Arial Unicode MS"/>
        </w:rPr>
        <w:t>建议后续确认实验：新增60–100个预注册测试案例；由至少2名需求工程评价者进行盲评；报告Cohen’s κ或Krippendorff’s α；将Unsupported requirement rate、Validator false rejection和semantic preservation列为主要指标。</w:t>
      </w:r>
    </w:p>
    <w:p>
      <w:pPr>
        <w:pStyle w:val="Heading1"/>
        <w:keepNext/>
      </w:pPr>
      <w:r>
        <w:t>10. 结论</w:t>
      </w:r>
    </w:p>
    <w:p>
      <w:pPr>
        <w:shd w:fill="E8EEF5"/>
        <w:contextualSpacing/>
      </w:pPr>
      <w:r>
        <w:rPr>
          <w:rFonts w:ascii="Arial Unicode MS" w:hAnsi="Arial Unicode MS" w:eastAsia="Arial Unicode MS"/>
        </w:rPr>
        <w:t>本次重建消融完成了论文原计划但未执行的模块移除比较。最稳健的解释是：Validator改善了证据字段的确定性、规范性和审计性；Affect与Need/RAG在当前30例和自动指标下没有显示显著独立贡献；完整框架付出了更高延迟和token成本。该结果支持将论文贡献聚焦于工程控制与可追溯性，同时要求对语义和情感理解主张保持克制。</w:t>
      </w:r>
    </w:p>
    <w:p>
      <w:pPr>
        <w:pStyle w:val="Heading1"/>
        <w:keepNext/>
      </w:pPr>
      <w:r>
        <w:t>附录A　可复现性资产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cantSplit/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文件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run_ablation_api.py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数据冻结、分类/检索、API调用、Validator、指标与统计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protocol_config.json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模型、条件、数据哈希、拆分和输出文件哈希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frozen_cases.csv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30例冻结测试清单及evidence spans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api_responses.jsonl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210次完整API响应、token、延迟与request ID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predictions.jsonl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主分析采用的逐例原始/最终输出、修复记录与指标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condition_summary.csv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条件级均值与标准差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paired_comparisons.csv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配对差值、95%区间、原始p与Holm p</w:t>
            </w:r>
          </w:p>
        </w:tc>
      </w:tr>
    </w:tbl>
    <w:p>
      <w:r>
        <w:rPr>
          <w:rFonts w:ascii="Arial Unicode MS" w:hAnsi="Arial Unicode MS" w:eastAsia="Arial Unicode MS"/>
        </w:rPr>
        <w:t>数据文件SHA-256：26b5ee1dae1383295a6d92b960479504d68deafa2812d9413ce9136f71dff1a5。API Key未写入任何报告或结果文件；仅存放于权限受限且被.gitignore排除的本地.env文件。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5D6875"/>
        <w:sz w:val="16"/>
      </w:rPr>
      <w:t xml:space="preserve">Independent experiment report   • 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b/>
        <w:color w:val="5D6875"/>
        <w:sz w:val="16"/>
      </w:rPr>
      <w:t>QWEN API ABLATION STUDY  /  RECONSTRUCTED EMPIRICAL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/>
      <w:b/>
      <w:bCs/>
      <w:color w:val="5D68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Qwen API 消融实验结果报告</dc:title>
  <dc:subject>Affect-sensitive requirement elicitation multi-agent ablation study</dc:subject>
  <dc:creator>Independent reconstructed experiment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