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项目技术方案</w:t>
      </w:r>
    </w:p>
    <w:p>
      <w:pPr>
        <w:pStyle w:val="Heading1"/>
      </w:pPr>
      <w:r>
        <w:t>一、背景</w:t>
      </w:r>
    </w:p>
    <w:p>
      <w:r>
        <w:t>随着业务规模持续扩大，现有单体系统的维护成本逐年上升，新功能交付周期变长，团队协作冲突频繁。</w:t>
      </w:r>
    </w:p>
    <w:p>
      <w:pPr>
        <w:pStyle w:val="Heading1"/>
      </w:pPr>
      <w:r>
        <w:t>二、系统架构</w:t>
      </w:r>
    </w:p>
    <w:p>
      <w:pPr>
        <w:pStyle w:val="Heading2"/>
      </w:pPr>
      <w:r>
        <w:t>2.1 总体架构</w:t>
      </w:r>
    </w:p>
    <w:p>
      <w:r>
        <w:t>系统整体划分为接入层、业务服务层与数据层三部分，各层之间通过统一网关通信。</w:t>
      </w:r>
    </w:p>
    <w:p>
      <w:pPr>
        <w:pStyle w:val="Heading2"/>
      </w:pPr>
      <w:r>
        <w:t>2.2 数据流程</w:t>
      </w:r>
    </w:p>
    <w:p>
      <w:r>
        <w:t>用户请求经过接入层鉴权后进入业务服务层，处理结果先写入消息队列，再由异步任务落库，保证峰值流量下的写入稳定性。</w:t>
      </w:r>
    </w:p>
    <w:p>
      <w:pPr>
        <w:pStyle w:val="Heading1"/>
      </w:pPr>
      <w:r>
        <w:t>三、总结</w:t>
      </w:r>
    </w:p>
    <w:p>
      <w:r>
        <w:t>本方案通过拆分边界与异步化改造，降低耦合并提升整体吞吐能力。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