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富格式测试文档</w:t>
      </w:r>
    </w:p>
    <w:p>
      <w:r>
        <w:rPr>
          <w:b/>
        </w:rPr>
        <w:t>加粗文字</w:t>
      </w:r>
      <w:r>
        <w:t>与</w:t>
      </w:r>
      <w:r>
        <w:rPr>
          <w:i/>
        </w:rPr>
        <w:t>斜体文字</w:t>
      </w:r>
      <w:r>
        <w:t>相邻，</w:t>
      </w:r>
      <w:r>
        <w:rPr>
          <w:u w:val="single"/>
        </w:rPr>
        <w:t>下划线文字</w:t>
      </w:r>
      <w:r>
        <w:t>居中，</w:t>
      </w:r>
      <w:r>
        <w:rPr>
          <w:color w:val="C0392B"/>
        </w:rPr>
        <w:t>红色文字</w:t>
      </w:r>
      <w:r>
        <w:t>靠后，</w:t>
      </w:r>
      <w:r>
        <w:rPr>
          <w:sz w:val="36"/>
        </w:rPr>
        <w:t>大字号文字</w:t>
      </w:r>
      <w:r>
        <w:t>收尾。</w:t>
      </w:r>
    </w:p>
    <w:p>
      <w:pPr>
        <w:pStyle w:val="Heading1"/>
      </w:pPr>
      <w:r>
        <w:t>带样式的标题段落</w:t>
      </w:r>
    </w:p>
    <w:p>
      <w:r>
        <w:t>AI 修改本段时，不应破坏上下文的加粗、标题等既有格式。</w:t>
      </w:r>
    </w:p>
    <w:p>
      <w:r>
        <w:t>系统采用传统架构，可以处理大量数据。字符级 Diff 只应触及变化的文字。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